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F0" w:rsidRDefault="009244F0" w:rsidP="009244F0">
      <w:pPr>
        <w:spacing w:line="480" w:lineRule="auto"/>
        <w:rPr>
          <w:rFonts w:ascii="Times New Roman" w:hAnsi="Times New Roman" w:cs="Times New Roman"/>
          <w:sz w:val="24"/>
          <w:szCs w:val="24"/>
        </w:rPr>
      </w:pPr>
    </w:p>
    <w:p w:rsidR="009244F0" w:rsidRPr="006E6C57" w:rsidRDefault="00F40782" w:rsidP="009244F0">
      <w:pPr>
        <w:pStyle w:val="NormalWeb"/>
        <w:spacing w:line="480" w:lineRule="auto"/>
        <w:rPr>
          <w:rStyle w:val="ref"/>
          <w:rFonts w:asciiTheme="minorHAnsi" w:eastAsiaTheme="minorHAnsi" w:hAnsiTheme="minorHAnsi" w:cstheme="minorBidi"/>
          <w:sz w:val="22"/>
          <w:szCs w:val="22"/>
        </w:rPr>
      </w:pPr>
      <w:r>
        <w:rPr>
          <w:rStyle w:val="ref"/>
        </w:rPr>
        <w:t>Table 1</w:t>
      </w:r>
      <w:r w:rsidR="00A25A09">
        <w:rPr>
          <w:rStyle w:val="ref"/>
        </w:rPr>
        <w:t>.</w:t>
      </w:r>
      <w:bookmarkStart w:id="0" w:name="_GoBack"/>
      <w:bookmarkEnd w:id="0"/>
      <w:r>
        <w:rPr>
          <w:rStyle w:val="ref"/>
        </w:rPr>
        <w:t xml:space="preserve"> </w:t>
      </w:r>
      <w:r w:rsidR="009244F0" w:rsidRPr="006E6C57">
        <w:rPr>
          <w:rStyle w:val="ref"/>
        </w:rPr>
        <w:t>Medications Commonly Prescribed After Ischemic Stroke</w:t>
      </w:r>
    </w:p>
    <w:tbl>
      <w:tblPr>
        <w:tblStyle w:val="TableGrid"/>
        <w:tblW w:w="0" w:type="auto"/>
        <w:tblLook w:val="04A0" w:firstRow="1" w:lastRow="0" w:firstColumn="1" w:lastColumn="0" w:noHBand="0" w:noVBand="1"/>
      </w:tblPr>
      <w:tblGrid>
        <w:gridCol w:w="2065"/>
        <w:gridCol w:w="1800"/>
        <w:gridCol w:w="2610"/>
        <w:gridCol w:w="2875"/>
      </w:tblGrid>
      <w:tr w:rsidR="009244F0" w:rsidRPr="006E6C57">
        <w:tc>
          <w:tcPr>
            <w:tcW w:w="2065" w:type="dxa"/>
          </w:tcPr>
          <w:p w:rsidR="009244F0" w:rsidRPr="006E6C57" w:rsidRDefault="009244F0" w:rsidP="009D1CF9">
            <w:pPr>
              <w:pStyle w:val="NormalWeb"/>
              <w:rPr>
                <w:rStyle w:val="ref"/>
              </w:rPr>
            </w:pPr>
            <w:r w:rsidRPr="006E6C57">
              <w:rPr>
                <w:rStyle w:val="ref"/>
                <w:sz w:val="22"/>
                <w:szCs w:val="22"/>
              </w:rPr>
              <w:t>Category of drug</w:t>
            </w:r>
          </w:p>
        </w:tc>
        <w:tc>
          <w:tcPr>
            <w:tcW w:w="1800" w:type="dxa"/>
          </w:tcPr>
          <w:p w:rsidR="009244F0" w:rsidRPr="006E6C57" w:rsidRDefault="009244F0" w:rsidP="009D1CF9">
            <w:pPr>
              <w:pStyle w:val="NormalWeb"/>
              <w:rPr>
                <w:rStyle w:val="ref"/>
              </w:rPr>
            </w:pPr>
            <w:r w:rsidRPr="006E6C57">
              <w:rPr>
                <w:rStyle w:val="ref"/>
                <w:sz w:val="22"/>
                <w:szCs w:val="22"/>
              </w:rPr>
              <w:t>Name of drug</w:t>
            </w:r>
          </w:p>
        </w:tc>
        <w:tc>
          <w:tcPr>
            <w:tcW w:w="2610" w:type="dxa"/>
          </w:tcPr>
          <w:p w:rsidR="009244F0" w:rsidRPr="006E6C57" w:rsidRDefault="009244F0" w:rsidP="009D1CF9">
            <w:pPr>
              <w:pStyle w:val="NormalWeb"/>
              <w:rPr>
                <w:rStyle w:val="ref"/>
              </w:rPr>
            </w:pPr>
            <w:r w:rsidRPr="006E6C57">
              <w:rPr>
                <w:rStyle w:val="ref"/>
                <w:sz w:val="22"/>
                <w:szCs w:val="22"/>
              </w:rPr>
              <w:t>Indication</w:t>
            </w:r>
          </w:p>
        </w:tc>
        <w:tc>
          <w:tcPr>
            <w:tcW w:w="2875" w:type="dxa"/>
          </w:tcPr>
          <w:p w:rsidR="009244F0" w:rsidRPr="006E6C57" w:rsidRDefault="009244F0" w:rsidP="009D1CF9">
            <w:pPr>
              <w:pStyle w:val="NormalWeb"/>
              <w:rPr>
                <w:rStyle w:val="ref"/>
              </w:rPr>
            </w:pPr>
            <w:r w:rsidRPr="006E6C57">
              <w:rPr>
                <w:rStyle w:val="ref"/>
                <w:sz w:val="22"/>
                <w:szCs w:val="22"/>
              </w:rPr>
              <w:t>Nursing Implications</w:t>
            </w:r>
          </w:p>
        </w:tc>
      </w:tr>
      <w:tr w:rsidR="009244F0" w:rsidRPr="006E6C57">
        <w:tc>
          <w:tcPr>
            <w:tcW w:w="2065" w:type="dxa"/>
          </w:tcPr>
          <w:p w:rsidR="009244F0" w:rsidRPr="006E6C57" w:rsidRDefault="009244F0" w:rsidP="009D1CF9">
            <w:pPr>
              <w:pStyle w:val="NormalWeb"/>
              <w:rPr>
                <w:rStyle w:val="ref"/>
                <w:rFonts w:asciiTheme="minorHAnsi" w:eastAsiaTheme="minorHAnsi" w:hAnsiTheme="minorHAnsi" w:cstheme="minorBidi"/>
                <w:sz w:val="22"/>
                <w:szCs w:val="22"/>
              </w:rPr>
            </w:pPr>
            <w:r w:rsidRPr="006E6C57">
              <w:rPr>
                <w:rStyle w:val="ref"/>
                <w:sz w:val="22"/>
                <w:szCs w:val="22"/>
              </w:rPr>
              <w:t>Anti-platelet drug</w:t>
            </w:r>
          </w:p>
        </w:tc>
        <w:tc>
          <w:tcPr>
            <w:tcW w:w="1800" w:type="dxa"/>
          </w:tcPr>
          <w:p w:rsidR="009244F0" w:rsidRPr="006E6C57" w:rsidRDefault="009244F0" w:rsidP="009D1CF9">
            <w:pPr>
              <w:pStyle w:val="NormalWeb"/>
              <w:rPr>
                <w:rStyle w:val="ref"/>
              </w:rPr>
            </w:pPr>
            <w:r w:rsidRPr="006E6C57">
              <w:rPr>
                <w:rStyle w:val="ref"/>
                <w:sz w:val="22"/>
                <w:szCs w:val="22"/>
              </w:rPr>
              <w:t>Aspirin (ASA)</w:t>
            </w:r>
          </w:p>
        </w:tc>
        <w:tc>
          <w:tcPr>
            <w:tcW w:w="2610" w:type="dxa"/>
          </w:tcPr>
          <w:p w:rsidR="009244F0" w:rsidRPr="006E6C57" w:rsidRDefault="009244F0" w:rsidP="009D1CF9">
            <w:pPr>
              <w:spacing w:line="240" w:lineRule="auto"/>
              <w:contextualSpacing/>
              <w:rPr>
                <w:rFonts w:ascii="Times New Roman" w:hAnsi="Times New Roman" w:cs="Times New Roman"/>
              </w:rPr>
            </w:pPr>
            <w:r w:rsidRPr="006E6C57">
              <w:rPr>
                <w:rFonts w:ascii="Times New Roman" w:hAnsi="Times New Roman" w:cs="Times New Roman"/>
              </w:rPr>
              <w:t xml:space="preserve">AHA/ASA guidelines recommend giving aspirin, 325 mg orally, within 24-48 hours of ischemic stroke onset. ASA administration should be delayed for at least 24 hours after </w:t>
            </w:r>
            <w:proofErr w:type="spellStart"/>
            <w:r w:rsidRPr="006E6C57">
              <w:rPr>
                <w:rFonts w:ascii="Times New Roman" w:hAnsi="Times New Roman" w:cs="Times New Roman"/>
              </w:rPr>
              <w:t>rt</w:t>
            </w:r>
            <w:proofErr w:type="spellEnd"/>
            <w:r w:rsidRPr="006E6C57">
              <w:rPr>
                <w:rFonts w:ascii="Times New Roman" w:hAnsi="Times New Roman" w:cs="Times New Roman"/>
              </w:rPr>
              <w:t>-PA administration. The benefit of aspirin is modest but statistically significant and appears principally to involve the reduction of recurrent stroke.</w:t>
            </w:r>
          </w:p>
          <w:p w:rsidR="009244F0" w:rsidRPr="006E6C57" w:rsidRDefault="009244F0" w:rsidP="009D1CF9">
            <w:pPr>
              <w:pStyle w:val="NormalWeb"/>
              <w:rPr>
                <w:rStyle w:val="ref"/>
                <w:rFonts w:asciiTheme="minorHAnsi" w:eastAsiaTheme="minorHAnsi" w:hAnsiTheme="minorHAnsi" w:cstheme="minorBidi"/>
                <w:sz w:val="22"/>
                <w:szCs w:val="22"/>
              </w:rPr>
            </w:pPr>
          </w:p>
        </w:tc>
        <w:tc>
          <w:tcPr>
            <w:tcW w:w="2875" w:type="dxa"/>
          </w:tcPr>
          <w:p w:rsidR="009244F0" w:rsidRPr="006E6C57" w:rsidRDefault="009244F0" w:rsidP="009D1CF9">
            <w:pPr>
              <w:autoSpaceDE w:val="0"/>
              <w:autoSpaceDN w:val="0"/>
              <w:adjustRightInd w:val="0"/>
              <w:spacing w:line="240" w:lineRule="auto"/>
              <w:ind w:left="360"/>
              <w:rPr>
                <w:rFonts w:ascii="Times New Roman" w:hAnsi="Times New Roman" w:cs="Times New Roman"/>
              </w:rPr>
            </w:pPr>
            <w:r w:rsidRPr="006E6C57">
              <w:rPr>
                <w:rFonts w:ascii="Times New Roman" w:hAnsi="Times New Roman" w:cs="Times New Roman"/>
              </w:rPr>
              <w:t>Monitor for signs of bleeding, including easy bruising. Prevent and</w:t>
            </w:r>
          </w:p>
          <w:p w:rsidR="009244F0" w:rsidRPr="006E6C57" w:rsidRDefault="009244F0" w:rsidP="009D1CF9">
            <w:pPr>
              <w:autoSpaceDE w:val="0"/>
              <w:autoSpaceDN w:val="0"/>
              <w:adjustRightInd w:val="0"/>
              <w:spacing w:line="240" w:lineRule="auto"/>
              <w:ind w:left="360"/>
              <w:rPr>
                <w:rFonts w:ascii="Times New Roman" w:hAnsi="Times New Roman" w:cs="Times New Roman"/>
              </w:rPr>
            </w:pPr>
            <w:r w:rsidRPr="006E6C57">
              <w:rPr>
                <w:rFonts w:ascii="Times New Roman" w:hAnsi="Times New Roman" w:cs="Times New Roman"/>
              </w:rPr>
              <w:t>reduce trauma with appropriate use of bed alarms, soft-bristle</w:t>
            </w:r>
          </w:p>
          <w:p w:rsidR="009244F0" w:rsidRPr="006E6C57" w:rsidRDefault="009244F0" w:rsidP="009D1CF9">
            <w:pPr>
              <w:autoSpaceDE w:val="0"/>
              <w:autoSpaceDN w:val="0"/>
              <w:adjustRightInd w:val="0"/>
              <w:spacing w:line="240" w:lineRule="auto"/>
              <w:ind w:left="360"/>
              <w:rPr>
                <w:rFonts w:ascii="Times New Roman" w:hAnsi="Times New Roman" w:cs="Times New Roman"/>
              </w:rPr>
            </w:pPr>
            <w:proofErr w:type="gramStart"/>
            <w:r w:rsidRPr="006E6C57">
              <w:rPr>
                <w:rFonts w:ascii="Times New Roman" w:hAnsi="Times New Roman" w:cs="Times New Roman"/>
              </w:rPr>
              <w:t>toothbrushes</w:t>
            </w:r>
            <w:proofErr w:type="gramEnd"/>
            <w:r w:rsidRPr="006E6C57">
              <w:rPr>
                <w:rFonts w:ascii="Times New Roman" w:hAnsi="Times New Roman" w:cs="Times New Roman"/>
              </w:rPr>
              <w:t>, and electric razors. Educate patients about the</w:t>
            </w:r>
          </w:p>
          <w:p w:rsidR="009244F0" w:rsidRPr="006E6C57" w:rsidRDefault="009244F0" w:rsidP="009D1CF9">
            <w:pPr>
              <w:autoSpaceDE w:val="0"/>
              <w:autoSpaceDN w:val="0"/>
              <w:adjustRightInd w:val="0"/>
              <w:spacing w:line="240" w:lineRule="auto"/>
              <w:ind w:left="360"/>
              <w:rPr>
                <w:rFonts w:ascii="Times New Roman" w:hAnsi="Times New Roman" w:cs="Times New Roman"/>
              </w:rPr>
            </w:pPr>
            <w:r w:rsidRPr="006E6C57">
              <w:rPr>
                <w:rFonts w:ascii="Times New Roman" w:hAnsi="Times New Roman" w:cs="Times New Roman"/>
              </w:rPr>
              <w:t>increased risk of bleeding when taking aspirin with NSAIDs and</w:t>
            </w:r>
          </w:p>
          <w:p w:rsidR="009244F0" w:rsidRPr="006E6C57" w:rsidRDefault="009244F0" w:rsidP="009D1CF9">
            <w:pPr>
              <w:autoSpaceDE w:val="0"/>
              <w:autoSpaceDN w:val="0"/>
              <w:adjustRightInd w:val="0"/>
              <w:spacing w:line="240" w:lineRule="auto"/>
              <w:ind w:left="360"/>
              <w:rPr>
                <w:rFonts w:ascii="Times New Roman" w:hAnsi="Times New Roman" w:cs="Times New Roman"/>
              </w:rPr>
            </w:pPr>
            <w:proofErr w:type="gramStart"/>
            <w:r w:rsidRPr="006E6C57">
              <w:rPr>
                <w:rFonts w:ascii="Times New Roman" w:hAnsi="Times New Roman" w:cs="Times New Roman"/>
              </w:rPr>
              <w:t>anticoagulants</w:t>
            </w:r>
            <w:proofErr w:type="gramEnd"/>
            <w:r w:rsidRPr="006E6C57">
              <w:rPr>
                <w:rFonts w:ascii="Times New Roman" w:hAnsi="Times New Roman" w:cs="Times New Roman"/>
              </w:rPr>
              <w:t xml:space="preserve"> (</w:t>
            </w:r>
            <w:proofErr w:type="spellStart"/>
            <w:r w:rsidRPr="006E6C57">
              <w:rPr>
                <w:rFonts w:ascii="Times New Roman" w:hAnsi="Times New Roman" w:cs="Times New Roman"/>
              </w:rPr>
              <w:t>Pezotti</w:t>
            </w:r>
            <w:proofErr w:type="spellEnd"/>
            <w:r w:rsidRPr="006E6C57">
              <w:rPr>
                <w:rFonts w:ascii="Times New Roman" w:hAnsi="Times New Roman" w:cs="Times New Roman"/>
              </w:rPr>
              <w:t xml:space="preserve"> &amp; </w:t>
            </w:r>
            <w:proofErr w:type="spellStart"/>
            <w:r w:rsidRPr="006E6C57">
              <w:rPr>
                <w:rFonts w:ascii="Times New Roman" w:hAnsi="Times New Roman" w:cs="Times New Roman"/>
              </w:rPr>
              <w:t>Freuler</w:t>
            </w:r>
            <w:proofErr w:type="spellEnd"/>
            <w:r w:rsidRPr="006E6C57">
              <w:rPr>
                <w:rFonts w:ascii="Times New Roman" w:hAnsi="Times New Roman" w:cs="Times New Roman"/>
              </w:rPr>
              <w:t>, 2012).</w:t>
            </w:r>
          </w:p>
          <w:p w:rsidR="009244F0" w:rsidRPr="006E6C57" w:rsidRDefault="009244F0" w:rsidP="009D1CF9">
            <w:pPr>
              <w:spacing w:line="240" w:lineRule="auto"/>
              <w:contextualSpacing/>
              <w:rPr>
                <w:rFonts w:ascii="Times New Roman" w:hAnsi="Times New Roman" w:cs="Times New Roman"/>
              </w:rPr>
            </w:pPr>
          </w:p>
        </w:tc>
      </w:tr>
      <w:tr w:rsidR="009244F0" w:rsidRPr="006E6C57">
        <w:tc>
          <w:tcPr>
            <w:tcW w:w="2065" w:type="dxa"/>
          </w:tcPr>
          <w:p w:rsidR="009244F0" w:rsidRPr="006E6C57" w:rsidRDefault="009244F0" w:rsidP="009D1CF9">
            <w:pPr>
              <w:pStyle w:val="NormalWeb"/>
              <w:rPr>
                <w:rStyle w:val="ref"/>
                <w:rFonts w:asciiTheme="minorHAnsi" w:eastAsiaTheme="minorHAnsi" w:hAnsiTheme="minorHAnsi" w:cstheme="minorBidi"/>
                <w:sz w:val="22"/>
                <w:szCs w:val="22"/>
              </w:rPr>
            </w:pPr>
          </w:p>
        </w:tc>
        <w:tc>
          <w:tcPr>
            <w:tcW w:w="1800" w:type="dxa"/>
          </w:tcPr>
          <w:p w:rsidR="009244F0" w:rsidRPr="006E6C57" w:rsidRDefault="009244F0" w:rsidP="009D1CF9">
            <w:pPr>
              <w:pStyle w:val="NormalWeb"/>
              <w:rPr>
                <w:sz w:val="22"/>
                <w:szCs w:val="22"/>
              </w:rPr>
            </w:pPr>
            <w:proofErr w:type="spellStart"/>
            <w:r w:rsidRPr="006E6C57">
              <w:rPr>
                <w:sz w:val="22"/>
                <w:szCs w:val="22"/>
              </w:rPr>
              <w:t>Dipyridamole</w:t>
            </w:r>
            <w:proofErr w:type="spellEnd"/>
            <w:r w:rsidRPr="006E6C57">
              <w:rPr>
                <w:sz w:val="22"/>
                <w:szCs w:val="22"/>
              </w:rPr>
              <w:t xml:space="preserve"> (</w:t>
            </w:r>
            <w:proofErr w:type="spellStart"/>
            <w:r w:rsidRPr="006E6C57">
              <w:rPr>
                <w:sz w:val="22"/>
                <w:szCs w:val="22"/>
              </w:rPr>
              <w:t>Persantine</w:t>
            </w:r>
            <w:proofErr w:type="spellEnd"/>
            <w:r w:rsidRPr="006E6C57">
              <w:rPr>
                <w:sz w:val="22"/>
                <w:szCs w:val="22"/>
              </w:rPr>
              <w:t>)</w:t>
            </w:r>
          </w:p>
          <w:p w:rsidR="009244F0" w:rsidRPr="006E6C57" w:rsidRDefault="009244F0" w:rsidP="009D1CF9">
            <w:pPr>
              <w:pStyle w:val="NormalWeb"/>
              <w:rPr>
                <w:rStyle w:val="ref"/>
              </w:rPr>
            </w:pPr>
          </w:p>
        </w:tc>
        <w:tc>
          <w:tcPr>
            <w:tcW w:w="2610" w:type="dxa"/>
          </w:tcPr>
          <w:p w:rsidR="009244F0" w:rsidRPr="006E6C57" w:rsidRDefault="009244F0" w:rsidP="009D1CF9">
            <w:pPr>
              <w:pStyle w:val="NormalWeb"/>
              <w:rPr>
                <w:sz w:val="22"/>
                <w:szCs w:val="22"/>
              </w:rPr>
            </w:pPr>
            <w:r w:rsidRPr="006E6C57">
              <w:rPr>
                <w:sz w:val="22"/>
                <w:szCs w:val="22"/>
              </w:rPr>
              <w:t xml:space="preserve">The combination of extended-release </w:t>
            </w:r>
            <w:proofErr w:type="spellStart"/>
            <w:r w:rsidRPr="006E6C57">
              <w:rPr>
                <w:sz w:val="22"/>
                <w:szCs w:val="22"/>
              </w:rPr>
              <w:t>dipyridamole</w:t>
            </w:r>
            <w:proofErr w:type="spellEnd"/>
            <w:r w:rsidRPr="006E6C57">
              <w:rPr>
                <w:sz w:val="22"/>
                <w:szCs w:val="22"/>
              </w:rPr>
              <w:t xml:space="preserve"> and aspirin reduces the risk of stroke, death, and myocardial infarction (MI). It is used for the secondary prevention of ischemic stroke and TIAs. </w:t>
            </w:r>
          </w:p>
          <w:p w:rsidR="009244F0" w:rsidRPr="006E6C57" w:rsidRDefault="009244F0" w:rsidP="009D1CF9">
            <w:pPr>
              <w:pStyle w:val="NormalWeb"/>
              <w:rPr>
                <w:rStyle w:val="ref"/>
              </w:rPr>
            </w:pPr>
          </w:p>
        </w:tc>
        <w:tc>
          <w:tcPr>
            <w:tcW w:w="2875" w:type="dxa"/>
          </w:tcPr>
          <w:p w:rsidR="009244F0" w:rsidRPr="006E6C57" w:rsidRDefault="009244F0" w:rsidP="009D1CF9">
            <w:pPr>
              <w:shd w:val="clear" w:color="auto" w:fill="FFFFFF"/>
              <w:spacing w:before="100" w:beforeAutospacing="1" w:after="100" w:afterAutospacing="1" w:line="240" w:lineRule="auto"/>
              <w:rPr>
                <w:rFonts w:ascii="Times New Roman" w:hAnsi="Times New Roman" w:cs="Times New Roman"/>
              </w:rPr>
            </w:pPr>
            <w:r w:rsidRPr="006E6C57">
              <w:rPr>
                <w:rFonts w:ascii="Times New Roman" w:hAnsi="Times New Roman" w:cs="Times New Roman"/>
              </w:rPr>
              <w:t>Side effects include d</w:t>
            </w:r>
            <w:hyperlink r:id="rId8" w:history="1">
              <w:r w:rsidRPr="006E6C57">
                <w:rPr>
                  <w:rStyle w:val="Hyperlink"/>
                  <w:rFonts w:ascii="Times New Roman" w:hAnsi="Times New Roman" w:cs="Times New Roman"/>
                  <w:color w:val="auto"/>
                </w:rPr>
                <w:t>izziness</w:t>
              </w:r>
            </w:hyperlink>
            <w:r w:rsidRPr="006E6C57">
              <w:rPr>
                <w:rFonts w:ascii="Times New Roman" w:hAnsi="Times New Roman" w:cs="Times New Roman"/>
              </w:rPr>
              <w:t xml:space="preserve">, </w:t>
            </w:r>
            <w:hyperlink r:id="rId9" w:history="1">
              <w:r w:rsidRPr="006E6C57">
                <w:rPr>
                  <w:rStyle w:val="Hyperlink"/>
                  <w:rFonts w:ascii="Times New Roman" w:hAnsi="Times New Roman" w:cs="Times New Roman"/>
                  <w:color w:val="auto"/>
                </w:rPr>
                <w:t>stomach</w:t>
              </w:r>
            </w:hyperlink>
            <w:r w:rsidRPr="006E6C57">
              <w:rPr>
                <w:rFonts w:ascii="Times New Roman" w:hAnsi="Times New Roman" w:cs="Times New Roman"/>
              </w:rPr>
              <w:t xml:space="preserve"> upset, </w:t>
            </w:r>
            <w:hyperlink r:id="rId10" w:history="1">
              <w:r w:rsidRPr="006E6C57">
                <w:rPr>
                  <w:rStyle w:val="Hyperlink"/>
                  <w:rFonts w:ascii="Times New Roman" w:hAnsi="Times New Roman" w:cs="Times New Roman"/>
                  <w:color w:val="auto"/>
                </w:rPr>
                <w:t>diarrhea</w:t>
              </w:r>
            </w:hyperlink>
            <w:r w:rsidRPr="006E6C57">
              <w:rPr>
                <w:rFonts w:ascii="Times New Roman" w:hAnsi="Times New Roman" w:cs="Times New Roman"/>
              </w:rPr>
              <w:t xml:space="preserve">, </w:t>
            </w:r>
            <w:hyperlink r:id="rId11" w:history="1">
              <w:r w:rsidRPr="006E6C57">
                <w:rPr>
                  <w:rStyle w:val="Hyperlink"/>
                  <w:rFonts w:ascii="Times New Roman" w:hAnsi="Times New Roman" w:cs="Times New Roman"/>
                  <w:color w:val="auto"/>
                </w:rPr>
                <w:t>vomiting</w:t>
              </w:r>
            </w:hyperlink>
            <w:r w:rsidRPr="006E6C57">
              <w:rPr>
                <w:rFonts w:ascii="Times New Roman" w:hAnsi="Times New Roman" w:cs="Times New Roman"/>
              </w:rPr>
              <w:t xml:space="preserve">, </w:t>
            </w:r>
            <w:hyperlink r:id="rId12" w:history="1">
              <w:r w:rsidRPr="006E6C57">
                <w:rPr>
                  <w:rStyle w:val="Hyperlink"/>
                  <w:rFonts w:ascii="Times New Roman" w:hAnsi="Times New Roman" w:cs="Times New Roman"/>
                  <w:color w:val="auto"/>
                </w:rPr>
                <w:t>headache</w:t>
              </w:r>
            </w:hyperlink>
            <w:r w:rsidRPr="006E6C57">
              <w:rPr>
                <w:rFonts w:ascii="Times New Roman" w:hAnsi="Times New Roman" w:cs="Times New Roman"/>
              </w:rPr>
              <w:t>, and flushing. To reduce the risk of dizziness and lightheadedness, advise patients to get up slowly when rising from a sitting or lying position.</w:t>
            </w:r>
          </w:p>
          <w:p w:rsidR="009244F0" w:rsidRPr="006E6C57" w:rsidRDefault="009244F0" w:rsidP="009D1CF9">
            <w:pPr>
              <w:pStyle w:val="NormalWeb"/>
              <w:rPr>
                <w:sz w:val="22"/>
                <w:szCs w:val="22"/>
              </w:rPr>
            </w:pPr>
          </w:p>
        </w:tc>
      </w:tr>
      <w:tr w:rsidR="009244F0" w:rsidRPr="006E6C57">
        <w:tc>
          <w:tcPr>
            <w:tcW w:w="2065" w:type="dxa"/>
          </w:tcPr>
          <w:p w:rsidR="009244F0" w:rsidRPr="006E6C57" w:rsidRDefault="009244F0" w:rsidP="009D1CF9">
            <w:pPr>
              <w:pStyle w:val="NormalWeb"/>
              <w:rPr>
                <w:rStyle w:val="ref"/>
                <w:rFonts w:asciiTheme="minorHAnsi" w:eastAsiaTheme="minorHAnsi" w:hAnsiTheme="minorHAnsi" w:cstheme="minorBidi"/>
                <w:sz w:val="22"/>
                <w:szCs w:val="22"/>
              </w:rPr>
            </w:pPr>
          </w:p>
        </w:tc>
        <w:tc>
          <w:tcPr>
            <w:tcW w:w="1800" w:type="dxa"/>
          </w:tcPr>
          <w:p w:rsidR="009244F0" w:rsidRPr="006E6C57" w:rsidRDefault="009244F0" w:rsidP="009D1CF9">
            <w:pPr>
              <w:pStyle w:val="NormalWeb"/>
              <w:rPr>
                <w:sz w:val="22"/>
                <w:szCs w:val="22"/>
              </w:rPr>
            </w:pPr>
            <w:proofErr w:type="spellStart"/>
            <w:r w:rsidRPr="006E6C57">
              <w:rPr>
                <w:sz w:val="22"/>
                <w:szCs w:val="22"/>
              </w:rPr>
              <w:t>Clopidogrel</w:t>
            </w:r>
            <w:proofErr w:type="spellEnd"/>
            <w:r w:rsidRPr="006E6C57">
              <w:rPr>
                <w:sz w:val="22"/>
                <w:szCs w:val="22"/>
              </w:rPr>
              <w:t xml:space="preserve"> (Plavix)</w:t>
            </w:r>
          </w:p>
          <w:p w:rsidR="009244F0" w:rsidRPr="006E6C57" w:rsidRDefault="009244F0" w:rsidP="009D1CF9">
            <w:pPr>
              <w:pStyle w:val="NormalWeb"/>
              <w:rPr>
                <w:rStyle w:val="ref"/>
              </w:rPr>
            </w:pPr>
          </w:p>
        </w:tc>
        <w:tc>
          <w:tcPr>
            <w:tcW w:w="2610" w:type="dxa"/>
          </w:tcPr>
          <w:p w:rsidR="009244F0" w:rsidRPr="006E6C57" w:rsidRDefault="009244F0" w:rsidP="009D1CF9">
            <w:pPr>
              <w:pStyle w:val="NormalWeb"/>
              <w:rPr>
                <w:sz w:val="22"/>
                <w:szCs w:val="22"/>
              </w:rPr>
            </w:pPr>
            <w:proofErr w:type="spellStart"/>
            <w:r w:rsidRPr="006E6C57">
              <w:rPr>
                <w:sz w:val="22"/>
                <w:szCs w:val="22"/>
              </w:rPr>
              <w:t>Clopidogrel</w:t>
            </w:r>
            <w:proofErr w:type="spellEnd"/>
            <w:r w:rsidRPr="006E6C57">
              <w:rPr>
                <w:sz w:val="22"/>
                <w:szCs w:val="22"/>
              </w:rPr>
              <w:t xml:space="preserve"> inhibits platelet aggregation and is indicated for the reduction of </w:t>
            </w:r>
            <w:proofErr w:type="spellStart"/>
            <w:r w:rsidRPr="006E6C57">
              <w:rPr>
                <w:sz w:val="22"/>
                <w:szCs w:val="22"/>
              </w:rPr>
              <w:t>atherothrombotic</w:t>
            </w:r>
            <w:proofErr w:type="spellEnd"/>
            <w:r w:rsidRPr="006E6C57">
              <w:rPr>
                <w:sz w:val="22"/>
                <w:szCs w:val="22"/>
              </w:rPr>
              <w:t xml:space="preserve"> events following a recent stroke.</w:t>
            </w:r>
          </w:p>
          <w:p w:rsidR="009244F0" w:rsidRPr="006E6C57" w:rsidRDefault="009244F0" w:rsidP="009D1CF9">
            <w:pPr>
              <w:pStyle w:val="NormalWeb"/>
              <w:rPr>
                <w:rStyle w:val="ref"/>
              </w:rPr>
            </w:pPr>
          </w:p>
        </w:tc>
        <w:tc>
          <w:tcPr>
            <w:tcW w:w="2875" w:type="dxa"/>
          </w:tcPr>
          <w:p w:rsidR="009244F0" w:rsidRPr="006E6C57" w:rsidRDefault="009244F0" w:rsidP="009D1CF9">
            <w:pPr>
              <w:spacing w:before="100" w:beforeAutospacing="1" w:after="100" w:afterAutospacing="1" w:line="240" w:lineRule="auto"/>
              <w:rPr>
                <w:rFonts w:ascii="Times New Roman" w:eastAsia="Times New Roman" w:hAnsi="Times New Roman" w:cs="Times New Roman"/>
              </w:rPr>
            </w:pPr>
            <w:r w:rsidRPr="006E6C57">
              <w:rPr>
                <w:rFonts w:ascii="Times New Roman" w:eastAsia="Times New Roman" w:hAnsi="Times New Roman" w:cs="Times New Roman"/>
              </w:rPr>
              <w:t xml:space="preserve">Carefully monitor for signs of bleeding; particularly GI bleeding, especially when co-administered with NSAIDs, aspirin, heparin, or warfarin. </w:t>
            </w:r>
          </w:p>
          <w:p w:rsidR="009244F0" w:rsidRPr="006E6C57" w:rsidRDefault="009244F0" w:rsidP="009D1CF9">
            <w:pPr>
              <w:spacing w:before="100" w:beforeAutospacing="1" w:after="100" w:afterAutospacing="1" w:line="240" w:lineRule="auto"/>
              <w:rPr>
                <w:rFonts w:ascii="Times New Roman" w:eastAsia="Times New Roman" w:hAnsi="Times New Roman" w:cs="Times New Roman"/>
              </w:rPr>
            </w:pPr>
            <w:r w:rsidRPr="006E6C57">
              <w:rPr>
                <w:rFonts w:ascii="Times New Roman" w:eastAsia="Times New Roman" w:hAnsi="Times New Roman" w:cs="Times New Roman"/>
              </w:rPr>
              <w:t>Lab tests: Periodic platelet count and lipid profile.</w:t>
            </w:r>
          </w:p>
          <w:p w:rsidR="009244F0" w:rsidRPr="006E6C57" w:rsidRDefault="009244F0" w:rsidP="009D1CF9">
            <w:pPr>
              <w:spacing w:before="100" w:beforeAutospacing="1" w:after="100" w:afterAutospacing="1" w:line="240" w:lineRule="auto"/>
              <w:rPr>
                <w:rFonts w:ascii="Times New Roman" w:eastAsia="Times New Roman" w:hAnsi="Times New Roman" w:cs="Times New Roman"/>
              </w:rPr>
            </w:pPr>
            <w:r w:rsidRPr="006E6C57">
              <w:rPr>
                <w:rFonts w:ascii="Times New Roman" w:eastAsia="Times New Roman" w:hAnsi="Times New Roman" w:cs="Times New Roman"/>
              </w:rPr>
              <w:t>Report promptly any unusual bleeding (e.g., black, tarry stools).</w:t>
            </w:r>
          </w:p>
          <w:p w:rsidR="009244F0" w:rsidRPr="006E6C57" w:rsidRDefault="009244F0" w:rsidP="009D1CF9">
            <w:pPr>
              <w:spacing w:before="100" w:beforeAutospacing="1" w:after="100" w:afterAutospacing="1" w:line="240" w:lineRule="auto"/>
              <w:rPr>
                <w:rFonts w:ascii="Times New Roman" w:eastAsia="Times New Roman" w:hAnsi="Times New Roman" w:cs="Times New Roman"/>
              </w:rPr>
            </w:pPr>
            <w:r w:rsidRPr="006E6C57">
              <w:rPr>
                <w:rFonts w:ascii="Times New Roman" w:eastAsia="Times New Roman" w:hAnsi="Times New Roman" w:cs="Times New Roman"/>
              </w:rPr>
              <w:lastRenderedPageBreak/>
              <w:t xml:space="preserve">Avoid chronic aspirin or NSAID use unless approved by physician. </w:t>
            </w:r>
          </w:p>
          <w:p w:rsidR="009244F0" w:rsidRPr="006E6C57" w:rsidRDefault="009244F0" w:rsidP="009D1CF9">
            <w:pPr>
              <w:spacing w:before="100" w:beforeAutospacing="1" w:after="100" w:afterAutospacing="1" w:line="240" w:lineRule="auto"/>
              <w:rPr>
                <w:rFonts w:ascii="Times New Roman" w:eastAsia="Times New Roman" w:hAnsi="Times New Roman" w:cs="Times New Roman"/>
              </w:rPr>
            </w:pPr>
            <w:r w:rsidRPr="006E6C57">
              <w:rPr>
                <w:rFonts w:ascii="Times New Roman" w:eastAsia="Times New Roman" w:hAnsi="Times New Roman" w:cs="Times New Roman"/>
              </w:rPr>
              <w:t>Do not breast feed while taking this drug.</w:t>
            </w:r>
          </w:p>
          <w:p w:rsidR="009244F0" w:rsidRPr="006E6C57" w:rsidRDefault="009244F0" w:rsidP="009D1CF9">
            <w:pPr>
              <w:pStyle w:val="NormalWeb"/>
              <w:rPr>
                <w:sz w:val="22"/>
                <w:szCs w:val="22"/>
              </w:rPr>
            </w:pPr>
          </w:p>
        </w:tc>
      </w:tr>
      <w:tr w:rsidR="009244F0" w:rsidRPr="006E6C57">
        <w:tc>
          <w:tcPr>
            <w:tcW w:w="2065" w:type="dxa"/>
          </w:tcPr>
          <w:p w:rsidR="009244F0" w:rsidRPr="006E6C57" w:rsidRDefault="009244F0" w:rsidP="009D1CF9">
            <w:pPr>
              <w:pStyle w:val="NormalWeb"/>
              <w:rPr>
                <w:rStyle w:val="ref"/>
                <w:rFonts w:asciiTheme="minorHAnsi" w:eastAsiaTheme="minorHAnsi" w:hAnsiTheme="minorHAnsi" w:cstheme="minorBidi"/>
                <w:sz w:val="22"/>
                <w:szCs w:val="22"/>
              </w:rPr>
            </w:pPr>
            <w:r w:rsidRPr="006E6C57">
              <w:rPr>
                <w:rStyle w:val="ref"/>
                <w:sz w:val="22"/>
                <w:szCs w:val="22"/>
              </w:rPr>
              <w:lastRenderedPageBreak/>
              <w:t>Anti-coagulants</w:t>
            </w:r>
          </w:p>
        </w:tc>
        <w:tc>
          <w:tcPr>
            <w:tcW w:w="1800" w:type="dxa"/>
          </w:tcPr>
          <w:p w:rsidR="009244F0" w:rsidRPr="006E6C57" w:rsidRDefault="009244F0" w:rsidP="009D1CF9">
            <w:pPr>
              <w:pStyle w:val="NormalWeb"/>
              <w:rPr>
                <w:sz w:val="22"/>
                <w:szCs w:val="22"/>
              </w:rPr>
            </w:pPr>
            <w:r w:rsidRPr="006E6C57">
              <w:rPr>
                <w:sz w:val="22"/>
                <w:szCs w:val="22"/>
              </w:rPr>
              <w:t>Warfarin (Coumadin)</w:t>
            </w:r>
          </w:p>
          <w:p w:rsidR="009244F0" w:rsidRPr="006E6C57" w:rsidRDefault="009244F0" w:rsidP="009D1CF9">
            <w:pPr>
              <w:pStyle w:val="NormalWeb"/>
              <w:rPr>
                <w:rStyle w:val="ref"/>
              </w:rPr>
            </w:pPr>
          </w:p>
        </w:tc>
        <w:tc>
          <w:tcPr>
            <w:tcW w:w="2610" w:type="dxa"/>
          </w:tcPr>
          <w:p w:rsidR="009244F0" w:rsidRPr="006E6C57" w:rsidRDefault="009244F0" w:rsidP="009D1CF9">
            <w:pPr>
              <w:pStyle w:val="NormalWeb"/>
              <w:rPr>
                <w:sz w:val="22"/>
                <w:szCs w:val="22"/>
              </w:rPr>
            </w:pPr>
            <w:r w:rsidRPr="006E6C57">
              <w:rPr>
                <w:sz w:val="22"/>
                <w:szCs w:val="22"/>
              </w:rPr>
              <w:t>Warfarin is a Vitamin K antagonist used to reduce the risk of death, recurrent MI, and thromboembolic events such as stroke or systemic embolization after MI.</w:t>
            </w:r>
          </w:p>
          <w:p w:rsidR="009244F0" w:rsidRPr="006E6C57" w:rsidRDefault="009244F0" w:rsidP="009D1CF9">
            <w:pPr>
              <w:pStyle w:val="NormalWeb"/>
              <w:rPr>
                <w:rStyle w:val="ref"/>
              </w:rPr>
            </w:pPr>
          </w:p>
        </w:tc>
        <w:tc>
          <w:tcPr>
            <w:tcW w:w="2875" w:type="dxa"/>
          </w:tcPr>
          <w:p w:rsidR="009244F0" w:rsidRPr="006E6C57" w:rsidRDefault="009244F0" w:rsidP="009D1CF9">
            <w:pPr>
              <w:autoSpaceDE w:val="0"/>
              <w:autoSpaceDN w:val="0"/>
              <w:adjustRightInd w:val="0"/>
              <w:spacing w:line="240" w:lineRule="auto"/>
              <w:rPr>
                <w:rFonts w:ascii="Times New Roman" w:hAnsi="Times New Roman" w:cs="Times New Roman"/>
              </w:rPr>
            </w:pPr>
            <w:r w:rsidRPr="006E6C57">
              <w:rPr>
                <w:rFonts w:ascii="Times New Roman" w:hAnsi="Times New Roman" w:cs="Times New Roman"/>
              </w:rPr>
              <w:t xml:space="preserve">Monitor for signs of occult and frank bleeding. Monitor vital signs and level of consciousness. Institute precautions to prevent trauma, including bed alarms. Monitor PT/INR. Administer vitamin K/fresh frozen plasma/clotting factors as ordered. </w:t>
            </w:r>
          </w:p>
          <w:p w:rsidR="009244F0" w:rsidRPr="006E6C57" w:rsidRDefault="009244F0" w:rsidP="009D1CF9">
            <w:pPr>
              <w:autoSpaceDE w:val="0"/>
              <w:autoSpaceDN w:val="0"/>
              <w:adjustRightInd w:val="0"/>
              <w:spacing w:line="240" w:lineRule="auto"/>
              <w:rPr>
                <w:rFonts w:ascii="Times New Roman" w:hAnsi="Times New Roman" w:cs="Times New Roman"/>
              </w:rPr>
            </w:pPr>
            <w:r w:rsidRPr="006E6C57">
              <w:rPr>
                <w:rFonts w:ascii="Times New Roman" w:hAnsi="Times New Roman" w:cs="Times New Roman"/>
              </w:rPr>
              <w:t>Educate patients concerning consistent intake of green leafy vegetables and importance of frequent laboratory monitoring (McCarron, 2010).</w:t>
            </w:r>
          </w:p>
          <w:p w:rsidR="009244F0" w:rsidRPr="006E6C57" w:rsidRDefault="009244F0" w:rsidP="009D1CF9">
            <w:pPr>
              <w:pStyle w:val="NormalWeb"/>
              <w:rPr>
                <w:sz w:val="22"/>
                <w:szCs w:val="22"/>
              </w:rPr>
            </w:pPr>
          </w:p>
        </w:tc>
      </w:tr>
      <w:tr w:rsidR="009244F0" w:rsidRPr="006E6C57">
        <w:tc>
          <w:tcPr>
            <w:tcW w:w="2065" w:type="dxa"/>
          </w:tcPr>
          <w:p w:rsidR="009244F0" w:rsidRPr="006E6C57" w:rsidRDefault="009244F0" w:rsidP="009D1CF9">
            <w:pPr>
              <w:pStyle w:val="NormalWeb"/>
              <w:rPr>
                <w:rStyle w:val="ref"/>
                <w:rFonts w:asciiTheme="minorHAnsi" w:eastAsiaTheme="minorHAnsi" w:hAnsiTheme="minorHAnsi" w:cstheme="minorBidi"/>
                <w:sz w:val="22"/>
                <w:szCs w:val="22"/>
              </w:rPr>
            </w:pPr>
          </w:p>
        </w:tc>
        <w:tc>
          <w:tcPr>
            <w:tcW w:w="1800" w:type="dxa"/>
          </w:tcPr>
          <w:p w:rsidR="009244F0" w:rsidRPr="006E6C57" w:rsidRDefault="009244F0" w:rsidP="009D1CF9">
            <w:pPr>
              <w:pStyle w:val="NormalWeb"/>
              <w:rPr>
                <w:sz w:val="22"/>
                <w:szCs w:val="22"/>
              </w:rPr>
            </w:pPr>
            <w:proofErr w:type="spellStart"/>
            <w:r w:rsidRPr="006E6C57">
              <w:rPr>
                <w:sz w:val="22"/>
                <w:szCs w:val="22"/>
              </w:rPr>
              <w:t>Dabigatran</w:t>
            </w:r>
            <w:proofErr w:type="spellEnd"/>
            <w:r w:rsidRPr="006E6C57">
              <w:rPr>
                <w:sz w:val="22"/>
                <w:szCs w:val="22"/>
              </w:rPr>
              <w:t xml:space="preserve"> (</w:t>
            </w:r>
            <w:proofErr w:type="spellStart"/>
            <w:r w:rsidRPr="006E6C57">
              <w:rPr>
                <w:sz w:val="22"/>
                <w:szCs w:val="22"/>
              </w:rPr>
              <w:t>Pradaxa</w:t>
            </w:r>
            <w:proofErr w:type="spellEnd"/>
            <w:r w:rsidRPr="006E6C57">
              <w:rPr>
                <w:sz w:val="22"/>
                <w:szCs w:val="22"/>
              </w:rPr>
              <w:t>)</w:t>
            </w:r>
          </w:p>
          <w:p w:rsidR="009244F0" w:rsidRPr="006E6C57" w:rsidRDefault="009244F0" w:rsidP="009D1CF9">
            <w:pPr>
              <w:pStyle w:val="NormalWeb"/>
              <w:rPr>
                <w:rStyle w:val="ref"/>
              </w:rPr>
            </w:pPr>
          </w:p>
        </w:tc>
        <w:tc>
          <w:tcPr>
            <w:tcW w:w="2610" w:type="dxa"/>
          </w:tcPr>
          <w:p w:rsidR="009244F0" w:rsidRPr="006E6C57" w:rsidRDefault="009244F0" w:rsidP="009D1CF9">
            <w:pPr>
              <w:pStyle w:val="NormalWeb"/>
              <w:rPr>
                <w:sz w:val="22"/>
                <w:szCs w:val="22"/>
              </w:rPr>
            </w:pPr>
            <w:proofErr w:type="spellStart"/>
            <w:r w:rsidRPr="006E6C57">
              <w:rPr>
                <w:sz w:val="22"/>
                <w:szCs w:val="22"/>
              </w:rPr>
              <w:t>Dabigatran</w:t>
            </w:r>
            <w:proofErr w:type="spellEnd"/>
            <w:r w:rsidRPr="006E6C57">
              <w:rPr>
                <w:sz w:val="22"/>
                <w:szCs w:val="22"/>
              </w:rPr>
              <w:t xml:space="preserve"> is an inhibitor of thrombin that prevents clot formation. It may be used as an alternative to warfarin for the prevention of stroke and systemic thromboembolism in patients with atrial fibrillation and risk factors for stroke.</w:t>
            </w:r>
          </w:p>
          <w:p w:rsidR="009244F0" w:rsidRPr="006E6C57" w:rsidRDefault="009244F0" w:rsidP="009D1CF9">
            <w:pPr>
              <w:pStyle w:val="NormalWeb"/>
              <w:rPr>
                <w:rStyle w:val="ref"/>
              </w:rPr>
            </w:pPr>
          </w:p>
        </w:tc>
        <w:tc>
          <w:tcPr>
            <w:tcW w:w="2875" w:type="dxa"/>
          </w:tcPr>
          <w:p w:rsidR="009244F0" w:rsidRPr="006E6C57" w:rsidRDefault="009244F0" w:rsidP="009D1CF9">
            <w:pPr>
              <w:autoSpaceDE w:val="0"/>
              <w:autoSpaceDN w:val="0"/>
              <w:adjustRightInd w:val="0"/>
              <w:spacing w:line="240" w:lineRule="auto"/>
              <w:rPr>
                <w:rFonts w:ascii="Times New Roman" w:hAnsi="Times New Roman" w:cs="Times New Roman"/>
              </w:rPr>
            </w:pPr>
            <w:r w:rsidRPr="006E6C57">
              <w:rPr>
                <w:rFonts w:ascii="Times New Roman" w:hAnsi="Times New Roman" w:cs="Times New Roman"/>
              </w:rPr>
              <w:t>Monitor for signs of occult and frank bleeding. Monitor vital signs and level of consciousness. Monitor CBC. Institute precautions</w:t>
            </w:r>
          </w:p>
          <w:p w:rsidR="009244F0" w:rsidRPr="006E6C57" w:rsidRDefault="009244F0" w:rsidP="009D1CF9">
            <w:pPr>
              <w:autoSpaceDE w:val="0"/>
              <w:autoSpaceDN w:val="0"/>
              <w:adjustRightInd w:val="0"/>
              <w:spacing w:line="240" w:lineRule="auto"/>
              <w:ind w:left="360"/>
              <w:rPr>
                <w:rFonts w:ascii="Times New Roman" w:hAnsi="Times New Roman" w:cs="Times New Roman"/>
              </w:rPr>
            </w:pPr>
            <w:proofErr w:type="gramStart"/>
            <w:r w:rsidRPr="006E6C57">
              <w:rPr>
                <w:rFonts w:ascii="Times New Roman" w:hAnsi="Times New Roman" w:cs="Times New Roman"/>
              </w:rPr>
              <w:t>such</w:t>
            </w:r>
            <w:proofErr w:type="gramEnd"/>
            <w:r w:rsidRPr="006E6C57">
              <w:rPr>
                <w:rFonts w:ascii="Times New Roman" w:hAnsi="Times New Roman" w:cs="Times New Roman"/>
              </w:rPr>
              <w:t xml:space="preserve"> as bed alarms to prevent trauma. Educate patients about the</w:t>
            </w:r>
          </w:p>
          <w:p w:rsidR="009244F0" w:rsidRPr="006E6C57" w:rsidRDefault="009244F0" w:rsidP="009D1CF9">
            <w:pPr>
              <w:autoSpaceDE w:val="0"/>
              <w:autoSpaceDN w:val="0"/>
              <w:adjustRightInd w:val="0"/>
              <w:spacing w:line="240" w:lineRule="auto"/>
              <w:ind w:left="360"/>
              <w:rPr>
                <w:rFonts w:ascii="Times New Roman" w:hAnsi="Times New Roman" w:cs="Times New Roman"/>
              </w:rPr>
            </w:pPr>
            <w:r w:rsidRPr="006E6C57">
              <w:rPr>
                <w:rFonts w:ascii="Times New Roman" w:hAnsi="Times New Roman" w:cs="Times New Roman"/>
              </w:rPr>
              <w:t>increased risk of bleeding when taken with aspirin, NSAIDs, and</w:t>
            </w:r>
          </w:p>
          <w:p w:rsidR="009244F0" w:rsidRPr="006E6C57" w:rsidRDefault="009244F0" w:rsidP="009D1CF9">
            <w:pPr>
              <w:spacing w:line="240" w:lineRule="auto"/>
              <w:ind w:left="360"/>
              <w:rPr>
                <w:rFonts w:ascii="Times New Roman" w:hAnsi="Times New Roman" w:cs="Times New Roman"/>
              </w:rPr>
            </w:pPr>
            <w:proofErr w:type="gramStart"/>
            <w:r w:rsidRPr="006E6C57">
              <w:rPr>
                <w:rFonts w:ascii="Times New Roman" w:hAnsi="Times New Roman" w:cs="Times New Roman"/>
              </w:rPr>
              <w:t>other</w:t>
            </w:r>
            <w:proofErr w:type="gramEnd"/>
            <w:r w:rsidRPr="006E6C57">
              <w:rPr>
                <w:rFonts w:ascii="Times New Roman" w:hAnsi="Times New Roman" w:cs="Times New Roman"/>
              </w:rPr>
              <w:t xml:space="preserve"> anticoagulants (</w:t>
            </w:r>
            <w:proofErr w:type="spellStart"/>
            <w:r w:rsidRPr="006E6C57">
              <w:rPr>
                <w:rFonts w:ascii="Times New Roman" w:hAnsi="Times New Roman" w:cs="Times New Roman"/>
              </w:rPr>
              <w:t>Pezzotti</w:t>
            </w:r>
            <w:proofErr w:type="spellEnd"/>
            <w:r w:rsidRPr="006E6C57">
              <w:rPr>
                <w:rFonts w:ascii="Times New Roman" w:hAnsi="Times New Roman" w:cs="Times New Roman"/>
              </w:rPr>
              <w:t xml:space="preserve"> &amp; </w:t>
            </w:r>
            <w:proofErr w:type="spellStart"/>
            <w:r w:rsidRPr="006E6C57">
              <w:rPr>
                <w:rFonts w:ascii="Times New Roman" w:hAnsi="Times New Roman" w:cs="Times New Roman"/>
              </w:rPr>
              <w:t>Freuler</w:t>
            </w:r>
            <w:proofErr w:type="spellEnd"/>
            <w:r w:rsidRPr="006E6C57">
              <w:rPr>
                <w:rFonts w:ascii="Times New Roman" w:hAnsi="Times New Roman" w:cs="Times New Roman"/>
              </w:rPr>
              <w:t>, 2012).</w:t>
            </w:r>
          </w:p>
          <w:p w:rsidR="009244F0" w:rsidRPr="006E6C57" w:rsidRDefault="009244F0" w:rsidP="009D1CF9">
            <w:pPr>
              <w:autoSpaceDE w:val="0"/>
              <w:autoSpaceDN w:val="0"/>
              <w:adjustRightInd w:val="0"/>
              <w:spacing w:line="240" w:lineRule="auto"/>
              <w:rPr>
                <w:rFonts w:ascii="Times New Roman" w:hAnsi="Times New Roman" w:cs="Times New Roman"/>
              </w:rPr>
            </w:pPr>
          </w:p>
        </w:tc>
      </w:tr>
      <w:tr w:rsidR="009244F0" w:rsidRPr="006E6C57">
        <w:tc>
          <w:tcPr>
            <w:tcW w:w="2065" w:type="dxa"/>
          </w:tcPr>
          <w:p w:rsidR="009244F0" w:rsidRPr="006E6C57" w:rsidRDefault="009244F0" w:rsidP="009D1CF9">
            <w:pPr>
              <w:pStyle w:val="NormalWeb"/>
              <w:rPr>
                <w:rStyle w:val="ref"/>
                <w:rFonts w:asciiTheme="minorHAnsi" w:eastAsiaTheme="minorHAnsi" w:hAnsiTheme="minorHAnsi" w:cstheme="minorBidi"/>
                <w:sz w:val="22"/>
                <w:szCs w:val="22"/>
              </w:rPr>
            </w:pPr>
          </w:p>
        </w:tc>
        <w:tc>
          <w:tcPr>
            <w:tcW w:w="1800" w:type="dxa"/>
          </w:tcPr>
          <w:p w:rsidR="009244F0" w:rsidRPr="006E6C57" w:rsidRDefault="009244F0" w:rsidP="009D1CF9">
            <w:pPr>
              <w:pStyle w:val="NormalWeb"/>
              <w:rPr>
                <w:sz w:val="22"/>
                <w:szCs w:val="22"/>
              </w:rPr>
            </w:pPr>
            <w:proofErr w:type="spellStart"/>
            <w:r w:rsidRPr="006E6C57">
              <w:rPr>
                <w:sz w:val="22"/>
                <w:szCs w:val="22"/>
              </w:rPr>
              <w:t>Rivaroxaban</w:t>
            </w:r>
            <w:proofErr w:type="spellEnd"/>
            <w:r w:rsidRPr="006E6C57">
              <w:rPr>
                <w:sz w:val="22"/>
                <w:szCs w:val="22"/>
              </w:rPr>
              <w:t xml:space="preserve"> (</w:t>
            </w:r>
            <w:proofErr w:type="spellStart"/>
            <w:r w:rsidRPr="006E6C57">
              <w:rPr>
                <w:sz w:val="22"/>
                <w:szCs w:val="22"/>
              </w:rPr>
              <w:t>Xarelto</w:t>
            </w:r>
            <w:proofErr w:type="spellEnd"/>
            <w:r w:rsidRPr="006E6C57">
              <w:rPr>
                <w:sz w:val="22"/>
                <w:szCs w:val="22"/>
              </w:rPr>
              <w:t xml:space="preserve">), </w:t>
            </w:r>
            <w:proofErr w:type="spellStart"/>
            <w:r w:rsidRPr="006E6C57">
              <w:rPr>
                <w:sz w:val="22"/>
                <w:szCs w:val="22"/>
              </w:rPr>
              <w:t>Apixaban</w:t>
            </w:r>
            <w:proofErr w:type="spellEnd"/>
            <w:r w:rsidRPr="006E6C57">
              <w:rPr>
                <w:sz w:val="22"/>
                <w:szCs w:val="22"/>
              </w:rPr>
              <w:t xml:space="preserve"> (</w:t>
            </w:r>
            <w:proofErr w:type="spellStart"/>
            <w:r w:rsidRPr="006E6C57">
              <w:rPr>
                <w:sz w:val="22"/>
                <w:szCs w:val="22"/>
              </w:rPr>
              <w:t>Eliquis</w:t>
            </w:r>
            <w:proofErr w:type="spellEnd"/>
            <w:r w:rsidRPr="006E6C57">
              <w:rPr>
                <w:sz w:val="22"/>
                <w:szCs w:val="22"/>
              </w:rPr>
              <w:t xml:space="preserve">), </w:t>
            </w:r>
            <w:proofErr w:type="spellStart"/>
            <w:r w:rsidRPr="006E6C57">
              <w:rPr>
                <w:sz w:val="22"/>
                <w:szCs w:val="22"/>
              </w:rPr>
              <w:t>Edoxaban</w:t>
            </w:r>
            <w:proofErr w:type="spellEnd"/>
            <w:r w:rsidRPr="006E6C57">
              <w:rPr>
                <w:sz w:val="22"/>
                <w:szCs w:val="22"/>
              </w:rPr>
              <w:t xml:space="preserve"> </w:t>
            </w:r>
            <w:r w:rsidRPr="006E6C57">
              <w:rPr>
                <w:sz w:val="22"/>
                <w:szCs w:val="22"/>
              </w:rPr>
              <w:lastRenderedPageBreak/>
              <w:t>(</w:t>
            </w:r>
            <w:proofErr w:type="spellStart"/>
            <w:r w:rsidRPr="006E6C57">
              <w:rPr>
                <w:sz w:val="22"/>
                <w:szCs w:val="22"/>
              </w:rPr>
              <w:t>Savaysa</w:t>
            </w:r>
            <w:proofErr w:type="spellEnd"/>
            <w:r w:rsidRPr="006E6C57">
              <w:rPr>
                <w:sz w:val="22"/>
                <w:szCs w:val="22"/>
              </w:rPr>
              <w:t>)</w:t>
            </w:r>
          </w:p>
          <w:p w:rsidR="009244F0" w:rsidRPr="006E6C57" w:rsidRDefault="009244F0" w:rsidP="009D1CF9">
            <w:pPr>
              <w:pStyle w:val="NormalWeb"/>
              <w:rPr>
                <w:sz w:val="22"/>
                <w:szCs w:val="22"/>
              </w:rPr>
            </w:pPr>
          </w:p>
        </w:tc>
        <w:tc>
          <w:tcPr>
            <w:tcW w:w="2610" w:type="dxa"/>
          </w:tcPr>
          <w:p w:rsidR="009244F0" w:rsidRPr="006E6C57" w:rsidRDefault="009244F0" w:rsidP="009D1CF9">
            <w:pPr>
              <w:pStyle w:val="NormalWeb"/>
              <w:rPr>
                <w:sz w:val="22"/>
                <w:szCs w:val="22"/>
              </w:rPr>
            </w:pPr>
            <w:proofErr w:type="spellStart"/>
            <w:r w:rsidRPr="006E6C57">
              <w:rPr>
                <w:sz w:val="22"/>
                <w:szCs w:val="22"/>
              </w:rPr>
              <w:lastRenderedPageBreak/>
              <w:t>Rivaroxaban</w:t>
            </w:r>
            <w:proofErr w:type="spellEnd"/>
            <w:r w:rsidRPr="006E6C57">
              <w:rPr>
                <w:sz w:val="22"/>
                <w:szCs w:val="22"/>
              </w:rPr>
              <w:t xml:space="preserve">, </w:t>
            </w:r>
            <w:proofErr w:type="spellStart"/>
            <w:r w:rsidRPr="006E6C57">
              <w:rPr>
                <w:sz w:val="22"/>
                <w:szCs w:val="22"/>
              </w:rPr>
              <w:t>apixaban</w:t>
            </w:r>
            <w:proofErr w:type="spellEnd"/>
            <w:r w:rsidRPr="006E6C57">
              <w:rPr>
                <w:sz w:val="22"/>
                <w:szCs w:val="22"/>
              </w:rPr>
              <w:t xml:space="preserve"> and </w:t>
            </w:r>
            <w:proofErr w:type="spellStart"/>
            <w:r w:rsidRPr="006E6C57">
              <w:rPr>
                <w:sz w:val="22"/>
                <w:szCs w:val="22"/>
              </w:rPr>
              <w:t>edoxaban</w:t>
            </w:r>
            <w:proofErr w:type="spellEnd"/>
            <w:r w:rsidRPr="006E6C57">
              <w:rPr>
                <w:sz w:val="22"/>
                <w:szCs w:val="22"/>
              </w:rPr>
              <w:t xml:space="preserve"> are Factor </w:t>
            </w:r>
            <w:proofErr w:type="spellStart"/>
            <w:r w:rsidRPr="006E6C57">
              <w:rPr>
                <w:sz w:val="22"/>
                <w:szCs w:val="22"/>
              </w:rPr>
              <w:t>Xa</w:t>
            </w:r>
            <w:proofErr w:type="spellEnd"/>
            <w:r w:rsidRPr="006E6C57">
              <w:rPr>
                <w:sz w:val="22"/>
                <w:szCs w:val="22"/>
              </w:rPr>
              <w:t xml:space="preserve"> inhibitors indicated to reduce the risk of stroke and systemic embolism in </w:t>
            </w:r>
            <w:r w:rsidRPr="006E6C57">
              <w:rPr>
                <w:sz w:val="22"/>
                <w:szCs w:val="22"/>
              </w:rPr>
              <w:lastRenderedPageBreak/>
              <w:t xml:space="preserve">patients with </w:t>
            </w:r>
            <w:proofErr w:type="spellStart"/>
            <w:r w:rsidRPr="006E6C57">
              <w:rPr>
                <w:sz w:val="22"/>
                <w:szCs w:val="22"/>
              </w:rPr>
              <w:t>nonvalvular</w:t>
            </w:r>
            <w:proofErr w:type="spellEnd"/>
            <w:r w:rsidRPr="006E6C57">
              <w:rPr>
                <w:sz w:val="22"/>
                <w:szCs w:val="22"/>
              </w:rPr>
              <w:t xml:space="preserve"> atrial fibrillation. </w:t>
            </w:r>
          </w:p>
          <w:p w:rsidR="009244F0" w:rsidRPr="006E6C57" w:rsidRDefault="009244F0" w:rsidP="009D1CF9">
            <w:pPr>
              <w:pStyle w:val="NormalWeb"/>
              <w:rPr>
                <w:sz w:val="22"/>
                <w:szCs w:val="22"/>
              </w:rPr>
            </w:pPr>
          </w:p>
        </w:tc>
        <w:tc>
          <w:tcPr>
            <w:tcW w:w="2875" w:type="dxa"/>
          </w:tcPr>
          <w:p w:rsidR="009244F0" w:rsidRPr="006E6C57" w:rsidRDefault="009244F0" w:rsidP="009D1CF9">
            <w:pPr>
              <w:autoSpaceDE w:val="0"/>
              <w:autoSpaceDN w:val="0"/>
              <w:adjustRightInd w:val="0"/>
              <w:spacing w:line="240" w:lineRule="auto"/>
              <w:rPr>
                <w:rFonts w:ascii="Times New Roman" w:hAnsi="Times New Roman" w:cs="Times New Roman"/>
              </w:rPr>
            </w:pPr>
            <w:r w:rsidRPr="006E6C57">
              <w:rPr>
                <w:rFonts w:ascii="Times New Roman" w:hAnsi="Times New Roman" w:cs="Times New Roman"/>
              </w:rPr>
              <w:lastRenderedPageBreak/>
              <w:t>Same as above</w:t>
            </w:r>
          </w:p>
        </w:tc>
      </w:tr>
      <w:tr w:rsidR="009244F0" w:rsidRPr="006E6C57">
        <w:tc>
          <w:tcPr>
            <w:tcW w:w="2065" w:type="dxa"/>
          </w:tcPr>
          <w:p w:rsidR="009244F0" w:rsidRPr="006E6C57" w:rsidRDefault="009244F0" w:rsidP="009D1CF9">
            <w:pPr>
              <w:pStyle w:val="NormalWeb"/>
              <w:rPr>
                <w:sz w:val="22"/>
                <w:szCs w:val="22"/>
                <w:u w:val="single"/>
              </w:rPr>
            </w:pPr>
            <w:r w:rsidRPr="006E6C57">
              <w:rPr>
                <w:sz w:val="22"/>
                <w:szCs w:val="22"/>
                <w:u w:val="single"/>
              </w:rPr>
              <w:lastRenderedPageBreak/>
              <w:t>Anti-</w:t>
            </w:r>
            <w:proofErr w:type="spellStart"/>
            <w:r w:rsidRPr="006E6C57">
              <w:rPr>
                <w:sz w:val="22"/>
                <w:szCs w:val="22"/>
                <w:u w:val="single"/>
              </w:rPr>
              <w:t>hypertensives</w:t>
            </w:r>
            <w:proofErr w:type="spellEnd"/>
          </w:p>
          <w:p w:rsidR="009244F0" w:rsidRPr="006E6C57" w:rsidRDefault="009244F0" w:rsidP="009D1CF9">
            <w:pPr>
              <w:pStyle w:val="NormalWeb"/>
              <w:rPr>
                <w:rStyle w:val="ref"/>
              </w:rPr>
            </w:pPr>
          </w:p>
        </w:tc>
        <w:tc>
          <w:tcPr>
            <w:tcW w:w="1800" w:type="dxa"/>
          </w:tcPr>
          <w:p w:rsidR="009244F0" w:rsidRPr="006E6C57" w:rsidRDefault="009244F0" w:rsidP="009D1CF9">
            <w:pPr>
              <w:pStyle w:val="NormalWeb"/>
              <w:rPr>
                <w:sz w:val="22"/>
                <w:szCs w:val="22"/>
              </w:rPr>
            </w:pPr>
            <w:r w:rsidRPr="006E6C57">
              <w:rPr>
                <w:sz w:val="22"/>
                <w:szCs w:val="22"/>
              </w:rPr>
              <w:t>ACE inhibitors, Angiotensin receptor blockers, Beta-blockers, or Calcium antagonists</w:t>
            </w:r>
          </w:p>
        </w:tc>
        <w:tc>
          <w:tcPr>
            <w:tcW w:w="2610" w:type="dxa"/>
          </w:tcPr>
          <w:p w:rsidR="009244F0" w:rsidRPr="006E6C57" w:rsidRDefault="009244F0" w:rsidP="009D1CF9">
            <w:pPr>
              <w:pStyle w:val="NormalWeb"/>
              <w:rPr>
                <w:sz w:val="22"/>
                <w:szCs w:val="22"/>
              </w:rPr>
            </w:pPr>
            <w:r w:rsidRPr="006E6C57">
              <w:rPr>
                <w:sz w:val="22"/>
                <w:szCs w:val="22"/>
              </w:rPr>
              <w:t>Various anti-</w:t>
            </w:r>
            <w:proofErr w:type="spellStart"/>
            <w:r w:rsidRPr="006E6C57">
              <w:rPr>
                <w:sz w:val="22"/>
                <w:szCs w:val="22"/>
              </w:rPr>
              <w:t>hypertensives</w:t>
            </w:r>
            <w:proofErr w:type="spellEnd"/>
            <w:r w:rsidRPr="006E6C57">
              <w:rPr>
                <w:sz w:val="22"/>
                <w:szCs w:val="22"/>
              </w:rPr>
              <w:t>, such as ACE inhibitors, beta-blockers or calcium antagonists may be used for patients with systolic blood pressure higher than 220 mm Hg or diastolic blood pressure above 120 mm Hg. In those patients, a reasonable goal is to lower blood pressure by 15% during the first 24 hours after onset of stroke. Care must be taken to not lower blood pressure too quickly or aggressively, since this could worsen perfusion in the penumbra.</w:t>
            </w:r>
          </w:p>
          <w:p w:rsidR="009244F0" w:rsidRPr="006E6C57" w:rsidRDefault="009244F0" w:rsidP="009D1CF9">
            <w:pPr>
              <w:pStyle w:val="NormalWeb"/>
              <w:rPr>
                <w:sz w:val="22"/>
                <w:szCs w:val="22"/>
              </w:rPr>
            </w:pPr>
          </w:p>
        </w:tc>
        <w:tc>
          <w:tcPr>
            <w:tcW w:w="2875" w:type="dxa"/>
          </w:tcPr>
          <w:p w:rsidR="009244F0" w:rsidRPr="006E6C57" w:rsidRDefault="009244F0" w:rsidP="009D1CF9">
            <w:pPr>
              <w:pStyle w:val="NormalWeb"/>
              <w:rPr>
                <w:sz w:val="22"/>
                <w:szCs w:val="22"/>
              </w:rPr>
            </w:pPr>
            <w:r w:rsidRPr="006E6C57">
              <w:rPr>
                <w:sz w:val="22"/>
                <w:szCs w:val="22"/>
              </w:rPr>
              <w:t xml:space="preserve">Monitor pulse; hold medication if bradycardia or hypotension present. Monitor BP and observe for postural hypotension. Monitor K+ level. Avoid use of salt substitute (principal ingredient: potassium salt) and potassium supplements because of the potential for hyperkalemia. Notify physician of a persistent nonproductive cough, especially at night, accompanied by nasal congestion. Stop </w:t>
            </w:r>
            <w:proofErr w:type="gramStart"/>
            <w:r w:rsidRPr="006E6C57">
              <w:rPr>
                <w:sz w:val="22"/>
                <w:szCs w:val="22"/>
              </w:rPr>
              <w:t>drug  promptly</w:t>
            </w:r>
            <w:proofErr w:type="gramEnd"/>
            <w:r w:rsidRPr="006E6C57">
              <w:rPr>
                <w:sz w:val="22"/>
                <w:szCs w:val="22"/>
              </w:rPr>
              <w:t xml:space="preserve"> if swelling of face, eyelids, tongue, lips, or extremities occurs.</w:t>
            </w:r>
          </w:p>
        </w:tc>
      </w:tr>
      <w:tr w:rsidR="009244F0" w:rsidRPr="006E6C57">
        <w:tc>
          <w:tcPr>
            <w:tcW w:w="2065" w:type="dxa"/>
          </w:tcPr>
          <w:p w:rsidR="009244F0" w:rsidRPr="006E6C57" w:rsidRDefault="009244F0" w:rsidP="009D1CF9">
            <w:pPr>
              <w:pStyle w:val="NormalWeb"/>
              <w:rPr>
                <w:rStyle w:val="ref"/>
                <w:rFonts w:asciiTheme="minorHAnsi" w:eastAsiaTheme="minorHAnsi" w:hAnsiTheme="minorHAnsi" w:cstheme="minorBidi"/>
                <w:sz w:val="22"/>
                <w:szCs w:val="22"/>
              </w:rPr>
            </w:pPr>
            <w:r w:rsidRPr="006E6C57">
              <w:rPr>
                <w:rStyle w:val="ref"/>
                <w:sz w:val="22"/>
                <w:szCs w:val="22"/>
              </w:rPr>
              <w:t>Anti-</w:t>
            </w:r>
            <w:proofErr w:type="spellStart"/>
            <w:r w:rsidRPr="006E6C57">
              <w:rPr>
                <w:rStyle w:val="ref"/>
                <w:sz w:val="22"/>
                <w:szCs w:val="22"/>
              </w:rPr>
              <w:t>lipidemia</w:t>
            </w:r>
            <w:proofErr w:type="spellEnd"/>
          </w:p>
        </w:tc>
        <w:tc>
          <w:tcPr>
            <w:tcW w:w="1800" w:type="dxa"/>
          </w:tcPr>
          <w:p w:rsidR="009244F0" w:rsidRPr="006E6C57" w:rsidRDefault="009244F0" w:rsidP="009D1CF9">
            <w:pPr>
              <w:pStyle w:val="NormalWeb"/>
              <w:rPr>
                <w:sz w:val="22"/>
                <w:szCs w:val="22"/>
              </w:rPr>
            </w:pPr>
            <w:r w:rsidRPr="006E6C57">
              <w:rPr>
                <w:sz w:val="22"/>
                <w:szCs w:val="22"/>
              </w:rPr>
              <w:t>“Statins” (</w:t>
            </w:r>
            <w:proofErr w:type="spellStart"/>
            <w:r w:rsidRPr="006E6C57">
              <w:rPr>
                <w:sz w:val="22"/>
                <w:szCs w:val="22"/>
              </w:rPr>
              <w:t>eg</w:t>
            </w:r>
            <w:proofErr w:type="spellEnd"/>
            <w:r w:rsidRPr="006E6C57">
              <w:rPr>
                <w:sz w:val="22"/>
                <w:szCs w:val="22"/>
              </w:rPr>
              <w:t>. Atorvastatin, Simvastatin)</w:t>
            </w:r>
          </w:p>
        </w:tc>
        <w:tc>
          <w:tcPr>
            <w:tcW w:w="2610" w:type="dxa"/>
          </w:tcPr>
          <w:p w:rsidR="009244F0" w:rsidRPr="006E6C57" w:rsidRDefault="009244F0" w:rsidP="009D1CF9">
            <w:pPr>
              <w:pStyle w:val="NormalWeb"/>
              <w:rPr>
                <w:sz w:val="22"/>
                <w:szCs w:val="22"/>
              </w:rPr>
            </w:pPr>
            <w:r w:rsidRPr="006E6C57">
              <w:rPr>
                <w:sz w:val="22"/>
                <w:szCs w:val="22"/>
              </w:rPr>
              <w:t xml:space="preserve">HMG-CoA reductase inhibitors limit synthesis of cholesterol by the liver. </w:t>
            </w:r>
          </w:p>
        </w:tc>
        <w:tc>
          <w:tcPr>
            <w:tcW w:w="2875" w:type="dxa"/>
          </w:tcPr>
          <w:p w:rsidR="009244F0" w:rsidRPr="006E6C57" w:rsidRDefault="009244F0" w:rsidP="009D1CF9">
            <w:pPr>
              <w:spacing w:line="240" w:lineRule="auto"/>
              <w:rPr>
                <w:rFonts w:ascii="Times New Roman" w:eastAsia="Times New Roman" w:hAnsi="Times New Roman" w:cs="Times New Roman"/>
              </w:rPr>
            </w:pPr>
            <w:r w:rsidRPr="006E6C57">
              <w:rPr>
                <w:rFonts w:ascii="Times New Roman" w:eastAsia="Times New Roman" w:hAnsi="Times New Roman" w:cs="Times New Roman"/>
              </w:rPr>
              <w:t xml:space="preserve">Periodically monitor cholesterol (including HDL, LDL, and total cholesterol levels), triglycerides, </w:t>
            </w:r>
            <w:proofErr w:type="spellStart"/>
            <w:r w:rsidRPr="006E6C57">
              <w:rPr>
                <w:rFonts w:ascii="Times New Roman" w:eastAsia="Times New Roman" w:hAnsi="Times New Roman" w:cs="Times New Roman"/>
              </w:rPr>
              <w:t>creatine</w:t>
            </w:r>
            <w:proofErr w:type="spellEnd"/>
            <w:r w:rsidRPr="006E6C57">
              <w:rPr>
                <w:rFonts w:ascii="Times New Roman" w:eastAsia="Times New Roman" w:hAnsi="Times New Roman" w:cs="Times New Roman"/>
              </w:rPr>
              <w:t xml:space="preserve"> kinase, and other hepatic enzymes. </w:t>
            </w:r>
          </w:p>
          <w:p w:rsidR="009244F0" w:rsidRPr="006E6C57" w:rsidRDefault="009244F0" w:rsidP="009D1CF9">
            <w:pPr>
              <w:spacing w:line="240" w:lineRule="auto"/>
              <w:rPr>
                <w:rFonts w:ascii="Times New Roman" w:hAnsi="Times New Roman" w:cs="Times New Roman"/>
              </w:rPr>
            </w:pPr>
            <w:r w:rsidRPr="006E6C57">
              <w:rPr>
                <w:rFonts w:ascii="Times New Roman" w:eastAsia="Times New Roman" w:hAnsi="Times New Roman" w:cs="Times New Roman"/>
              </w:rPr>
              <w:t>Risk of hepatotoxicity is increased with concurrent use of acetaminophen or alcohol.</w:t>
            </w:r>
          </w:p>
          <w:p w:rsidR="009244F0" w:rsidRPr="006E6C57" w:rsidRDefault="009244F0" w:rsidP="009D1CF9">
            <w:pPr>
              <w:spacing w:line="240" w:lineRule="auto"/>
              <w:rPr>
                <w:rFonts w:ascii="Times New Roman" w:hAnsi="Times New Roman" w:cs="Times New Roman"/>
              </w:rPr>
            </w:pPr>
            <w:r w:rsidRPr="006E6C57">
              <w:rPr>
                <w:rFonts w:ascii="Times New Roman" w:hAnsi="Times New Roman" w:cs="Times New Roman"/>
              </w:rPr>
              <w:t xml:space="preserve"> Monitor for signs of statin-induced </w:t>
            </w:r>
            <w:proofErr w:type="spellStart"/>
            <w:r w:rsidRPr="006E6C57">
              <w:rPr>
                <w:rFonts w:ascii="Times New Roman" w:hAnsi="Times New Roman" w:cs="Times New Roman"/>
              </w:rPr>
              <w:t>rhabdomyolysis</w:t>
            </w:r>
            <w:proofErr w:type="spellEnd"/>
            <w:r w:rsidRPr="006E6C57">
              <w:rPr>
                <w:rFonts w:ascii="Times New Roman" w:hAnsi="Times New Roman" w:cs="Times New Roman"/>
              </w:rPr>
              <w:t>, such as dark colored urine, muscle pain, and elevated hepatic enzymes. Patient should avoid grapefruit.</w:t>
            </w:r>
          </w:p>
        </w:tc>
      </w:tr>
    </w:tbl>
    <w:p w:rsidR="009244F0" w:rsidRPr="00074927" w:rsidRDefault="009244F0" w:rsidP="00074927">
      <w:pPr>
        <w:pStyle w:val="NormalWeb"/>
        <w:spacing w:line="480" w:lineRule="auto"/>
        <w:rPr>
          <w:rFonts w:asciiTheme="minorHAnsi" w:eastAsiaTheme="minorHAnsi" w:hAnsiTheme="minorHAnsi" w:cstheme="minorBidi"/>
          <w:sz w:val="22"/>
          <w:szCs w:val="22"/>
        </w:rPr>
      </w:pPr>
      <w:r w:rsidRPr="006E6C57">
        <w:rPr>
          <w:rStyle w:val="ref"/>
          <w:sz w:val="22"/>
          <w:szCs w:val="22"/>
        </w:rPr>
        <w:t xml:space="preserve">Table adapted from </w:t>
      </w:r>
      <w:proofErr w:type="spellStart"/>
      <w:r w:rsidRPr="006E6C57">
        <w:rPr>
          <w:rStyle w:val="ref"/>
          <w:sz w:val="22"/>
          <w:szCs w:val="22"/>
        </w:rPr>
        <w:t>Jauch</w:t>
      </w:r>
      <w:proofErr w:type="spellEnd"/>
      <w:r w:rsidRPr="006E6C57">
        <w:rPr>
          <w:rStyle w:val="ref"/>
          <w:sz w:val="22"/>
          <w:szCs w:val="22"/>
        </w:rPr>
        <w:t>, Saver, Adams, et al (2013). American Heart Associati</w:t>
      </w:r>
      <w:r w:rsidRPr="006E6C57">
        <w:rPr>
          <w:rStyle w:val="ref"/>
        </w:rPr>
        <w:t xml:space="preserve">on / American Stroke Association </w:t>
      </w:r>
      <w:r w:rsidRPr="006E6C57">
        <w:rPr>
          <w:bCs/>
          <w:kern w:val="36"/>
        </w:rPr>
        <w:t xml:space="preserve">Guidelines for the Early Management of Patients </w:t>
      </w:r>
      <w:proofErr w:type="gramStart"/>
      <w:r w:rsidRPr="006E6C57">
        <w:rPr>
          <w:bCs/>
          <w:kern w:val="36"/>
        </w:rPr>
        <w:t>With</w:t>
      </w:r>
      <w:proofErr w:type="gramEnd"/>
      <w:r w:rsidRPr="006E6C57">
        <w:rPr>
          <w:bCs/>
          <w:kern w:val="36"/>
        </w:rPr>
        <w:t xml:space="preserve"> Acute Ischemic Stroke. </w:t>
      </w:r>
      <w:r w:rsidRPr="006E6C57">
        <w:rPr>
          <w:i/>
        </w:rPr>
        <w:t>Stroke</w:t>
      </w:r>
      <w:r w:rsidRPr="006E6C57">
        <w:t xml:space="preserve">, </w:t>
      </w:r>
      <w:r w:rsidRPr="006E6C57">
        <w:rPr>
          <w:rStyle w:val="slug-vol2"/>
        </w:rPr>
        <w:t>44, p.</w:t>
      </w:r>
      <w:r w:rsidRPr="006E6C57">
        <w:rPr>
          <w:rStyle w:val="slug-vol2"/>
          <w:b/>
        </w:rPr>
        <w:t xml:space="preserve"> </w:t>
      </w:r>
      <w:r w:rsidRPr="006E6C57">
        <w:rPr>
          <w:rStyle w:val="slug-pages3"/>
          <w:b w:val="0"/>
        </w:rPr>
        <w:t>870-947</w:t>
      </w:r>
      <w:r w:rsidRPr="006E6C57">
        <w:rPr>
          <w:rStyle w:val="slug-pages3"/>
          <w:b w:val="0"/>
          <w:sz w:val="22"/>
          <w:szCs w:val="22"/>
        </w:rPr>
        <w:t>.</w:t>
      </w:r>
      <w:r w:rsidRPr="006E6C57">
        <w:rPr>
          <w:rStyle w:val="slug-pages3"/>
          <w:rFonts w:ascii="Lucida Sans Unicode" w:hAnsi="Lucida Sans Unicode" w:cs="Lucida Sans Unicode"/>
          <w:sz w:val="14"/>
          <w:szCs w:val="14"/>
        </w:rPr>
        <w:t xml:space="preserve"> </w:t>
      </w:r>
      <w:r w:rsidRPr="006E6C57">
        <w:rPr>
          <w:bCs/>
          <w:kern w:val="36"/>
        </w:rPr>
        <w:t xml:space="preserve">Available at: </w:t>
      </w:r>
      <w:r w:rsidRPr="00074927">
        <w:rPr>
          <w:rFonts w:eastAsiaTheme="majorEastAsia"/>
          <w:bCs/>
          <w:kern w:val="36"/>
        </w:rPr>
        <w:t>http://stroke.ahajournals.org/content/44/3/870</w:t>
      </w:r>
    </w:p>
    <w:sectPr w:rsidR="009244F0" w:rsidRPr="00074927" w:rsidSect="007C48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1D" w:rsidRDefault="0043271D">
      <w:pPr>
        <w:spacing w:after="0" w:line="240" w:lineRule="auto"/>
      </w:pPr>
      <w:r>
        <w:separator/>
      </w:r>
    </w:p>
  </w:endnote>
  <w:endnote w:type="continuationSeparator" w:id="0">
    <w:p w:rsidR="0043271D" w:rsidRDefault="0043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mbria"/>
    <w:panose1 w:val="020B0502040204020203"/>
    <w:charset w:val="4D"/>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109161"/>
      <w:docPartObj>
        <w:docPartGallery w:val="Page Numbers (Bottom of Page)"/>
        <w:docPartUnique/>
      </w:docPartObj>
    </w:sdtPr>
    <w:sdtEndPr>
      <w:rPr>
        <w:noProof/>
      </w:rPr>
    </w:sdtEndPr>
    <w:sdtContent>
      <w:p w:rsidR="00DF5D92" w:rsidRDefault="0043271D">
        <w:pPr>
          <w:pStyle w:val="Footer"/>
          <w:jc w:val="right"/>
        </w:pPr>
        <w:r>
          <w:fldChar w:fldCharType="begin"/>
        </w:r>
        <w:r>
          <w:instrText xml:space="preserve"> PAGE   \* MERGEFORMAT </w:instrText>
        </w:r>
        <w:r>
          <w:fldChar w:fldCharType="separate"/>
        </w:r>
        <w:r w:rsidR="00A25A09">
          <w:rPr>
            <w:noProof/>
          </w:rPr>
          <w:t>1</w:t>
        </w:r>
        <w:r>
          <w:rPr>
            <w:noProof/>
          </w:rPr>
          <w:fldChar w:fldCharType="end"/>
        </w:r>
      </w:p>
    </w:sdtContent>
  </w:sdt>
  <w:p w:rsidR="00DF5D92" w:rsidRDefault="00432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1D" w:rsidRDefault="0043271D">
      <w:pPr>
        <w:spacing w:after="0" w:line="240" w:lineRule="auto"/>
      </w:pPr>
      <w:r>
        <w:separator/>
      </w:r>
    </w:p>
  </w:footnote>
  <w:footnote w:type="continuationSeparator" w:id="0">
    <w:p w:rsidR="0043271D" w:rsidRDefault="0043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0607EBF"/>
    <w:multiLevelType w:val="multilevel"/>
    <w:tmpl w:val="776E4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67100"/>
    <w:multiLevelType w:val="multilevel"/>
    <w:tmpl w:val="BCDCDB1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434A8"/>
    <w:multiLevelType w:val="hybridMultilevel"/>
    <w:tmpl w:val="3700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069AD"/>
    <w:multiLevelType w:val="multilevel"/>
    <w:tmpl w:val="D714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D288A"/>
    <w:multiLevelType w:val="hybridMultilevel"/>
    <w:tmpl w:val="FD02F4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24656"/>
    <w:multiLevelType w:val="multilevel"/>
    <w:tmpl w:val="35D8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5058D"/>
    <w:multiLevelType w:val="multilevel"/>
    <w:tmpl w:val="671AE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3547B"/>
    <w:multiLevelType w:val="multilevel"/>
    <w:tmpl w:val="74927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9325C"/>
    <w:multiLevelType w:val="multilevel"/>
    <w:tmpl w:val="6B96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24E42"/>
    <w:multiLevelType w:val="multilevel"/>
    <w:tmpl w:val="0874B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F1904"/>
    <w:multiLevelType w:val="multilevel"/>
    <w:tmpl w:val="A384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0E2D19"/>
    <w:multiLevelType w:val="multilevel"/>
    <w:tmpl w:val="B32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655EA"/>
    <w:multiLevelType w:val="multilevel"/>
    <w:tmpl w:val="7442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3C644D"/>
    <w:multiLevelType w:val="multilevel"/>
    <w:tmpl w:val="7962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70766A"/>
    <w:multiLevelType w:val="multilevel"/>
    <w:tmpl w:val="03400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F177F9"/>
    <w:multiLevelType w:val="multilevel"/>
    <w:tmpl w:val="A1A6D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336E4"/>
    <w:multiLevelType w:val="multilevel"/>
    <w:tmpl w:val="10C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F962A2"/>
    <w:multiLevelType w:val="hybridMultilevel"/>
    <w:tmpl w:val="761A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114022"/>
    <w:multiLevelType w:val="multilevel"/>
    <w:tmpl w:val="2C2E2B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96BCA"/>
    <w:multiLevelType w:val="multilevel"/>
    <w:tmpl w:val="FB92A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87B94"/>
    <w:multiLevelType w:val="multilevel"/>
    <w:tmpl w:val="65223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52977"/>
    <w:multiLevelType w:val="multilevel"/>
    <w:tmpl w:val="F43E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3B728D"/>
    <w:multiLevelType w:val="multilevel"/>
    <w:tmpl w:val="AB40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DD2CCC"/>
    <w:multiLevelType w:val="multilevel"/>
    <w:tmpl w:val="83F01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6803C2"/>
    <w:multiLevelType w:val="multilevel"/>
    <w:tmpl w:val="9BEE9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3"/>
  </w:num>
  <w:num w:numId="4">
    <w:abstractNumId w:val="12"/>
  </w:num>
  <w:num w:numId="5">
    <w:abstractNumId w:val="11"/>
  </w:num>
  <w:num w:numId="6">
    <w:abstractNumId w:val="8"/>
  </w:num>
  <w:num w:numId="7">
    <w:abstractNumId w:val="22"/>
  </w:num>
  <w:num w:numId="8">
    <w:abstractNumId w:val="18"/>
  </w:num>
  <w:num w:numId="9">
    <w:abstractNumId w:val="2"/>
  </w:num>
  <w:num w:numId="10">
    <w:abstractNumId w:val="4"/>
  </w:num>
  <w:num w:numId="11">
    <w:abstractNumId w:val="17"/>
  </w:num>
  <w:num w:numId="12">
    <w:abstractNumId w:val="10"/>
  </w:num>
  <w:num w:numId="13">
    <w:abstractNumId w:val="0"/>
  </w:num>
  <w:num w:numId="14">
    <w:abstractNumId w:val="6"/>
  </w:num>
  <w:num w:numId="15">
    <w:abstractNumId w:val="9"/>
  </w:num>
  <w:num w:numId="16">
    <w:abstractNumId w:val="19"/>
  </w:num>
  <w:num w:numId="17">
    <w:abstractNumId w:val="15"/>
  </w:num>
  <w:num w:numId="18">
    <w:abstractNumId w:val="20"/>
  </w:num>
  <w:num w:numId="19">
    <w:abstractNumId w:val="7"/>
  </w:num>
  <w:num w:numId="20">
    <w:abstractNumId w:val="23"/>
  </w:num>
  <w:num w:numId="21">
    <w:abstractNumId w:val="14"/>
  </w:num>
  <w:num w:numId="22">
    <w:abstractNumId w:val="21"/>
  </w:num>
  <w:num w:numId="23">
    <w:abstractNumId w:val="13"/>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F0"/>
    <w:rsid w:val="000369C8"/>
    <w:rsid w:val="00074927"/>
    <w:rsid w:val="0043271D"/>
    <w:rsid w:val="0052730C"/>
    <w:rsid w:val="005A4712"/>
    <w:rsid w:val="006814C1"/>
    <w:rsid w:val="009244F0"/>
    <w:rsid w:val="009D1CF9"/>
    <w:rsid w:val="00A25A09"/>
    <w:rsid w:val="00D3311B"/>
    <w:rsid w:val="00F26F94"/>
    <w:rsid w:val="00F407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F0"/>
    <w:pPr>
      <w:spacing w:after="160" w:line="259" w:lineRule="auto"/>
    </w:pPr>
    <w:rPr>
      <w:sz w:val="22"/>
      <w:szCs w:val="22"/>
    </w:rPr>
  </w:style>
  <w:style w:type="paragraph" w:styleId="Heading1">
    <w:name w:val="heading 1"/>
    <w:basedOn w:val="Normal"/>
    <w:next w:val="Normal"/>
    <w:link w:val="Heading1Char"/>
    <w:uiPriority w:val="9"/>
    <w:qFormat/>
    <w:rsid w:val="009244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244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2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2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4F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244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9244F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244F0"/>
    <w:rPr>
      <w:rFonts w:asciiTheme="majorHAnsi" w:eastAsiaTheme="majorEastAsia" w:hAnsiTheme="majorHAnsi" w:cstheme="majorBidi"/>
      <w:color w:val="365F91" w:themeColor="accent1" w:themeShade="BF"/>
      <w:sz w:val="22"/>
      <w:szCs w:val="22"/>
    </w:rPr>
  </w:style>
  <w:style w:type="character" w:styleId="Strong">
    <w:name w:val="Strong"/>
    <w:basedOn w:val="DefaultParagraphFont"/>
    <w:uiPriority w:val="22"/>
    <w:qFormat/>
    <w:rsid w:val="009244F0"/>
    <w:rPr>
      <w:b/>
      <w:bCs/>
    </w:rPr>
  </w:style>
  <w:style w:type="character" w:styleId="Hyperlink">
    <w:name w:val="Hyperlink"/>
    <w:basedOn w:val="DefaultParagraphFont"/>
    <w:uiPriority w:val="99"/>
    <w:unhideWhenUsed/>
    <w:rsid w:val="009244F0"/>
    <w:rPr>
      <w:color w:val="0000FF"/>
      <w:u w:val="single"/>
    </w:rPr>
  </w:style>
  <w:style w:type="character" w:customStyle="1" w:styleId="highlight">
    <w:name w:val="highlight"/>
    <w:basedOn w:val="DefaultParagraphFont"/>
    <w:rsid w:val="009244F0"/>
  </w:style>
  <w:style w:type="paragraph" w:styleId="Header">
    <w:name w:val="header"/>
    <w:basedOn w:val="Normal"/>
    <w:link w:val="HeaderChar"/>
    <w:uiPriority w:val="99"/>
    <w:unhideWhenUsed/>
    <w:rsid w:val="00924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F0"/>
    <w:rPr>
      <w:sz w:val="22"/>
      <w:szCs w:val="22"/>
    </w:rPr>
  </w:style>
  <w:style w:type="paragraph" w:styleId="Footer">
    <w:name w:val="footer"/>
    <w:basedOn w:val="Normal"/>
    <w:link w:val="FooterChar"/>
    <w:uiPriority w:val="99"/>
    <w:unhideWhenUsed/>
    <w:rsid w:val="00924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F0"/>
    <w:rPr>
      <w:sz w:val="22"/>
      <w:szCs w:val="22"/>
    </w:rPr>
  </w:style>
  <w:style w:type="character" w:customStyle="1" w:styleId="paragraph">
    <w:name w:val="paragraph"/>
    <w:basedOn w:val="DefaultParagraphFont"/>
    <w:rsid w:val="009244F0"/>
  </w:style>
  <w:style w:type="character" w:customStyle="1" w:styleId="references">
    <w:name w:val="references"/>
    <w:basedOn w:val="DefaultParagraphFont"/>
    <w:rsid w:val="009244F0"/>
  </w:style>
  <w:style w:type="paragraph" w:styleId="NormalWeb">
    <w:name w:val="Normal (Web)"/>
    <w:basedOn w:val="Normal"/>
    <w:uiPriority w:val="99"/>
    <w:unhideWhenUsed/>
    <w:rsid w:val="009244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44F0"/>
    <w:rPr>
      <w:i/>
      <w:iCs/>
    </w:rPr>
  </w:style>
  <w:style w:type="character" w:customStyle="1" w:styleId="ref">
    <w:name w:val="ref"/>
    <w:basedOn w:val="DefaultParagraphFont"/>
    <w:rsid w:val="009244F0"/>
  </w:style>
  <w:style w:type="table" w:styleId="TableGrid">
    <w:name w:val="Table Grid"/>
    <w:basedOn w:val="TableNormal"/>
    <w:uiPriority w:val="39"/>
    <w:rsid w:val="009244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9244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44F0"/>
    <w:pPr>
      <w:ind w:left="720"/>
      <w:contextualSpacing/>
    </w:pPr>
  </w:style>
  <w:style w:type="character" w:customStyle="1" w:styleId="current-selection">
    <w:name w:val="current-selection"/>
    <w:basedOn w:val="DefaultParagraphFont"/>
    <w:rsid w:val="009244F0"/>
  </w:style>
  <w:style w:type="character" w:customStyle="1" w:styleId="a">
    <w:name w:val="_"/>
    <w:basedOn w:val="DefaultParagraphFont"/>
    <w:rsid w:val="009244F0"/>
  </w:style>
  <w:style w:type="character" w:customStyle="1" w:styleId="enhanced-reference">
    <w:name w:val="enhanced-reference"/>
    <w:basedOn w:val="DefaultParagraphFont"/>
    <w:rsid w:val="009244F0"/>
  </w:style>
  <w:style w:type="character" w:customStyle="1" w:styleId="ff3">
    <w:name w:val="ff3"/>
    <w:basedOn w:val="DefaultParagraphFont"/>
    <w:rsid w:val="009244F0"/>
  </w:style>
  <w:style w:type="character" w:customStyle="1" w:styleId="widgettitle3">
    <w:name w:val="widget_title3"/>
    <w:basedOn w:val="DefaultParagraphFont"/>
    <w:rsid w:val="009244F0"/>
  </w:style>
  <w:style w:type="paragraph" w:customStyle="1" w:styleId="p">
    <w:name w:val="p"/>
    <w:basedOn w:val="Normal"/>
    <w:rsid w:val="00924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9244F0"/>
  </w:style>
  <w:style w:type="character" w:customStyle="1" w:styleId="ref-title">
    <w:name w:val="ref-title"/>
    <w:basedOn w:val="DefaultParagraphFont"/>
    <w:rsid w:val="009244F0"/>
  </w:style>
  <w:style w:type="character" w:customStyle="1" w:styleId="ref-journal">
    <w:name w:val="ref-journal"/>
    <w:basedOn w:val="DefaultParagraphFont"/>
    <w:rsid w:val="009244F0"/>
  </w:style>
  <w:style w:type="character" w:customStyle="1" w:styleId="ref-vol">
    <w:name w:val="ref-vol"/>
    <w:basedOn w:val="DefaultParagraphFont"/>
    <w:rsid w:val="009244F0"/>
  </w:style>
  <w:style w:type="character" w:customStyle="1" w:styleId="fulltext-it">
    <w:name w:val="fulltext-it"/>
    <w:basedOn w:val="DefaultParagraphFont"/>
    <w:rsid w:val="009244F0"/>
  </w:style>
  <w:style w:type="character" w:customStyle="1" w:styleId="ui-ncbitoggler-master-text">
    <w:name w:val="ui-ncbitoggler-master-text"/>
    <w:basedOn w:val="DefaultParagraphFont"/>
    <w:rsid w:val="009244F0"/>
  </w:style>
  <w:style w:type="character" w:customStyle="1" w:styleId="cit-auth">
    <w:name w:val="cit-auth"/>
    <w:basedOn w:val="DefaultParagraphFont"/>
    <w:rsid w:val="009244F0"/>
  </w:style>
  <w:style w:type="character" w:customStyle="1" w:styleId="lexicon-term">
    <w:name w:val="lexicon-term"/>
    <w:basedOn w:val="DefaultParagraphFont"/>
    <w:rsid w:val="009244F0"/>
  </w:style>
  <w:style w:type="paragraph" w:customStyle="1" w:styleId="loose">
    <w:name w:val="loose"/>
    <w:basedOn w:val="Normal"/>
    <w:rsid w:val="009244F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244F0"/>
    <w:rPr>
      <w:color w:val="800080" w:themeColor="followedHyperlink"/>
      <w:u w:val="single"/>
    </w:rPr>
  </w:style>
  <w:style w:type="character" w:customStyle="1" w:styleId="slug-pub-date3">
    <w:name w:val="slug-pub-date3"/>
    <w:basedOn w:val="DefaultParagraphFont"/>
    <w:rsid w:val="009244F0"/>
    <w:rPr>
      <w:b/>
      <w:bCs/>
    </w:rPr>
  </w:style>
  <w:style w:type="character" w:customStyle="1" w:styleId="slug-vol2">
    <w:name w:val="slug-vol2"/>
    <w:basedOn w:val="DefaultParagraphFont"/>
    <w:rsid w:val="009244F0"/>
  </w:style>
  <w:style w:type="character" w:customStyle="1" w:styleId="slug-pages3">
    <w:name w:val="slug-pages3"/>
    <w:basedOn w:val="DefaultParagraphFont"/>
    <w:rsid w:val="009244F0"/>
    <w:rPr>
      <w:b/>
      <w:bCs/>
    </w:rPr>
  </w:style>
  <w:style w:type="paragraph" w:styleId="BalloonText">
    <w:name w:val="Balloon Text"/>
    <w:basedOn w:val="Normal"/>
    <w:link w:val="BalloonTextChar"/>
    <w:uiPriority w:val="99"/>
    <w:semiHidden/>
    <w:unhideWhenUsed/>
    <w:rsid w:val="00924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F0"/>
    <w:rPr>
      <w:rFonts w:ascii="Segoe UI" w:hAnsi="Segoe UI" w:cs="Segoe UI"/>
      <w:sz w:val="18"/>
      <w:szCs w:val="18"/>
    </w:rPr>
  </w:style>
  <w:style w:type="character" w:customStyle="1" w:styleId="eductitle">
    <w:name w:val="eductitle"/>
    <w:basedOn w:val="DefaultParagraphFont"/>
    <w:rsid w:val="009244F0"/>
  </w:style>
  <w:style w:type="paragraph" w:customStyle="1" w:styleId="desc">
    <w:name w:val="desc"/>
    <w:basedOn w:val="Normal"/>
    <w:rsid w:val="00924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924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9244F0"/>
  </w:style>
  <w:style w:type="character" w:customStyle="1" w:styleId="name">
    <w:name w:val="name"/>
    <w:basedOn w:val="DefaultParagraphFont"/>
    <w:rsid w:val="009244F0"/>
  </w:style>
  <w:style w:type="character" w:customStyle="1" w:styleId="contrib-degrees">
    <w:name w:val="contrib-degrees"/>
    <w:basedOn w:val="DefaultParagraphFont"/>
    <w:rsid w:val="009244F0"/>
  </w:style>
  <w:style w:type="paragraph" w:customStyle="1" w:styleId="Title2">
    <w:name w:val="Title2"/>
    <w:basedOn w:val="Normal"/>
    <w:rsid w:val="009244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F0"/>
    <w:pPr>
      <w:spacing w:after="160" w:line="259" w:lineRule="auto"/>
    </w:pPr>
    <w:rPr>
      <w:sz w:val="22"/>
      <w:szCs w:val="22"/>
    </w:rPr>
  </w:style>
  <w:style w:type="paragraph" w:styleId="Heading1">
    <w:name w:val="heading 1"/>
    <w:basedOn w:val="Normal"/>
    <w:next w:val="Normal"/>
    <w:link w:val="Heading1Char"/>
    <w:uiPriority w:val="9"/>
    <w:qFormat/>
    <w:rsid w:val="009244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244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2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2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4F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244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9244F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244F0"/>
    <w:rPr>
      <w:rFonts w:asciiTheme="majorHAnsi" w:eastAsiaTheme="majorEastAsia" w:hAnsiTheme="majorHAnsi" w:cstheme="majorBidi"/>
      <w:color w:val="365F91" w:themeColor="accent1" w:themeShade="BF"/>
      <w:sz w:val="22"/>
      <w:szCs w:val="22"/>
    </w:rPr>
  </w:style>
  <w:style w:type="character" w:styleId="Strong">
    <w:name w:val="Strong"/>
    <w:basedOn w:val="DefaultParagraphFont"/>
    <w:uiPriority w:val="22"/>
    <w:qFormat/>
    <w:rsid w:val="009244F0"/>
    <w:rPr>
      <w:b/>
      <w:bCs/>
    </w:rPr>
  </w:style>
  <w:style w:type="character" w:styleId="Hyperlink">
    <w:name w:val="Hyperlink"/>
    <w:basedOn w:val="DefaultParagraphFont"/>
    <w:uiPriority w:val="99"/>
    <w:unhideWhenUsed/>
    <w:rsid w:val="009244F0"/>
    <w:rPr>
      <w:color w:val="0000FF"/>
      <w:u w:val="single"/>
    </w:rPr>
  </w:style>
  <w:style w:type="character" w:customStyle="1" w:styleId="highlight">
    <w:name w:val="highlight"/>
    <w:basedOn w:val="DefaultParagraphFont"/>
    <w:rsid w:val="009244F0"/>
  </w:style>
  <w:style w:type="paragraph" w:styleId="Header">
    <w:name w:val="header"/>
    <w:basedOn w:val="Normal"/>
    <w:link w:val="HeaderChar"/>
    <w:uiPriority w:val="99"/>
    <w:unhideWhenUsed/>
    <w:rsid w:val="00924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F0"/>
    <w:rPr>
      <w:sz w:val="22"/>
      <w:szCs w:val="22"/>
    </w:rPr>
  </w:style>
  <w:style w:type="paragraph" w:styleId="Footer">
    <w:name w:val="footer"/>
    <w:basedOn w:val="Normal"/>
    <w:link w:val="FooterChar"/>
    <w:uiPriority w:val="99"/>
    <w:unhideWhenUsed/>
    <w:rsid w:val="00924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F0"/>
    <w:rPr>
      <w:sz w:val="22"/>
      <w:szCs w:val="22"/>
    </w:rPr>
  </w:style>
  <w:style w:type="character" w:customStyle="1" w:styleId="paragraph">
    <w:name w:val="paragraph"/>
    <w:basedOn w:val="DefaultParagraphFont"/>
    <w:rsid w:val="009244F0"/>
  </w:style>
  <w:style w:type="character" w:customStyle="1" w:styleId="references">
    <w:name w:val="references"/>
    <w:basedOn w:val="DefaultParagraphFont"/>
    <w:rsid w:val="009244F0"/>
  </w:style>
  <w:style w:type="paragraph" w:styleId="NormalWeb">
    <w:name w:val="Normal (Web)"/>
    <w:basedOn w:val="Normal"/>
    <w:uiPriority w:val="99"/>
    <w:unhideWhenUsed/>
    <w:rsid w:val="009244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44F0"/>
    <w:rPr>
      <w:i/>
      <w:iCs/>
    </w:rPr>
  </w:style>
  <w:style w:type="character" w:customStyle="1" w:styleId="ref">
    <w:name w:val="ref"/>
    <w:basedOn w:val="DefaultParagraphFont"/>
    <w:rsid w:val="009244F0"/>
  </w:style>
  <w:style w:type="table" w:styleId="TableGrid">
    <w:name w:val="Table Grid"/>
    <w:basedOn w:val="TableNormal"/>
    <w:uiPriority w:val="39"/>
    <w:rsid w:val="009244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9244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44F0"/>
    <w:pPr>
      <w:ind w:left="720"/>
      <w:contextualSpacing/>
    </w:pPr>
  </w:style>
  <w:style w:type="character" w:customStyle="1" w:styleId="current-selection">
    <w:name w:val="current-selection"/>
    <w:basedOn w:val="DefaultParagraphFont"/>
    <w:rsid w:val="009244F0"/>
  </w:style>
  <w:style w:type="character" w:customStyle="1" w:styleId="a">
    <w:name w:val="_"/>
    <w:basedOn w:val="DefaultParagraphFont"/>
    <w:rsid w:val="009244F0"/>
  </w:style>
  <w:style w:type="character" w:customStyle="1" w:styleId="enhanced-reference">
    <w:name w:val="enhanced-reference"/>
    <w:basedOn w:val="DefaultParagraphFont"/>
    <w:rsid w:val="009244F0"/>
  </w:style>
  <w:style w:type="character" w:customStyle="1" w:styleId="ff3">
    <w:name w:val="ff3"/>
    <w:basedOn w:val="DefaultParagraphFont"/>
    <w:rsid w:val="009244F0"/>
  </w:style>
  <w:style w:type="character" w:customStyle="1" w:styleId="widgettitle3">
    <w:name w:val="widget_title3"/>
    <w:basedOn w:val="DefaultParagraphFont"/>
    <w:rsid w:val="009244F0"/>
  </w:style>
  <w:style w:type="paragraph" w:customStyle="1" w:styleId="p">
    <w:name w:val="p"/>
    <w:basedOn w:val="Normal"/>
    <w:rsid w:val="00924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9244F0"/>
  </w:style>
  <w:style w:type="character" w:customStyle="1" w:styleId="ref-title">
    <w:name w:val="ref-title"/>
    <w:basedOn w:val="DefaultParagraphFont"/>
    <w:rsid w:val="009244F0"/>
  </w:style>
  <w:style w:type="character" w:customStyle="1" w:styleId="ref-journal">
    <w:name w:val="ref-journal"/>
    <w:basedOn w:val="DefaultParagraphFont"/>
    <w:rsid w:val="009244F0"/>
  </w:style>
  <w:style w:type="character" w:customStyle="1" w:styleId="ref-vol">
    <w:name w:val="ref-vol"/>
    <w:basedOn w:val="DefaultParagraphFont"/>
    <w:rsid w:val="009244F0"/>
  </w:style>
  <w:style w:type="character" w:customStyle="1" w:styleId="fulltext-it">
    <w:name w:val="fulltext-it"/>
    <w:basedOn w:val="DefaultParagraphFont"/>
    <w:rsid w:val="009244F0"/>
  </w:style>
  <w:style w:type="character" w:customStyle="1" w:styleId="ui-ncbitoggler-master-text">
    <w:name w:val="ui-ncbitoggler-master-text"/>
    <w:basedOn w:val="DefaultParagraphFont"/>
    <w:rsid w:val="009244F0"/>
  </w:style>
  <w:style w:type="character" w:customStyle="1" w:styleId="cit-auth">
    <w:name w:val="cit-auth"/>
    <w:basedOn w:val="DefaultParagraphFont"/>
    <w:rsid w:val="009244F0"/>
  </w:style>
  <w:style w:type="character" w:customStyle="1" w:styleId="lexicon-term">
    <w:name w:val="lexicon-term"/>
    <w:basedOn w:val="DefaultParagraphFont"/>
    <w:rsid w:val="009244F0"/>
  </w:style>
  <w:style w:type="paragraph" w:customStyle="1" w:styleId="loose">
    <w:name w:val="loose"/>
    <w:basedOn w:val="Normal"/>
    <w:rsid w:val="009244F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244F0"/>
    <w:rPr>
      <w:color w:val="800080" w:themeColor="followedHyperlink"/>
      <w:u w:val="single"/>
    </w:rPr>
  </w:style>
  <w:style w:type="character" w:customStyle="1" w:styleId="slug-pub-date3">
    <w:name w:val="slug-pub-date3"/>
    <w:basedOn w:val="DefaultParagraphFont"/>
    <w:rsid w:val="009244F0"/>
    <w:rPr>
      <w:b/>
      <w:bCs/>
    </w:rPr>
  </w:style>
  <w:style w:type="character" w:customStyle="1" w:styleId="slug-vol2">
    <w:name w:val="slug-vol2"/>
    <w:basedOn w:val="DefaultParagraphFont"/>
    <w:rsid w:val="009244F0"/>
  </w:style>
  <w:style w:type="character" w:customStyle="1" w:styleId="slug-pages3">
    <w:name w:val="slug-pages3"/>
    <w:basedOn w:val="DefaultParagraphFont"/>
    <w:rsid w:val="009244F0"/>
    <w:rPr>
      <w:b/>
      <w:bCs/>
    </w:rPr>
  </w:style>
  <w:style w:type="paragraph" w:styleId="BalloonText">
    <w:name w:val="Balloon Text"/>
    <w:basedOn w:val="Normal"/>
    <w:link w:val="BalloonTextChar"/>
    <w:uiPriority w:val="99"/>
    <w:semiHidden/>
    <w:unhideWhenUsed/>
    <w:rsid w:val="00924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F0"/>
    <w:rPr>
      <w:rFonts w:ascii="Segoe UI" w:hAnsi="Segoe UI" w:cs="Segoe UI"/>
      <w:sz w:val="18"/>
      <w:szCs w:val="18"/>
    </w:rPr>
  </w:style>
  <w:style w:type="character" w:customStyle="1" w:styleId="eductitle">
    <w:name w:val="eductitle"/>
    <w:basedOn w:val="DefaultParagraphFont"/>
    <w:rsid w:val="009244F0"/>
  </w:style>
  <w:style w:type="paragraph" w:customStyle="1" w:styleId="desc">
    <w:name w:val="desc"/>
    <w:basedOn w:val="Normal"/>
    <w:rsid w:val="00924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924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9244F0"/>
  </w:style>
  <w:style w:type="character" w:customStyle="1" w:styleId="name">
    <w:name w:val="name"/>
    <w:basedOn w:val="DefaultParagraphFont"/>
    <w:rsid w:val="009244F0"/>
  </w:style>
  <w:style w:type="character" w:customStyle="1" w:styleId="contrib-degrees">
    <w:name w:val="contrib-degrees"/>
    <w:basedOn w:val="DefaultParagraphFont"/>
    <w:rsid w:val="009244F0"/>
  </w:style>
  <w:style w:type="paragraph" w:customStyle="1" w:styleId="Title2">
    <w:name w:val="Title2"/>
    <w:basedOn w:val="Normal"/>
    <w:rsid w:val="009244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first-aid/understanding-dizziness-basic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bmd.com/migraines-headaches/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md.com/digestive-disorders/digestive-diseases-nausea-vomit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bmd.com/digestive-disorders/digestive-diseases-diarrhea" TargetMode="External"/><Relationship Id="rId4" Type="http://schemas.openxmlformats.org/officeDocument/2006/relationships/settings" Target="settings.xml"/><Relationship Id="rId9" Type="http://schemas.openxmlformats.org/officeDocument/2006/relationships/hyperlink" Target="http://www.webmd.com/digestive-disorders/picture-of-the-stoma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Anthony</dc:creator>
  <cp:lastModifiedBy>Brosky, Kevin</cp:lastModifiedBy>
  <cp:revision>2</cp:revision>
  <dcterms:created xsi:type="dcterms:W3CDTF">2016-02-08T21:02:00Z</dcterms:created>
  <dcterms:modified xsi:type="dcterms:W3CDTF">2016-02-08T21:02:00Z</dcterms:modified>
</cp:coreProperties>
</file>