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AD" w:rsidRDefault="00C765AD" w:rsidP="00C765AD">
      <w:pPr>
        <w:spacing w:after="0" w:line="240" w:lineRule="auto"/>
        <w:rPr>
          <w:rFonts w:ascii="Times New Roman" w:hAnsi="Times New Roman" w:cs="Arial"/>
          <w:b/>
          <w:sz w:val="24"/>
        </w:rPr>
      </w:pPr>
      <w:proofErr w:type="gramStart"/>
      <w:r>
        <w:rPr>
          <w:rFonts w:ascii="Times New Roman" w:hAnsi="Times New Roman" w:cs="Arial"/>
          <w:b/>
          <w:sz w:val="24"/>
        </w:rPr>
        <w:t>Supplemen</w:t>
      </w:r>
      <w:bookmarkStart w:id="0" w:name="_GoBack"/>
      <w:bookmarkEnd w:id="0"/>
      <w:r>
        <w:rPr>
          <w:rFonts w:ascii="Times New Roman" w:hAnsi="Times New Roman" w:cs="Arial"/>
          <w:b/>
          <w:sz w:val="24"/>
        </w:rPr>
        <w:t xml:space="preserve">tal </w:t>
      </w:r>
      <w:r>
        <w:rPr>
          <w:rFonts w:ascii="Times New Roman" w:hAnsi="Times New Roman" w:cs="Arial"/>
          <w:b/>
          <w:sz w:val="24"/>
        </w:rPr>
        <w:t xml:space="preserve">Table </w:t>
      </w:r>
      <w:r>
        <w:rPr>
          <w:rFonts w:ascii="Times New Roman" w:hAnsi="Times New Roman" w:cs="Arial"/>
          <w:b/>
          <w:sz w:val="24"/>
        </w:rPr>
        <w:t>1</w:t>
      </w:r>
      <w:r>
        <w:rPr>
          <w:rFonts w:ascii="Times New Roman" w:hAnsi="Times New Roman" w:cs="Arial"/>
          <w:b/>
          <w:sz w:val="24"/>
        </w:rPr>
        <w:t>.</w:t>
      </w:r>
      <w:proofErr w:type="gramEnd"/>
      <w:r>
        <w:rPr>
          <w:rFonts w:ascii="Times New Roman" w:hAnsi="Times New Roman" w:cs="Arial"/>
          <w:b/>
          <w:sz w:val="24"/>
        </w:rPr>
        <w:t xml:space="preserve"> Example of 2015 American Geriatrics Society Beers Criteria for Potentially Inappropriate Medication (PIM) Use in Older Adults</w:t>
      </w:r>
    </w:p>
    <w:tbl>
      <w:tblPr>
        <w:tblW w:w="132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5065"/>
        <w:gridCol w:w="1890"/>
        <w:gridCol w:w="1325"/>
        <w:gridCol w:w="2070"/>
      </w:tblGrid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Organ System, Therapeutic Category, Drug(s)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Rationale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Recommendation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Quality of Evidence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Strength of Recommendation</w:t>
            </w:r>
          </w:p>
        </w:tc>
      </w:tr>
      <w:tr w:rsidR="00C765AD" w:rsidTr="00AF0E41"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Anticholinergics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First-generation antihistamines: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Brompheniramine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Carbinoxamine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Chlorpheniramine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Clemastine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Cyproheptadine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Dexbrompheniramine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Dexchlorpheniramine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Dimenhydrinate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Diphenhydramine (oral)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Doxylamine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Hydroxyzine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Meclizine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Promethazine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Triprolidine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Highly anticholinergic; clearance reduced with advanced age, and tolerance develops when used as hypnotic; risk of confusion, dry mouth, constipation, and other anticholinergic effects or toxicity</w:t>
            </w: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Use of diphenhydramine in situations such as acute treatment of severe allergic reaction may be appropriate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Antiparkinsonian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agents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Benztropine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(oral)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Trihexyphenidyl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Not recommended for prevention of extrapyramidal symptoms with antipsychotics; more-effective agents available for treatment of Parkinson disease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Antispasmodics: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Atropine (excludes ophthalmic)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Belladonna alkaloids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Clidinium-Chlordiazepoxide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Dicyclomine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Hyoscyamine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lastRenderedPageBreak/>
              <w:t>Propantheline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Scopolamine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Highly anticholinergic, uncertain effectiveness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b/>
                <w:sz w:val="24"/>
              </w:rPr>
              <w:lastRenderedPageBreak/>
              <w:t>Antithrombotics</w:t>
            </w:r>
            <w:proofErr w:type="spellEnd"/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Dipyridamole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oral short-acting (does not apply to the extended-release combination with aspirin)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May cause orthostatic hypotension; more-effective alternatives available; IV form acceptable for use in cardiac stress testing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Ticlopidine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Safer, effective alternatives available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Anti-Infective</w:t>
            </w:r>
          </w:p>
        </w:tc>
      </w:tr>
      <w:tr w:rsidR="00C765AD" w:rsidTr="00AF0E41">
        <w:trPr>
          <w:trHeight w:val="1968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Nitrofurantoin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Potential for pulmonary toxicity, hepatotoxicity, and peripheral neuropathy, especially with long-term use; safer alternatives available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 in individuals with creatinine clearance &lt;30 mL/min or for long-term suppression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Low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rPr>
          <w:trHeight w:val="330"/>
        </w:trPr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Cardiovascular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Peripheral alpha-1 blockers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Doxazosin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Prazosin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Terazosin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High risk of orthostatic hypotension; not recommended as routine treatment for hypertension; alternative agents have superior risk/benefit profile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 use as an antihypertensive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Central alpha-blockers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Clonidine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Guanabenz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Guanfacine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Methyldopa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Reserpine (&gt;0.1 mg/d)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High risk of adverse CNS effects; may cause bradycardia and orthostatic hypotension; not recommended as routine treatment for hypertension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 clonidine as first-line antihypertensive</w:t>
            </w: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 others as listed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Low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Nifedipine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immediate release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Potential for hypotension; risk of precipitating myocardial ischemia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High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Diabetes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Insulin, sliding scale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Higher risk of hypoglycemia without improvement in hyperglycemia management </w:t>
            </w:r>
            <w:r>
              <w:rPr>
                <w:rFonts w:ascii="Times New Roman" w:hAnsi="Times New Roman" w:cs="Arial"/>
                <w:sz w:val="24"/>
              </w:rPr>
              <w:lastRenderedPageBreak/>
              <w:t>regardless of care setting; refers to sole use of short- or rapid-acting insulins to manage or avoid hyperglycemia in absence of basal or long-acting insulin; does not apply to titration of basal insulin or use of additional short- or rapid-acting insulin in conjunction with scheduled insulin (i.e., “correction insulin”)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rPr>
          <w:trHeight w:val="1707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Sulfonylureas, long-duration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Chlorpropamide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Glyburide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Chlorpropamide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: prolonged half-life in older adults; can cause prolonged hypoglycemia; causes SIADH</w:t>
            </w: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Glyburide: higher risk of severe prolonged hypoglycemia in older adults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High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Gastrointestinal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Metoclopramide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Can cause extrapyramidal effects, including tardive dyskinesia; risk may be greater in frail older adults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Avoid, unless for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gastroparesis</w:t>
            </w:r>
            <w:proofErr w:type="spellEnd"/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Mineral oil, given orally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Potential for aspiration and adverse effects; safer alternatives available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Proton-pump inhibitors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Risk of </w:t>
            </w:r>
            <w:r>
              <w:rPr>
                <w:rFonts w:ascii="Times New Roman" w:hAnsi="Times New Roman" w:cs="Arial"/>
                <w:i/>
                <w:sz w:val="24"/>
              </w:rPr>
              <w:t>C</w:t>
            </w:r>
            <w:r>
              <w:rPr>
                <w:rFonts w:ascii="Times New Roman" w:hAnsi="Times New Roman"/>
                <w:i/>
                <w:iCs/>
                <w:sz w:val="24"/>
                <w:szCs w:val="20"/>
              </w:rPr>
              <w:t>lostridium</w:t>
            </w:r>
            <w:r>
              <w:rPr>
                <w:rFonts w:ascii="Times New Roman" w:hAnsi="Times New Roman" w:cs="Arial"/>
                <w:i/>
                <w:sz w:val="24"/>
              </w:rPr>
              <w:t xml:space="preserve"> difficile</w:t>
            </w:r>
            <w:r>
              <w:rPr>
                <w:rFonts w:ascii="Times New Roman" w:hAnsi="Times New Roman" w:cs="Arial"/>
                <w:sz w:val="24"/>
              </w:rPr>
              <w:t xml:space="preserve"> infection and bone loss and fractures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Avoid scheduled use for &gt;8 weeks unless for high-risk patients (e.g., oral corticosteroids or chronic NSAID use), erosive esophagitis, Barrett esophagitis, pathological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hypersecretory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</w:rPr>
              <w:lastRenderedPageBreak/>
              <w:t>condition, or demonstrated need for maintenance treatment (e.g., due to failure of drug discontinuation trial or H</w:t>
            </w:r>
            <w:r>
              <w:rPr>
                <w:rFonts w:ascii="Times New Roman" w:hAnsi="Times New Roman" w:cs="Arial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Arial"/>
                <w:sz w:val="24"/>
              </w:rPr>
              <w:t xml:space="preserve"> blockers) 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High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lastRenderedPageBreak/>
              <w:t>Pain Medications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Meperidine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Not effective oral analgesic in dosages commonly used; may have higher risk of neurotoxicity, including delirium, than other opioids; safer alternatives available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Avoid, especially in those with chronic kidney disease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Noncyclooxygenase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-selective NSAIDs, oral: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Aspirin &gt;325 mg/d Diclofenac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Diflunisal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Etodolac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Fenoprofen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Ibuprofen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Ketoprofen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Meclofenamate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Mefenamic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acid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Meloxicam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Nabumetone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Naproxen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Oxaprozin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Piroxicam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Sulindac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lastRenderedPageBreak/>
              <w:t>Tolmetin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Increased risk of gastrointestinal bleeding or peptic ulcer disease in high-risk groups, including those aged &gt;75 or taking oral or parenteral corticosteroids, anticoagulants, or antiplatelet agents; use of proton-pump inhibitor or misoprostol reduces but does not eliminate risk. Upper gastrointestinal ulcers, gross bleeding, or perforation caused by NSAIDs occur in approximately 1% of patients treated for 3–6 months and in ~2%–4% of patients treated for 1 year; these trends continue with longer duration of use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Avoid chronic use, unless other alternatives are not effective and patient can take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gastroprotective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agent (proton-pump inhibitor or misoprostol)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Indomethacin</w:t>
            </w:r>
          </w:p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Ketorolac, includes parenteral</w:t>
            </w:r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Indomethacin is more likely than other NSAIDs to have adverse CNS effects. Of all the NSAIDs, indomethacin has the most adverse effects</w:t>
            </w: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Increased risk of gastrointestinal bleeding/peptic ulcer disease, and acute kidney injury in older adults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Pentazocine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Opioid analgesic that causes CNS adverse effects, including confusion and hallucinations, more commonly than other opioid analgesic drugs; is also a mixed agonist and antagonist; safer alternatives available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Low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Skeletal muscle relaxants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Carisoprodol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Chlorzoxazone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Cyclobenzaprine</w:t>
            </w:r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Metaxalone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Methocarbamol</w:t>
            </w:r>
            <w:proofErr w:type="spellEnd"/>
          </w:p>
          <w:p w:rsidR="00C765AD" w:rsidRDefault="00C765A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Orphenadrine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Most muscle relaxants poorly tolerated by older adults because some have anticholinergic adverse effects, sedation, increased risk of fractures; effectiveness at dosages tolerated by older adults questionable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C765AD" w:rsidTr="00AF0E41">
        <w:tc>
          <w:tcPr>
            <w:tcW w:w="132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Genitourinary</w:t>
            </w:r>
          </w:p>
        </w:tc>
      </w:tr>
      <w:tr w:rsidR="00C765AD" w:rsidTr="00AF0E41"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Desmopressin</w:t>
            </w:r>
            <w:proofErr w:type="spellEnd"/>
          </w:p>
        </w:tc>
        <w:tc>
          <w:tcPr>
            <w:tcW w:w="5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High risk of hyponatremia; safer alternative treatments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Avoid for treatment of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nocturia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or nocturnal polyuria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5AD" w:rsidRDefault="00C765A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</w:tbl>
    <w:p w:rsidR="00C765AD" w:rsidRDefault="00C765AD" w:rsidP="00C765AD">
      <w:pPr>
        <w:spacing w:after="0"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The primary target audience is the practicing clinician. The intentions of the criteria include 1) improving the selection of prescription drugs by clinicians and patients; 2) evaluating patterns of drug use within populations; 3) educating clinicians and patients on proper drug usage; and 4) evaluating health-outcome, quality-of-care, cost, and utilization data.</w:t>
      </w:r>
    </w:p>
    <w:p w:rsidR="00C765AD" w:rsidRDefault="00C765AD" w:rsidP="00C765AD">
      <w:pPr>
        <w:spacing w:after="0" w:line="240" w:lineRule="auto"/>
        <w:rPr>
          <w:rFonts w:ascii="Times New Roman" w:hAnsi="Times New Roman" w:cs="Arial"/>
          <w:sz w:val="24"/>
        </w:rPr>
      </w:pPr>
      <w:r w:rsidRPr="00AF0E41">
        <w:rPr>
          <w:rFonts w:ascii="Times New Roman" w:hAnsi="Times New Roman" w:cs="Arial"/>
          <w:i/>
          <w:iCs/>
          <w:sz w:val="24"/>
        </w:rPr>
        <w:t>Note:</w:t>
      </w:r>
      <w:r>
        <w:rPr>
          <w:rFonts w:ascii="Times New Roman" w:hAnsi="Times New Roman" w:cs="Arial"/>
          <w:sz w:val="24"/>
        </w:rPr>
        <w:t xml:space="preserve"> CNS = central nervous system; NSAIDs = nonsteroidal anti-inflammatory drugs; SIADH = syndrome of inappropriate antidiuretic hormone.</w:t>
      </w:r>
    </w:p>
    <w:p w:rsidR="00C765AD" w:rsidRDefault="00C765AD" w:rsidP="00C765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Arial"/>
          <w:sz w:val="24"/>
        </w:rPr>
        <w:t>Printed with permission</w:t>
      </w:r>
      <w:r>
        <w:rPr>
          <w:rFonts w:cs="Calibri"/>
          <w:i/>
          <w:iCs/>
          <w:sz w:val="24"/>
          <w:szCs w:val="24"/>
        </w:rPr>
        <w:t>:</w:t>
      </w:r>
      <w:r w:rsidRPr="00AF0E41">
        <w:rPr>
          <w:rFonts w:cs="Calibri"/>
          <w:sz w:val="24"/>
          <w:szCs w:val="24"/>
        </w:rPr>
        <w:t xml:space="preserve"> </w:t>
      </w:r>
      <w:r w:rsidRPr="00AF0E41">
        <w:rPr>
          <w:rFonts w:cs="Calibri"/>
          <w:i/>
          <w:iCs/>
          <w:sz w:val="24"/>
          <w:szCs w:val="24"/>
        </w:rPr>
        <w:t>American Geriatrics Society 2015 Beers Criteria Update Expert Panel. (2015). American Geriatrics Society 2015 updated Beers Criteria for Potentially Inappropriate Medication Use in Older Adults.</w:t>
      </w:r>
      <w:r>
        <w:rPr>
          <w:rFonts w:cs="Calibri"/>
          <w:i/>
          <w:iCs/>
          <w:sz w:val="24"/>
          <w:szCs w:val="24"/>
        </w:rPr>
        <w:t xml:space="preserve"> </w:t>
      </w:r>
      <w:r w:rsidRPr="00AF0E41">
        <w:rPr>
          <w:rFonts w:cs="Calibri"/>
          <w:sz w:val="24"/>
          <w:szCs w:val="24"/>
        </w:rPr>
        <w:t xml:space="preserve">Journal of the American Geriatrics </w:t>
      </w:r>
      <w:r w:rsidRPr="00AF0E41">
        <w:rPr>
          <w:rFonts w:cs="Calibri"/>
          <w:sz w:val="24"/>
          <w:szCs w:val="24"/>
        </w:rPr>
        <w:lastRenderedPageBreak/>
        <w:t>Society, 63</w:t>
      </w:r>
      <w:r w:rsidRPr="00AF0E41">
        <w:rPr>
          <w:rFonts w:cs="Calibri"/>
          <w:i/>
          <w:iCs/>
          <w:sz w:val="24"/>
          <w:szCs w:val="24"/>
        </w:rPr>
        <w:t>(11), 2227–2246</w:t>
      </w:r>
      <w:r>
        <w:rPr>
          <w:rFonts w:cs="Calibri"/>
          <w:i/>
          <w:iCs/>
          <w:sz w:val="24"/>
          <w:szCs w:val="24"/>
        </w:rPr>
        <w:t>.</w:t>
      </w:r>
    </w:p>
    <w:p w:rsidR="004D2264" w:rsidRDefault="00C765AD"/>
    <w:sectPr w:rsidR="004D2264" w:rsidSect="00C76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AD"/>
    <w:rsid w:val="001A792A"/>
    <w:rsid w:val="003B0A35"/>
    <w:rsid w:val="00C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Brosky, Kevin</dc:creator>
  <cp:lastModifiedBy>Brosky, Kevin</cp:lastModifiedBy>
  <cp:revision>1</cp:revision>
  <dcterms:created xsi:type="dcterms:W3CDTF">2016-10-12T18:24:00Z</dcterms:created>
  <dcterms:modified xsi:type="dcterms:W3CDTF">2016-10-12T18:25:00Z</dcterms:modified>
</cp:coreProperties>
</file>