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1D" w:rsidRDefault="00092D1D" w:rsidP="00092D1D">
      <w:pPr>
        <w:spacing w:after="0" w:line="240" w:lineRule="auto"/>
        <w:rPr>
          <w:rFonts w:ascii="Times New Roman" w:hAnsi="Times New Roman" w:cs="Arial"/>
          <w:b/>
          <w:sz w:val="24"/>
        </w:rPr>
      </w:pPr>
      <w:proofErr w:type="gramStart"/>
      <w:r>
        <w:rPr>
          <w:rFonts w:ascii="Times New Roman" w:hAnsi="Times New Roman" w:cs="Arial"/>
          <w:b/>
          <w:sz w:val="24"/>
        </w:rPr>
        <w:t xml:space="preserve">Supplemental </w:t>
      </w:r>
      <w:r>
        <w:rPr>
          <w:rFonts w:ascii="Times New Roman" w:hAnsi="Times New Roman" w:cs="Arial"/>
          <w:b/>
          <w:sz w:val="24"/>
        </w:rPr>
        <w:t xml:space="preserve">Table </w:t>
      </w:r>
      <w:r>
        <w:rPr>
          <w:rFonts w:ascii="Times New Roman" w:hAnsi="Times New Roman" w:cs="Arial"/>
          <w:b/>
          <w:sz w:val="24"/>
        </w:rPr>
        <w:t>2</w:t>
      </w:r>
      <w:r>
        <w:rPr>
          <w:rFonts w:ascii="Times New Roman" w:hAnsi="Times New Roman" w:cs="Arial"/>
          <w:b/>
          <w:sz w:val="24"/>
        </w:rPr>
        <w:t>.</w:t>
      </w:r>
      <w:proofErr w:type="gramEnd"/>
      <w:r>
        <w:rPr>
          <w:rFonts w:ascii="Times New Roman" w:hAnsi="Times New Roman" w:cs="Arial"/>
          <w:b/>
          <w:sz w:val="24"/>
        </w:rPr>
        <w:t xml:space="preserve"> 2015 American Geriatrics Society Beers Criteria for Potentially Inappropriate Medication (PIM) Use in Older Adults Due to Drug–Disease or Drug–Syndrome Interactions That May Exacerbate the Disease or Syndrome</w:t>
      </w:r>
    </w:p>
    <w:tbl>
      <w:tblPr>
        <w:tblW w:w="1324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"/>
        <w:gridCol w:w="1800"/>
        <w:gridCol w:w="2591"/>
        <w:gridCol w:w="19"/>
        <w:gridCol w:w="11"/>
        <w:gridCol w:w="2509"/>
        <w:gridCol w:w="2070"/>
        <w:gridCol w:w="2160"/>
        <w:gridCol w:w="2070"/>
      </w:tblGrid>
      <w:tr w:rsidR="00092D1D" w:rsidTr="00AF0E41">
        <w:trPr>
          <w:gridBefore w:val="1"/>
          <w:wBefore w:w="19" w:type="dxa"/>
        </w:trPr>
        <w:tc>
          <w:tcPr>
            <w:tcW w:w="180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Disease or Syndrome</w:t>
            </w:r>
          </w:p>
        </w:tc>
        <w:tc>
          <w:tcPr>
            <w:tcW w:w="2621" w:type="dxa"/>
            <w:gridSpan w:val="3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Drug(s)</w:t>
            </w:r>
          </w:p>
        </w:tc>
        <w:tc>
          <w:tcPr>
            <w:tcW w:w="2509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Rationale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Recommendation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Quality of Evidence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Strength of Recommendation</w:t>
            </w:r>
          </w:p>
        </w:tc>
      </w:tr>
      <w:tr w:rsidR="00092D1D" w:rsidTr="00AF0E41">
        <w:trPr>
          <w:gridBefore w:val="1"/>
          <w:wBefore w:w="19" w:type="dxa"/>
        </w:trPr>
        <w:tc>
          <w:tcPr>
            <w:tcW w:w="13230" w:type="dxa"/>
            <w:gridSpan w:val="8"/>
          </w:tcPr>
          <w:p w:rsidR="00092D1D" w:rsidRDefault="00092D1D" w:rsidP="00AF0E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Cardiovascular</w:t>
            </w:r>
          </w:p>
        </w:tc>
        <w:bookmarkStart w:id="0" w:name="_GoBack"/>
        <w:bookmarkEnd w:id="0"/>
      </w:tr>
      <w:tr w:rsidR="00092D1D" w:rsidTr="00AF0E41">
        <w:trPr>
          <w:gridBefore w:val="1"/>
          <w:wBefore w:w="19" w:type="dxa"/>
        </w:trPr>
        <w:tc>
          <w:tcPr>
            <w:tcW w:w="180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Heart failure</w:t>
            </w:r>
          </w:p>
        </w:tc>
        <w:tc>
          <w:tcPr>
            <w:tcW w:w="2591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NSAIDs and COX-2 inhibitors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Nondihydropyridine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CCBs (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diltiazem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, verapamil)—avoid only for heart failure with reduced ejection fraction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Thiazolidinediones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(pioglitazone, rosiglitazone)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Cilostazol</w:t>
            </w:r>
            <w:proofErr w:type="spellEnd"/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Dronedarone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(severe or recently decompensated heart failure)</w:t>
            </w:r>
          </w:p>
        </w:tc>
        <w:tc>
          <w:tcPr>
            <w:tcW w:w="2539" w:type="dxa"/>
            <w:gridSpan w:val="3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Potential to promote fluid retention and/or exacerbate heart failure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NSAIDs: moderate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CCBs: moderate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Thiazolidinediones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: high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Cilostazol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: low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Dronedarone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: high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092D1D" w:rsidTr="00AF0E41">
        <w:trPr>
          <w:gridBefore w:val="1"/>
          <w:wBefore w:w="19" w:type="dxa"/>
        </w:trPr>
        <w:tc>
          <w:tcPr>
            <w:tcW w:w="180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Syncope</w:t>
            </w:r>
          </w:p>
        </w:tc>
        <w:tc>
          <w:tcPr>
            <w:tcW w:w="2591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AChEIs</w:t>
            </w:r>
            <w:proofErr w:type="spellEnd"/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Peripheral alpha-1 blockers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Doxazosin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Prazosin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Terazosin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Tertiary TCAs </w:t>
            </w:r>
            <w:r>
              <w:rPr>
                <w:rFonts w:ascii="Times New Roman" w:hAnsi="Times New Roman" w:cs="Arial"/>
                <w:sz w:val="24"/>
              </w:rPr>
              <w:lastRenderedPageBreak/>
              <w:t>Chlorpromazine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Thioridazine</w:t>
            </w:r>
            <w:proofErr w:type="spellEnd"/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Olanzapine</w:t>
            </w:r>
          </w:p>
        </w:tc>
        <w:tc>
          <w:tcPr>
            <w:tcW w:w="2539" w:type="dxa"/>
            <w:gridSpan w:val="3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Increases risk of orthostatic hypotension or bradycardia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Peripheral alpha-1 blockers: high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TCAs,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AChEIs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, antipsychotics: moderate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AChEIs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, TCAs: strong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Peripheral alpha-1 blockers, antipsychotics: weak</w:t>
            </w:r>
          </w:p>
        </w:tc>
      </w:tr>
      <w:tr w:rsidR="00092D1D" w:rsidTr="00AF0E41">
        <w:trPr>
          <w:gridBefore w:val="1"/>
          <w:wBefore w:w="19" w:type="dxa"/>
        </w:trPr>
        <w:tc>
          <w:tcPr>
            <w:tcW w:w="13230" w:type="dxa"/>
            <w:gridSpan w:val="8"/>
          </w:tcPr>
          <w:p w:rsidR="00092D1D" w:rsidRDefault="00092D1D" w:rsidP="00AF0E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lastRenderedPageBreak/>
              <w:t>Central Nervous System</w:t>
            </w:r>
          </w:p>
        </w:tc>
      </w:tr>
      <w:tr w:rsidR="00092D1D" w:rsidTr="00AF0E41">
        <w:trPr>
          <w:gridBefore w:val="1"/>
          <w:wBefore w:w="19" w:type="dxa"/>
        </w:trPr>
        <w:tc>
          <w:tcPr>
            <w:tcW w:w="180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Chronic seizures or epilepsy</w:t>
            </w:r>
          </w:p>
        </w:tc>
        <w:tc>
          <w:tcPr>
            <w:tcW w:w="2621" w:type="dxa"/>
            <w:gridSpan w:val="3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Bupropion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Chlorpromazine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Clozapine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Maprotiline</w:t>
            </w:r>
            <w:proofErr w:type="spellEnd"/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Olanzapine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Thioridazine</w:t>
            </w:r>
            <w:proofErr w:type="spellEnd"/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Thiothixene</w:t>
            </w:r>
            <w:proofErr w:type="spellEnd"/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Tramadol</w:t>
            </w:r>
          </w:p>
        </w:tc>
        <w:tc>
          <w:tcPr>
            <w:tcW w:w="2509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Lowers seizure threshold; may be acceptable in individuals with well-controlled seizures in whom alternative agents have not been effective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Low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092D1D" w:rsidTr="00AF0E41">
        <w:tc>
          <w:tcPr>
            <w:tcW w:w="1819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Delirium</w:t>
            </w:r>
          </w:p>
        </w:tc>
        <w:tc>
          <w:tcPr>
            <w:tcW w:w="2610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Anticholinergics (see Table 7 in full criteria available on www.geriatricscareonline.org.)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Antipsychotics Benzodiazepines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Chlorpromazine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  <w:vertAlign w:val="superscript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Corticosteroids</w:t>
            </w:r>
            <w:r>
              <w:rPr>
                <w:rFonts w:ascii="Times New Roman" w:hAnsi="Times New Roman" w:cs="Arial"/>
                <w:sz w:val="24"/>
                <w:vertAlign w:val="superscript"/>
              </w:rPr>
              <w:t>a</w:t>
            </w:r>
            <w:proofErr w:type="spellEnd"/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</w:t>
            </w:r>
            <w:r>
              <w:rPr>
                <w:rFonts w:ascii="Times New Roman" w:hAnsi="Times New Roman" w:cs="Arial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Arial"/>
                <w:sz w:val="24"/>
              </w:rPr>
              <w:t>-receptor antagonists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 Cimetidine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Famotidine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Nizatidine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Ranitidine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Meperidine</w:t>
            </w:r>
            <w:proofErr w:type="spellEnd"/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Sedative hypnotics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Arial"/>
                <w:sz w:val="24"/>
                <w:vertAlign w:val="superscript"/>
              </w:rPr>
              <w:t>a</w:t>
            </w:r>
            <w:r>
              <w:rPr>
                <w:rFonts w:ascii="Times New Roman" w:hAnsi="Times New Roman" w:cs="Arial"/>
                <w:sz w:val="24"/>
              </w:rPr>
              <w:t>excludes</w:t>
            </w:r>
            <w:proofErr w:type="spellEnd"/>
            <w:proofErr w:type="gramEnd"/>
            <w:r>
              <w:rPr>
                <w:rFonts w:ascii="Times New Roman" w:hAnsi="Times New Roman" w:cs="Arial"/>
                <w:sz w:val="24"/>
              </w:rPr>
              <w:t xml:space="preserve"> inhaled and topical forms. Oral and parenteral corticosteroids may be </w:t>
            </w:r>
            <w:r>
              <w:rPr>
                <w:rFonts w:ascii="Times New Roman" w:hAnsi="Times New Roman" w:cs="Arial"/>
                <w:sz w:val="24"/>
              </w:rPr>
              <w:lastRenderedPageBreak/>
              <w:t>required for conditions such as exacerbations of COPD but should be prescribed in the lowest effective dose and for the shortest possible duration.</w:t>
            </w:r>
          </w:p>
        </w:tc>
        <w:tc>
          <w:tcPr>
            <w:tcW w:w="2520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Avoid in older adults with or at high risk of delirium because of potential of inducing or worsening delirium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Avoid antipsychotics for behavioral problems of dementia and/or delirium unless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nonpharmacological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options (e.g., behavioral interventions) have failed or are not possible </w:t>
            </w:r>
            <w:r>
              <w:rPr>
                <w:rFonts w:ascii="Times New Roman" w:hAnsi="Times New Roman" w:cs="Arial"/>
                <w:b/>
                <w:i/>
                <w:sz w:val="24"/>
              </w:rPr>
              <w:t>and</w:t>
            </w:r>
            <w:r>
              <w:rPr>
                <w:rFonts w:ascii="Times New Roman" w:hAnsi="Times New Roman" w:cs="Arial"/>
                <w:sz w:val="24"/>
              </w:rPr>
              <w:t xml:space="preserve"> the older adult is threatening substantial harm to self or others. Antipsychotics are associated with greater </w:t>
            </w:r>
            <w:r>
              <w:rPr>
                <w:rFonts w:ascii="Times New Roman" w:hAnsi="Times New Roman" w:cs="Arial"/>
                <w:sz w:val="24"/>
              </w:rPr>
              <w:lastRenderedPageBreak/>
              <w:t>risk of cerebrovascular accident (stroke) and mortality in persons with dementia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Avoid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092D1D" w:rsidTr="00AF0E41">
        <w:tc>
          <w:tcPr>
            <w:tcW w:w="1819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Dementia or cognitive impairment</w:t>
            </w:r>
          </w:p>
        </w:tc>
        <w:tc>
          <w:tcPr>
            <w:tcW w:w="2610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Anticholinergics (see Table 7 in full criteria available on www.geriatricscareonline.org)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Benzodiazepines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</w:t>
            </w:r>
            <w:r>
              <w:rPr>
                <w:rFonts w:ascii="Times New Roman" w:hAnsi="Times New Roman" w:cs="Arial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Arial"/>
                <w:sz w:val="24"/>
              </w:rPr>
              <w:t>-receptor antagonists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Nonbenzodiazepine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, benzodiazepine receptor agonist hypnotics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Eszopiclone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Zolpidem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Zaleplon</w:t>
            </w:r>
            <w:proofErr w:type="spellEnd"/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Antipsychotics, chronic and as-needed use</w:t>
            </w:r>
          </w:p>
        </w:tc>
        <w:tc>
          <w:tcPr>
            <w:tcW w:w="2520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 due to adverse CNS effects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Avoid antipsychotics for behavioral problems of dementia and/or delirium unless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nonpharmacological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options (e.g., behavioral interventions) have failed or are not possible </w:t>
            </w:r>
            <w:r>
              <w:rPr>
                <w:rFonts w:ascii="Times New Roman" w:hAnsi="Times New Roman" w:cs="Arial"/>
                <w:b/>
                <w:i/>
                <w:sz w:val="24"/>
              </w:rPr>
              <w:t>and</w:t>
            </w:r>
            <w:r>
              <w:rPr>
                <w:rFonts w:ascii="Times New Roman" w:hAnsi="Times New Roman" w:cs="Arial"/>
                <w:sz w:val="24"/>
              </w:rPr>
              <w:t xml:space="preserve"> the older adult is threatening substantial harm to self or others. Antipsychotics are associated with greater risk of cerebrovascular accident (stroke) and mortality in persons with dementia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092D1D" w:rsidTr="00AF0E41">
        <w:tc>
          <w:tcPr>
            <w:tcW w:w="1819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History of falls or fractures</w:t>
            </w:r>
          </w:p>
        </w:tc>
        <w:tc>
          <w:tcPr>
            <w:tcW w:w="2610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Anticonvulsants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Antipsychotics Benzodiazepines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lastRenderedPageBreak/>
              <w:t>Nonbenzodiazepine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, benzodiazepine receptor agonist hypnotics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Eszopiclone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Zaleplon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Zolpidem</w:t>
            </w:r>
            <w:proofErr w:type="spellEnd"/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TCAs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SSRIs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Opioids</w:t>
            </w:r>
          </w:p>
        </w:tc>
        <w:tc>
          <w:tcPr>
            <w:tcW w:w="2520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 xml:space="preserve">May cause ataxia, impaired psychomotor function, syncope, additional falls; </w:t>
            </w:r>
            <w:r>
              <w:rPr>
                <w:rFonts w:ascii="Times New Roman" w:hAnsi="Times New Roman" w:cs="Arial"/>
                <w:sz w:val="24"/>
              </w:rPr>
              <w:lastRenderedPageBreak/>
              <w:t>shorter-acting benzodiazepines are not safer than long-acting ones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If one of the drugs must be used, consider reducing use of other CNS-active medications that increase risk of falls and fractures (i.e., anticonvulsants, opioid-receptor agonists, antipsychotics, antidepressants, benzodiazepine-receptor agonists, other sedatives/hypnotics) and implement other strategies to reduce fall risk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 xml:space="preserve">Avoid unless safer alternatives are not available; avoid anticonvulsants </w:t>
            </w:r>
            <w:r>
              <w:rPr>
                <w:rFonts w:ascii="Times New Roman" w:hAnsi="Times New Roman" w:cs="Arial"/>
                <w:sz w:val="24"/>
              </w:rPr>
              <w:lastRenderedPageBreak/>
              <w:t>except for seizure and mood disorders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Opioids: avoid, excludes pain management due to recent fractures or joint replacement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High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Opioids: moderate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Opioids: strong</w:t>
            </w:r>
          </w:p>
        </w:tc>
      </w:tr>
      <w:tr w:rsidR="00092D1D" w:rsidTr="00AF0E41">
        <w:tc>
          <w:tcPr>
            <w:tcW w:w="1819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Insomnia</w:t>
            </w:r>
          </w:p>
        </w:tc>
        <w:tc>
          <w:tcPr>
            <w:tcW w:w="2610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Oral decongestants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Pseudoephedrine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Phenylephrine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Stimulants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Amphetamine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Armodafinil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Methylphenidate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Modafinil</w:t>
            </w:r>
            <w:proofErr w:type="spellEnd"/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Theobromines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Theophylline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Caffeine</w:t>
            </w:r>
          </w:p>
        </w:tc>
        <w:tc>
          <w:tcPr>
            <w:tcW w:w="2520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CNS stimulant effects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092D1D" w:rsidTr="00AF0E41">
        <w:tc>
          <w:tcPr>
            <w:tcW w:w="1819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Parkinson disease</w:t>
            </w:r>
          </w:p>
        </w:tc>
        <w:tc>
          <w:tcPr>
            <w:tcW w:w="2610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All antipsychotics (except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aripiprazole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, quetiapine, clozapine)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Antiemetics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Metoclopramide</w:t>
            </w:r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Prochlorperazine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6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Promethazine</w:t>
            </w:r>
          </w:p>
        </w:tc>
        <w:tc>
          <w:tcPr>
            <w:tcW w:w="2520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Dopamine-receptor antagonists with potential to worsen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parkinsonian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symptoms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Quetiapine,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aripiprazole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>, clozapine appear to be less likely to precipitate worsening of Parkinson disease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092D1D" w:rsidTr="00AF0E41">
        <w:tc>
          <w:tcPr>
            <w:tcW w:w="13249" w:type="dxa"/>
            <w:gridSpan w:val="9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Gastrointestinal</w:t>
            </w:r>
          </w:p>
        </w:tc>
      </w:tr>
      <w:tr w:rsidR="00092D1D" w:rsidTr="00AF0E41">
        <w:tc>
          <w:tcPr>
            <w:tcW w:w="1819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History of gastric or duodenal ulcers</w:t>
            </w:r>
          </w:p>
        </w:tc>
        <w:tc>
          <w:tcPr>
            <w:tcW w:w="2591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Aspirin (&gt;325 mg/d)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Non-COX-2 selective NSAIDs</w:t>
            </w:r>
          </w:p>
        </w:tc>
        <w:tc>
          <w:tcPr>
            <w:tcW w:w="2539" w:type="dxa"/>
            <w:gridSpan w:val="3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May exacerbate existing ulcers or cause new/additional ulcers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Avoid unless other alternatives are not effective and patient can take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gastroprotective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agent (i.e., proton-pump inhibitor or misoprostol)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092D1D" w:rsidTr="00AF0E41">
        <w:tc>
          <w:tcPr>
            <w:tcW w:w="13249" w:type="dxa"/>
            <w:gridSpan w:val="9"/>
          </w:tcPr>
          <w:p w:rsidR="00092D1D" w:rsidRDefault="00092D1D" w:rsidP="00AF0E41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Kidney/Urinary Tract</w:t>
            </w:r>
          </w:p>
        </w:tc>
      </w:tr>
      <w:tr w:rsidR="00092D1D" w:rsidTr="00AF0E41">
        <w:tc>
          <w:tcPr>
            <w:tcW w:w="1819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Chronic kidney disease Stages IV or less (creatinine clearance &lt;30 mL/min)</w:t>
            </w:r>
          </w:p>
        </w:tc>
        <w:tc>
          <w:tcPr>
            <w:tcW w:w="2591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NSAIDs (non-COX and COX-selective, oral and parenteral)</w:t>
            </w:r>
          </w:p>
        </w:tc>
        <w:tc>
          <w:tcPr>
            <w:tcW w:w="2539" w:type="dxa"/>
            <w:gridSpan w:val="3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May increase risk of acute kidney injury and further decline of renal function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  <w:tr w:rsidR="00092D1D" w:rsidTr="00AF0E41">
        <w:tc>
          <w:tcPr>
            <w:tcW w:w="1819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Urinary incontinence (all types) in women</w:t>
            </w:r>
          </w:p>
        </w:tc>
        <w:tc>
          <w:tcPr>
            <w:tcW w:w="2591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Estrogen oral and transdermal (excludes intravaginal estrogen)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Peripheral alpha-1 </w:t>
            </w:r>
            <w:r>
              <w:rPr>
                <w:rFonts w:ascii="Times New Roman" w:hAnsi="Times New Roman" w:cs="Arial"/>
                <w:sz w:val="24"/>
              </w:rPr>
              <w:lastRenderedPageBreak/>
              <w:t>blockers</w:t>
            </w:r>
          </w:p>
          <w:p w:rsidR="00092D1D" w:rsidRDefault="00092D1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Doxazosin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</w:rPr>
              <w:t>Prazosin</w:t>
            </w:r>
            <w:proofErr w:type="spellEnd"/>
          </w:p>
          <w:p w:rsidR="00092D1D" w:rsidRDefault="00092D1D" w:rsidP="00AF0E41">
            <w:pPr>
              <w:spacing w:after="0" w:line="240" w:lineRule="auto"/>
              <w:ind w:left="155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Terazosin</w:t>
            </w:r>
          </w:p>
        </w:tc>
        <w:tc>
          <w:tcPr>
            <w:tcW w:w="2539" w:type="dxa"/>
            <w:gridSpan w:val="3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Aggravation of incontinence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 in women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Estrogen: high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Peripheral alpha-1 </w:t>
            </w:r>
            <w:r>
              <w:rPr>
                <w:rFonts w:ascii="Times New Roman" w:hAnsi="Times New Roman" w:cs="Arial"/>
                <w:sz w:val="24"/>
              </w:rPr>
              <w:lastRenderedPageBreak/>
              <w:t>blockers: moderate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Estrogen: strong</w:t>
            </w: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Peripheral alpha-1 </w:t>
            </w:r>
            <w:r>
              <w:rPr>
                <w:rFonts w:ascii="Times New Roman" w:hAnsi="Times New Roman" w:cs="Arial"/>
                <w:sz w:val="24"/>
              </w:rPr>
              <w:lastRenderedPageBreak/>
              <w:t>blockers: strong</w:t>
            </w:r>
          </w:p>
        </w:tc>
      </w:tr>
      <w:tr w:rsidR="00092D1D" w:rsidTr="00AF0E41">
        <w:tc>
          <w:tcPr>
            <w:tcW w:w="1819" w:type="dxa"/>
            <w:gridSpan w:val="2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Lower urinary tract symptoms, benign prostatic hyperplasia</w:t>
            </w:r>
          </w:p>
        </w:tc>
        <w:tc>
          <w:tcPr>
            <w:tcW w:w="2591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Strongly anticholinergic drugs, except </w:t>
            </w:r>
            <w:proofErr w:type="spellStart"/>
            <w:r>
              <w:rPr>
                <w:rFonts w:ascii="Times New Roman" w:hAnsi="Times New Roman" w:cs="Arial"/>
                <w:sz w:val="24"/>
              </w:rPr>
              <w:t>antimuscarinic</w:t>
            </w:r>
            <w:proofErr w:type="spellEnd"/>
            <w:r>
              <w:rPr>
                <w:rFonts w:ascii="Times New Roman" w:hAnsi="Times New Roman" w:cs="Arial"/>
                <w:sz w:val="24"/>
              </w:rPr>
              <w:t xml:space="preserve"> for urinary incontinence (see Table 7 in full criteria available on www.geriatricscareonline.org).</w:t>
            </w:r>
          </w:p>
        </w:tc>
        <w:tc>
          <w:tcPr>
            <w:tcW w:w="2539" w:type="dxa"/>
            <w:gridSpan w:val="3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May decrease urinary flow and cause urinary retention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Avoid in men</w:t>
            </w:r>
          </w:p>
        </w:tc>
        <w:tc>
          <w:tcPr>
            <w:tcW w:w="216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Moderate</w:t>
            </w:r>
          </w:p>
        </w:tc>
        <w:tc>
          <w:tcPr>
            <w:tcW w:w="2070" w:type="dxa"/>
          </w:tcPr>
          <w:p w:rsidR="00092D1D" w:rsidRDefault="00092D1D" w:rsidP="00AF0E41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Strong</w:t>
            </w:r>
          </w:p>
        </w:tc>
      </w:tr>
    </w:tbl>
    <w:p w:rsidR="00092D1D" w:rsidRDefault="00092D1D" w:rsidP="00092D1D">
      <w:pPr>
        <w:spacing w:after="0" w:line="240" w:lineRule="auto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The primary target audience is the practicing clinician. The intentions of the criteria include 1) improving the selection of prescription drugs by clinicians and patients; 2) evaluating patterns of drug use within populations; 3) educating clinicians and patients on proper drug usage; and 4) evaluating health-outcome, quality-of-care, cost, and utilization data.</w:t>
      </w:r>
    </w:p>
    <w:p w:rsidR="00092D1D" w:rsidRDefault="00092D1D" w:rsidP="00092D1D">
      <w:pPr>
        <w:spacing w:after="0" w:line="240" w:lineRule="auto"/>
        <w:rPr>
          <w:rFonts w:ascii="Times New Roman" w:hAnsi="Times New Roman" w:cs="Arial"/>
          <w:sz w:val="24"/>
        </w:rPr>
      </w:pPr>
      <w:r w:rsidRPr="00AF0E41">
        <w:rPr>
          <w:rFonts w:ascii="Times New Roman" w:hAnsi="Times New Roman" w:cs="Arial"/>
          <w:i/>
          <w:iCs/>
          <w:sz w:val="24"/>
        </w:rPr>
        <w:t>Note:</w:t>
      </w:r>
      <w:r>
        <w:rPr>
          <w:rFonts w:ascii="Times New Roman" w:hAnsi="Times New Roman" w:cs="Arial"/>
          <w:sz w:val="24"/>
        </w:rPr>
        <w:t xml:space="preserve"> </w:t>
      </w:r>
      <w:proofErr w:type="spellStart"/>
      <w:r>
        <w:rPr>
          <w:rFonts w:ascii="Times New Roman" w:hAnsi="Times New Roman" w:cs="Arial"/>
          <w:sz w:val="24"/>
        </w:rPr>
        <w:t>AChEI</w:t>
      </w:r>
      <w:proofErr w:type="spellEnd"/>
      <w:r>
        <w:rPr>
          <w:rFonts w:ascii="Times New Roman" w:hAnsi="Times New Roman" w:cs="Arial"/>
          <w:sz w:val="24"/>
        </w:rPr>
        <w:t xml:space="preserve"> = acetylcholinesterase inhibitor; CCB = calcium channel blocker; CNS = central nervous system; </w:t>
      </w:r>
      <w:r>
        <w:rPr>
          <w:rFonts w:ascii="Times New Roman" w:hAnsi="Times New Roman"/>
          <w:sz w:val="24"/>
        </w:rPr>
        <w:t xml:space="preserve">COPD = </w:t>
      </w:r>
      <w:r>
        <w:rPr>
          <w:rFonts w:ascii="Times New Roman" w:hAnsi="Times New Roman"/>
          <w:sz w:val="24"/>
          <w:szCs w:val="24"/>
        </w:rPr>
        <w:t xml:space="preserve">chronic obstructive pulmonary disease; </w:t>
      </w:r>
      <w:r>
        <w:rPr>
          <w:rFonts w:ascii="Times New Roman" w:hAnsi="Times New Roman" w:cs="Arial"/>
          <w:sz w:val="24"/>
        </w:rPr>
        <w:t xml:space="preserve">COX = cyclooxygenase; NSAIDs = nonsteroidal anti-inflammatory drugs; </w:t>
      </w:r>
      <w:r w:rsidRPr="00AF0E41">
        <w:rPr>
          <w:rFonts w:ascii="Times New Roman" w:hAnsi="Times New Roman"/>
          <w:color w:val="000000"/>
          <w:sz w:val="24"/>
        </w:rPr>
        <w:t>SSRI</w:t>
      </w:r>
      <w:r>
        <w:rPr>
          <w:rFonts w:ascii="Times New Roman" w:hAnsi="Times New Roman"/>
          <w:color w:val="000000"/>
          <w:sz w:val="24"/>
        </w:rPr>
        <w:t>s</w:t>
      </w:r>
      <w:r w:rsidRPr="00AF0E41">
        <w:rPr>
          <w:rFonts w:ascii="Times New Roman" w:hAnsi="Times New Roman"/>
          <w:color w:val="000000"/>
          <w:sz w:val="24"/>
        </w:rPr>
        <w:t xml:space="preserve"> = </w:t>
      </w:r>
      <w:r>
        <w:rPr>
          <w:rFonts w:ascii="Times New Roman" w:hAnsi="Times New Roman"/>
          <w:color w:val="000000"/>
          <w:sz w:val="24"/>
        </w:rPr>
        <w:t>s</w:t>
      </w:r>
      <w:r w:rsidRPr="00AF0E41">
        <w:rPr>
          <w:rStyle w:val="Emphasis"/>
          <w:rFonts w:ascii="Times New Roman" w:hAnsi="Times New Roman"/>
          <w:i w:val="0"/>
          <w:iCs w:val="0"/>
          <w:color w:val="000000"/>
          <w:sz w:val="24"/>
          <w:shd w:val="clear" w:color="auto" w:fill="FFFFFF"/>
        </w:rPr>
        <w:t xml:space="preserve">elective serotonin reuptake inhibitors; </w:t>
      </w:r>
      <w:r>
        <w:rPr>
          <w:rFonts w:ascii="Times New Roman" w:hAnsi="Times New Roman" w:cs="Arial"/>
          <w:sz w:val="24"/>
        </w:rPr>
        <w:t>TCAs = tricyclic antidepressants.</w:t>
      </w:r>
    </w:p>
    <w:p w:rsidR="00092D1D" w:rsidRDefault="00092D1D" w:rsidP="00092D1D">
      <w:pPr>
        <w:spacing w:after="0" w:line="240" w:lineRule="auto"/>
        <w:rPr>
          <w:rFonts w:ascii="Times New Roman" w:hAnsi="Times New Roman" w:cs="Arial"/>
          <w:sz w:val="24"/>
        </w:rPr>
      </w:pPr>
    </w:p>
    <w:p w:rsidR="00092D1D" w:rsidRDefault="00092D1D" w:rsidP="00092D1D">
      <w:pPr>
        <w:spacing w:after="0" w:line="240" w:lineRule="auto"/>
        <w:rPr>
          <w:rFonts w:ascii="Times New Roman" w:hAnsi="Times New Roman" w:cs="Arial"/>
          <w:sz w:val="24"/>
        </w:rPr>
      </w:pPr>
    </w:p>
    <w:p w:rsidR="004D2264" w:rsidRDefault="00092D1D" w:rsidP="00092D1D">
      <w:proofErr w:type="gramStart"/>
      <w:r>
        <w:rPr>
          <w:rFonts w:ascii="Times New Roman" w:hAnsi="Times New Roman" w:cs="Arial"/>
          <w:sz w:val="24"/>
        </w:rPr>
        <w:t>Printed with permission</w:t>
      </w:r>
      <w:r>
        <w:rPr>
          <w:rFonts w:cs="Calibri"/>
          <w:i/>
          <w:iCs/>
          <w:sz w:val="24"/>
          <w:szCs w:val="24"/>
        </w:rPr>
        <w:t>: American Geriatrics Society 2015 Beers Criteria Update Expert Panel.</w:t>
      </w:r>
      <w:proofErr w:type="gramEnd"/>
      <w:r>
        <w:rPr>
          <w:rFonts w:cs="Calibri"/>
          <w:i/>
          <w:iCs/>
          <w:sz w:val="24"/>
          <w:szCs w:val="24"/>
        </w:rPr>
        <w:t xml:space="preserve"> (2015). American Geriatrics Society 2015 updated Beers Criteria for Potentially Inappropriate Medication Use in Older Adults. </w:t>
      </w:r>
      <w:r w:rsidRPr="00AF0E41">
        <w:rPr>
          <w:rFonts w:cs="Calibri"/>
          <w:sz w:val="24"/>
          <w:szCs w:val="24"/>
        </w:rPr>
        <w:t>Journal of the American Geriatrics Society, 63</w:t>
      </w:r>
      <w:r>
        <w:rPr>
          <w:rFonts w:cs="Calibri"/>
          <w:i/>
          <w:iCs/>
          <w:sz w:val="24"/>
          <w:szCs w:val="24"/>
        </w:rPr>
        <w:t>(11), 2227–2246.</w:t>
      </w:r>
    </w:p>
    <w:sectPr w:rsidR="004D2264" w:rsidSect="00092D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53" w:rsidRDefault="00B32F53" w:rsidP="00092D1D">
      <w:pPr>
        <w:spacing w:after="0" w:line="240" w:lineRule="auto"/>
      </w:pPr>
      <w:r>
        <w:separator/>
      </w:r>
    </w:p>
  </w:endnote>
  <w:endnote w:type="continuationSeparator" w:id="0">
    <w:p w:rsidR="00B32F53" w:rsidRDefault="00B32F53" w:rsidP="0009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53" w:rsidRDefault="00B32F53" w:rsidP="00092D1D">
      <w:pPr>
        <w:spacing w:after="0" w:line="240" w:lineRule="auto"/>
      </w:pPr>
      <w:r>
        <w:separator/>
      </w:r>
    </w:p>
  </w:footnote>
  <w:footnote w:type="continuationSeparator" w:id="0">
    <w:p w:rsidR="00B32F53" w:rsidRDefault="00B32F53" w:rsidP="0009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1D"/>
    <w:rsid w:val="00092D1D"/>
    <w:rsid w:val="001A792A"/>
    <w:rsid w:val="003B0A35"/>
    <w:rsid w:val="00B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92D1D"/>
    <w:rPr>
      <w:i/>
      <w:iCs/>
    </w:rPr>
  </w:style>
  <w:style w:type="paragraph" w:styleId="FootnoteText">
    <w:name w:val="footnote text"/>
    <w:basedOn w:val="Normal"/>
    <w:link w:val="FootnoteTextChar"/>
    <w:semiHidden/>
    <w:rsid w:val="00092D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D1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92D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92D1D"/>
    <w:rPr>
      <w:i/>
      <w:iCs/>
    </w:rPr>
  </w:style>
  <w:style w:type="paragraph" w:styleId="FootnoteText">
    <w:name w:val="footnote text"/>
    <w:basedOn w:val="Normal"/>
    <w:link w:val="FootnoteTextChar"/>
    <w:semiHidden/>
    <w:rsid w:val="00092D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D1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92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Brosky, Kevin</dc:creator>
  <cp:lastModifiedBy>Brosky, Kevin</cp:lastModifiedBy>
  <cp:revision>1</cp:revision>
  <dcterms:created xsi:type="dcterms:W3CDTF">2016-10-12T18:25:00Z</dcterms:created>
  <dcterms:modified xsi:type="dcterms:W3CDTF">2016-10-12T18:26:00Z</dcterms:modified>
</cp:coreProperties>
</file>