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page" w:horzAnchor="page" w:tblpX="1442" w:tblpY="1805"/>
        <w:tblW w:w="9369" w:type="dxa"/>
        <w:tblLayout w:type="fixed"/>
        <w:tblLook w:val="04A0" w:firstRow="1" w:lastRow="0" w:firstColumn="1" w:lastColumn="0" w:noHBand="0" w:noVBand="1"/>
      </w:tblPr>
      <w:tblGrid>
        <w:gridCol w:w="5761"/>
        <w:gridCol w:w="2110"/>
        <w:gridCol w:w="1498"/>
      </w:tblGrid>
      <w:tr w:rsidR="006D6F15" w:rsidRPr="00162E55" w14:paraId="7453C22A" w14:textId="77777777" w:rsidTr="00D63AED">
        <w:trPr>
          <w:trHeight w:val="316"/>
        </w:trPr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730E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bookmarkStart w:id="0" w:name="T3_3"/>
            <w:r>
              <w:rPr>
                <w:rFonts w:cs="Times New Roman"/>
                <w:b/>
                <w:color w:val="000000" w:themeColor="text1"/>
              </w:rPr>
              <w:t>SDC 3.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 Risk Factors for Severe ADL Dependence at admission</w:t>
            </w:r>
            <w:bookmarkEnd w:id="0"/>
          </w:p>
        </w:tc>
      </w:tr>
      <w:tr w:rsidR="006D6F15" w:rsidRPr="00162E55" w14:paraId="0DB9FEC7" w14:textId="77777777" w:rsidTr="00D63AED">
        <w:trPr>
          <w:trHeight w:val="316"/>
        </w:trPr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CBC8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Risk Factor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A00EE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Adjusted Odds Ratio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27B88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95% Confidence Interval</w:t>
            </w:r>
          </w:p>
        </w:tc>
      </w:tr>
      <w:tr w:rsidR="006D6F15" w:rsidRPr="00162E55" w14:paraId="09E2683D" w14:textId="77777777" w:rsidTr="00D63AED">
        <w:trPr>
          <w:trHeight w:val="360"/>
        </w:trPr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E120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Age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516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DE63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(1.01-1.02)</w:t>
            </w:r>
          </w:p>
        </w:tc>
      </w:tr>
      <w:tr w:rsidR="006D6F15" w:rsidRPr="00162E55" w14:paraId="11F132A7" w14:textId="77777777" w:rsidTr="00D63AED">
        <w:trPr>
          <w:trHeight w:val="36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DC5B1B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Female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43EC2B8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6C0EA8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(1.11-1.16)</w:t>
            </w:r>
          </w:p>
        </w:tc>
      </w:tr>
      <w:tr w:rsidR="006D6F15" w:rsidRPr="00162E55" w14:paraId="4DAE3D1D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D30F7B3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Race and Ethnicity (White is the reference group)</w:t>
            </w:r>
            <w:r w:rsidRPr="00162E55">
              <w:rPr>
                <w:rFonts w:cs="Times New Roman"/>
                <w:color w:val="000000" w:themeColor="text1"/>
              </w:rPr>
              <w:tab/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A9B6F5D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80BF477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6D6F15" w:rsidRPr="00162E55" w14:paraId="343BDF47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06B711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Black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4DEDE0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1.30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F91F8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(</w:t>
            </w:r>
            <w:r w:rsidRPr="00162E55">
              <w:rPr>
                <w:rFonts w:cs="Times New Roman"/>
                <w:color w:val="000000" w:themeColor="text1"/>
              </w:rPr>
              <w:t>1.25-1.35)</w:t>
            </w:r>
          </w:p>
        </w:tc>
      </w:tr>
      <w:tr w:rsidR="006D6F15" w:rsidRPr="00162E55" w14:paraId="0BB32FFC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7F18114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Hispanic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6F1D7C0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6EEA16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(</w:t>
            </w:r>
            <w:r w:rsidRPr="00162E55">
              <w:rPr>
                <w:rFonts w:cs="Times New Roman"/>
                <w:color w:val="000000" w:themeColor="text1"/>
              </w:rPr>
              <w:t>1.32-1.45)</w:t>
            </w:r>
          </w:p>
        </w:tc>
      </w:tr>
      <w:tr w:rsidR="006D6F15" w:rsidRPr="00162E55" w14:paraId="3CCFC63C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4448D2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Other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E8946C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992B8FE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(</w:t>
            </w:r>
            <w:r w:rsidRPr="00162E55">
              <w:rPr>
                <w:rFonts w:cs="Times New Roman"/>
                <w:color w:val="000000" w:themeColor="text1"/>
              </w:rPr>
              <w:t>1.26-1.47)</w:t>
            </w:r>
          </w:p>
        </w:tc>
      </w:tr>
      <w:tr w:rsidR="006D6F15" w:rsidRPr="00162E55" w14:paraId="53B9B8AB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9F4BD19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Lives alone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D071EA2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52EE95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(0.50-.53)</w:t>
            </w:r>
          </w:p>
        </w:tc>
      </w:tr>
      <w:tr w:rsidR="006D6F15" w:rsidRPr="00162E55" w14:paraId="3386AF8B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6EE55B6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Insurance (Medicare is the reference group)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05AD592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7C0338E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6D6F15" w:rsidRPr="00162E55" w14:paraId="50D796D1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10942FC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Medicaid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B5B8F1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0.40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28C70FE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(0.37-0.46)</w:t>
            </w:r>
          </w:p>
        </w:tc>
      </w:tr>
      <w:tr w:rsidR="006D6F15" w:rsidRPr="00162E55" w14:paraId="45D8A702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9C1A1E5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Dual eligibility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46CC375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B931D52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(0.99-1.14)</w:t>
            </w:r>
          </w:p>
        </w:tc>
      </w:tr>
      <w:tr w:rsidR="006D6F15" w:rsidRPr="00162E55" w14:paraId="5F2EEC77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38BD7DD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Inpatient stay 14 days before start of HHC episode (No inpatient stay in previous 14 days is the reference group)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6E4EE7C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79DE389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6D6F15" w:rsidRPr="00162E55" w14:paraId="0CB8DAEB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6326813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Hospital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6CF6862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DE45C62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(0.91-1.00)</w:t>
            </w:r>
          </w:p>
        </w:tc>
      </w:tr>
      <w:tr w:rsidR="006D6F15" w:rsidRPr="00162E55" w14:paraId="424B5654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AB32F81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Skilled Nursing Facility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732424D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1.20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E266708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(</w:t>
            </w:r>
            <w:r w:rsidRPr="00162E55">
              <w:rPr>
                <w:rFonts w:cs="Times New Roman"/>
                <w:color w:val="000000" w:themeColor="text1"/>
              </w:rPr>
              <w:t>1.16-1.24)</w:t>
            </w:r>
          </w:p>
        </w:tc>
      </w:tr>
      <w:tr w:rsidR="006D6F15" w:rsidRPr="00162E55" w14:paraId="5047B40F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F3BA5BC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Other (</w:t>
            </w:r>
            <w:proofErr w:type="spellStart"/>
            <w:r>
              <w:rPr>
                <w:rFonts w:cs="Times New Roman"/>
                <w:color w:val="000000" w:themeColor="text1"/>
              </w:rPr>
              <w:t>e.g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62E55">
              <w:rPr>
                <w:rFonts w:cs="Times New Roman"/>
                <w:color w:val="000000" w:themeColor="text1"/>
              </w:rPr>
              <w:t>LTACH, IRF, Psychiatric</w:t>
            </w:r>
            <w:r>
              <w:rPr>
                <w:rFonts w:cs="Times New Roman"/>
                <w:color w:val="000000" w:themeColor="text1"/>
              </w:rPr>
              <w:t xml:space="preserve"> hospital or unit</w:t>
            </w:r>
            <w:r w:rsidRPr="00162E55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E52199B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EAD0FE5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1.23-1.34)</w:t>
            </w:r>
          </w:p>
        </w:tc>
      </w:tr>
      <w:tr w:rsidR="006D6F15" w:rsidRPr="00162E55" w14:paraId="206531FE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9D384A1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proofErr w:type="spellStart"/>
            <w:r w:rsidRPr="00162E55">
              <w:rPr>
                <w:rFonts w:cs="Times New Roman"/>
                <w:color w:val="000000" w:themeColor="text1"/>
              </w:rPr>
              <w:t>Charlson</w:t>
            </w:r>
            <w:proofErr w:type="spellEnd"/>
            <w:r w:rsidRPr="00162E55">
              <w:rPr>
                <w:rFonts w:cs="Times New Roman"/>
                <w:color w:val="000000" w:themeColor="text1"/>
              </w:rPr>
              <w:t xml:space="preserve"> Comorbidity Index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29404E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38C1743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(</w:t>
            </w:r>
            <w:r w:rsidRPr="00162E55">
              <w:rPr>
                <w:rFonts w:cs="Times New Roman"/>
                <w:color w:val="000000" w:themeColor="text1"/>
              </w:rPr>
              <w:t>1.03-1.05)</w:t>
            </w:r>
          </w:p>
        </w:tc>
      </w:tr>
      <w:tr w:rsidR="006D6F15" w:rsidRPr="00162E55" w14:paraId="0D945450" w14:textId="77777777" w:rsidTr="00D63AED">
        <w:trPr>
          <w:trHeight w:val="340"/>
        </w:trPr>
        <w:tc>
          <w:tcPr>
            <w:tcW w:w="5761" w:type="dxa"/>
            <w:tcBorders>
              <w:top w:val="nil"/>
              <w:left w:val="nil"/>
              <w:right w:val="nil"/>
            </w:tcBorders>
          </w:tcPr>
          <w:p w14:paraId="653BB024" w14:textId="77777777" w:rsidR="006D6F15" w:rsidRPr="00162E55" w:rsidRDefault="006D6F15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Impaired Decision Making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14:paraId="3DE1513C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3.51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14:paraId="07F643D1" w14:textId="77777777" w:rsidR="006D6F15" w:rsidRPr="00162E55" w:rsidRDefault="006D6F15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(3.39-3.63)</w:t>
            </w:r>
          </w:p>
        </w:tc>
      </w:tr>
    </w:tbl>
    <w:p w14:paraId="4C471081" w14:textId="77777777" w:rsidR="004D2264" w:rsidRDefault="006D6F15">
      <w:bookmarkStart w:id="1" w:name="_GoBack"/>
      <w:bookmarkEnd w:id="1"/>
    </w:p>
    <w:sectPr w:rsidR="004D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6F15"/>
    <w:rsid w:val="001A792A"/>
    <w:rsid w:val="003B0A35"/>
    <w:rsid w:val="0049181A"/>
    <w:rsid w:val="006D6F15"/>
    <w:rsid w:val="007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F62B"/>
  <w15:chartTrackingRefBased/>
  <w15:docId w15:val="{E39DF978-0057-4A60-8D2E-233E802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6F15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D6F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2019-03-12T18:03:00Z</dcterms:created>
  <dcterms:modified xsi:type="dcterms:W3CDTF">2019-03-12T18:04:00Z</dcterms:modified>
</cp:coreProperties>
</file>