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E6" w:rsidRDefault="00773CE6" w:rsidP="00D200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1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F567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D71C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D71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Odds ratio 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 xml:space="preserve">(and 95% confidence interval) </w:t>
      </w:r>
      <w:r w:rsidR="007F390E"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for each unit increase </w:t>
      </w:r>
      <w:r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of </w:t>
      </w:r>
      <w:r w:rsidR="007F390E"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the associat</w:t>
      </w:r>
      <w:r w:rsid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i</w:t>
      </w:r>
      <w:bookmarkStart w:id="0" w:name="_GoBack"/>
      <w:bookmarkEnd w:id="0"/>
      <w:r w:rsidR="007F390E"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on of </w:t>
      </w:r>
      <w:r w:rsidR="00D20016"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brachial and </w:t>
      </w:r>
      <w:r w:rsidR="007F390E"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c</w:t>
      </w:r>
      <w:r w:rsidR="006119D9"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entral</w:t>
      </w:r>
      <w:r w:rsidR="00D20016"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 average real variabilities (ARV) of systolic blood pressure (SBP) and pulse pressure (PP), augmentation index (</w:t>
      </w:r>
      <w:proofErr w:type="spellStart"/>
      <w:r w:rsidR="00D20016"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AIx</w:t>
      </w:r>
      <w:proofErr w:type="spellEnd"/>
      <w:r w:rsidR="00D20016"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) and pulse wave velocity (PWV)</w:t>
      </w:r>
      <w:r w:rsidR="007F390E"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 with </w:t>
      </w:r>
      <w:r w:rsidR="007F390E" w:rsidRPr="007F390E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different types of hypertension-mediated organ damage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 xml:space="preserve"> Data of c</w:t>
      </w:r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ardiac organ damage 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adjusted 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 center, vascular damage, renal damage, age, sex, history of hypertension, history of dyslipidemia, history of cardiovascular disease and obesity (plus average SBP for </w:t>
      </w:r>
      <w:proofErr w:type="spellStart"/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>AIx</w:t>
      </w:r>
      <w:proofErr w:type="spellEnd"/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 and BP for ARV)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>. Data of v</w:t>
      </w:r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ascular organ damage 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adjusted 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 center, cardiac damage, renal damage, age, sex, history of hypertension, history of dyslipidemia, history of diabetes, history of cardiovascular disease and obesity (plus average SBP for </w:t>
      </w:r>
      <w:proofErr w:type="spellStart"/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>AIx</w:t>
      </w:r>
      <w:proofErr w:type="spellEnd"/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 and BP for ARV)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>. Data for r</w:t>
      </w:r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enal damage 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adjusted 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 center, cardiac damage, vascular damage, age, history of diabetes and </w:t>
      </w:r>
      <w:r w:rsidR="00D669E8">
        <w:rPr>
          <w:rFonts w:ascii="Times New Roman" w:hAnsi="Times New Roman" w:cs="Times New Roman"/>
          <w:sz w:val="24"/>
          <w:szCs w:val="24"/>
          <w:lang w:val="en-US"/>
        </w:rPr>
        <w:t xml:space="preserve">cardiovascular </w:t>
      </w:r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disease (plus average SBP for </w:t>
      </w:r>
      <w:proofErr w:type="spellStart"/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>AIx</w:t>
      </w:r>
      <w:proofErr w:type="spellEnd"/>
      <w:r w:rsidR="00D20016" w:rsidRPr="00D20016">
        <w:rPr>
          <w:rFonts w:ascii="Times New Roman" w:hAnsi="Times New Roman" w:cs="Times New Roman"/>
          <w:sz w:val="24"/>
          <w:szCs w:val="24"/>
          <w:lang w:val="en-US"/>
        </w:rPr>
        <w:t xml:space="preserve"> and BP for ARV)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>. P-values for the odds ratio</w:t>
      </w:r>
      <w:r w:rsidR="002415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0016">
        <w:rPr>
          <w:rFonts w:ascii="Times New Roman" w:hAnsi="Times New Roman" w:cs="Times New Roman"/>
          <w:sz w:val="24"/>
          <w:szCs w:val="24"/>
          <w:lang w:val="en-US"/>
        </w:rPr>
        <w:t xml:space="preserve"> are also shown.</w:t>
      </w:r>
    </w:p>
    <w:p w:rsidR="00D20016" w:rsidRPr="00AD71C5" w:rsidRDefault="00D20016" w:rsidP="00D200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2427"/>
        <w:gridCol w:w="850"/>
        <w:gridCol w:w="2427"/>
        <w:gridCol w:w="850"/>
        <w:gridCol w:w="2427"/>
        <w:gridCol w:w="850"/>
      </w:tblGrid>
      <w:tr w:rsidR="00D20016" w:rsidRPr="00D20016" w:rsidTr="00D20016">
        <w:trPr>
          <w:jc w:val="center"/>
        </w:trPr>
        <w:tc>
          <w:tcPr>
            <w:tcW w:w="0" w:type="auto"/>
            <w:vMerge w:val="restart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Cardiac (n=482)</w:t>
            </w:r>
          </w:p>
        </w:tc>
        <w:tc>
          <w:tcPr>
            <w:tcW w:w="0" w:type="auto"/>
            <w:gridSpan w:val="2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Vascular (n=368)</w:t>
            </w:r>
          </w:p>
        </w:tc>
        <w:tc>
          <w:tcPr>
            <w:tcW w:w="0" w:type="auto"/>
            <w:gridSpan w:val="2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Renal (n=388)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Merge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Odds ratio</w:t>
            </w:r>
            <w:r w:rsidRPr="00D200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br/>
              <w:t>(95% confidence interval)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Odds ratio</w:t>
            </w:r>
            <w:r w:rsidRPr="00D200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br/>
              <w:t>(95% confidence interval)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Odds ratio</w:t>
            </w:r>
            <w:r w:rsidRPr="00D200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br/>
              <w:t>(95% confidence interval)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24-hour Brachial ARV SBP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1.042 (0.948, 1.146)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0.391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0.944 (0.829, 1.075)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0.383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1.104 (0.950, 1.282)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0.195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Day-time Brachial ARV SBP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1.036 (0.957, 1.122)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0.378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1.005 (0.903, 1.119)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0.924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1.099 (0.973, 1.241)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0.129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Night-time Brachial ARV SBP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1.006 (0.941, 1.075)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0.857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0.968 (0.889, 1.053)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0.448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1.029 (0.932, 1.135)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0.573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24-hour </w:t>
            </w:r>
            <w:r w:rsidR="00611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Central</w:t>
            </w: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ARV SBP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1.080 (0.978, 1.194)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0.130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0.940 (0.814, 1.085)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0.398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1.064 (0.902, 1.256)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0.462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Day-time </w:t>
            </w:r>
            <w:r w:rsidR="00611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Central</w:t>
            </w: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ARV SBP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1.089 (0.998, 1.188)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0.970 (0.858, 1.096)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0.625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1.087 (0.948, 1.247)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0.232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Night-time </w:t>
            </w:r>
            <w:r w:rsidR="00611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Central</w:t>
            </w: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ARV SBP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0.998 (0.935, 1.065)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0.958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0.988 (0.910, 1.072)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0.765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1.011 (0.918, 1.115)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0.820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24-hour Brachial ARV PP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0.969 (0.879, 1.068)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0.523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0.885 (0.777, 1.008)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1.130 (0.977, 1.306)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0.099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Day-time Brachial ARV PP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0.972 (0.898, 1.053)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0.489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0.930 (0.836, 1.035)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1.114 (0.991, 1.252)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0.069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Night-time Brachial ARV PP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0.984 (0.920, 1.052)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0.632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0.930 (0.854, 1.014)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1.027 (0.932, 1.132)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0.590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24-hour </w:t>
            </w:r>
            <w:r w:rsidR="00611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Central</w:t>
            </w: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ARV PP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0.982 (0.862, 1.119)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0.782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0.862 (0.728, 1.021)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0.086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1.164 (0.965, 1.403)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0.113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Day-time </w:t>
            </w:r>
            <w:r w:rsidR="00611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Central</w:t>
            </w: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ARV PP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0.974 (0.873, 1.086)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0.631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0.903 (0.784, 1.039)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1.173 (1.004, 1.370)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0.044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Night-time </w:t>
            </w:r>
            <w:r w:rsidR="006119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Central</w:t>
            </w: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ARV PP (mmHg)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0.999 (0.925, 1.080)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0.921 (0.831, 1.021)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1.022 (0.907, 1.152)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0.725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24-hour </w:t>
            </w:r>
            <w:proofErr w:type="spellStart"/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AIx</w:t>
            </w:r>
            <w:proofErr w:type="spellEnd"/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0.999 (0.985, 1.014)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0.915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0.983 (0.964, 1.002)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1.013 (0.997, 1.029)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0.120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Day-time </w:t>
            </w:r>
            <w:proofErr w:type="spellStart"/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AIx</w:t>
            </w:r>
            <w:proofErr w:type="spellEnd"/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1.000 (1.014, 0.986)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0.975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0.981 (0.963, 1.000)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1.011 (0.995, 1.028)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0.182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Nigh-time </w:t>
            </w:r>
            <w:proofErr w:type="spellStart"/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AIx</w:t>
            </w:r>
            <w:proofErr w:type="spellEnd"/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1.004 (0.998, 1.010)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0.997 (0.990, 1.005)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0.485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0.997 (0.990, 1.004)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0.421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24-hour PWV (m/s)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1.073 (0.926, 1.243)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0.349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1.005 (0.813, 1.242)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0.964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1.168 (0.949, 1.437)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0.143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Day-time PWV (m/s)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1.060 (0.919, 1.221)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0.424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1.022 (0.829, 1.259)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0.841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1.147 (0.941, 1.399)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0.175</w:t>
            </w:r>
          </w:p>
        </w:tc>
      </w:tr>
      <w:tr w:rsidR="00D20016" w:rsidRPr="00D20016" w:rsidTr="00D20016">
        <w:trPr>
          <w:jc w:val="center"/>
        </w:trPr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Night-time PWV (m/s)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1.098 (0.947, 1.273)</w:t>
            </w:r>
          </w:p>
        </w:tc>
        <w:tc>
          <w:tcPr>
            <w:tcW w:w="0" w:type="auto"/>
            <w:vAlign w:val="center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0.216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0.995 (0.812, 1.219)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0.959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1.192 (0.969, 1.466)</w:t>
            </w:r>
          </w:p>
        </w:tc>
        <w:tc>
          <w:tcPr>
            <w:tcW w:w="0" w:type="auto"/>
          </w:tcPr>
          <w:p w:rsidR="00D20016" w:rsidRPr="00D20016" w:rsidRDefault="00D20016" w:rsidP="00D20016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00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0.096</w:t>
            </w:r>
          </w:p>
        </w:tc>
      </w:tr>
    </w:tbl>
    <w:p w:rsidR="00D77030" w:rsidRDefault="00D77030"/>
    <w:sectPr w:rsidR="00D77030" w:rsidSect="007C298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2NDQ0MTIzMza3NDBW0lEKTi0uzszPAykwqwUA8aw8/ywAAAA="/>
  </w:docVars>
  <w:rsids>
    <w:rsidRoot w:val="00773CE6"/>
    <w:rsid w:val="0024154D"/>
    <w:rsid w:val="006119D9"/>
    <w:rsid w:val="00773CE6"/>
    <w:rsid w:val="007F390E"/>
    <w:rsid w:val="00AF5670"/>
    <w:rsid w:val="00D20016"/>
    <w:rsid w:val="00D669E8"/>
    <w:rsid w:val="00D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0FA2"/>
  <w15:chartTrackingRefBased/>
  <w15:docId w15:val="{B6890273-9BFB-41FB-AA7D-6F365914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73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Omboni</dc:creator>
  <cp:keywords/>
  <dc:description/>
  <cp:lastModifiedBy>Stefano Omboni</cp:lastModifiedBy>
  <cp:revision>7</cp:revision>
  <dcterms:created xsi:type="dcterms:W3CDTF">2019-06-07T14:25:00Z</dcterms:created>
  <dcterms:modified xsi:type="dcterms:W3CDTF">2019-09-12T10:06:00Z</dcterms:modified>
</cp:coreProperties>
</file>