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27" w:rsidRDefault="00CA0827" w:rsidP="00CA082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578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3415A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872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5783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8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Determinants of </w:t>
      </w:r>
      <w:r w:rsidR="008F5E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hypertension-mediated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 damage</w:t>
      </w:r>
      <w:r w:rsidRPr="00B578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F5E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(HMOD) </w:t>
      </w:r>
      <w:r w:rsidRPr="00B578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assessed by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logistic regression </w:t>
      </w:r>
      <w:r w:rsidRPr="00B5783D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including the main clinical and demographic variables (age, sex, history of hypertension, dyslipidemia, diabetes or heart disease, obesity) and all the ambulatory SBP and PP parameters. </w:t>
      </w:r>
      <w:r w:rsidR="0005387A" w:rsidRPr="0057067F">
        <w:rPr>
          <w:rFonts w:ascii="Times New Roman" w:hAnsi="Times New Roman" w:cs="Times New Roman"/>
          <w:lang w:val="en-US"/>
        </w:rPr>
        <w:t xml:space="preserve">Data are shown for the study population with all estimates of </w:t>
      </w:r>
      <w:r w:rsidR="0007481E">
        <w:rPr>
          <w:rFonts w:ascii="Times New Roman" w:hAnsi="Times New Roman" w:cs="Times New Roman"/>
          <w:lang w:val="en-US"/>
        </w:rPr>
        <w:t>HMOD</w:t>
      </w:r>
      <w:r w:rsidR="008F5E23">
        <w:rPr>
          <w:rFonts w:ascii="Times New Roman" w:hAnsi="Times New Roman" w:cs="Times New Roman"/>
          <w:lang w:val="en-US"/>
        </w:rPr>
        <w:t>, as odds ratio and 95% confidence interval and corresponding p-values</w:t>
      </w:r>
      <w:r w:rsidR="0005387A" w:rsidRPr="0057067F">
        <w:rPr>
          <w:rFonts w:ascii="Times New Roman" w:hAnsi="Times New Roman" w:cs="Times New Roman"/>
          <w:lang w:val="en-US"/>
        </w:rPr>
        <w:t>.</w:t>
      </w:r>
      <w:r w:rsidR="0005387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SBP: Systolic Blood Pressure; PP: Pulse Pressure; CV: Cardiovascular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6"/>
        <w:gridCol w:w="2206"/>
        <w:gridCol w:w="831"/>
        <w:gridCol w:w="3056"/>
        <w:gridCol w:w="2206"/>
        <w:gridCol w:w="831"/>
      </w:tblGrid>
      <w:tr w:rsidR="00CA0827" w:rsidRPr="00DA3836" w:rsidTr="007025D3">
        <w:tc>
          <w:tcPr>
            <w:tcW w:w="0" w:type="auto"/>
            <w:gridSpan w:val="3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Model including only SBP</w:t>
            </w:r>
          </w:p>
        </w:tc>
        <w:tc>
          <w:tcPr>
            <w:tcW w:w="0" w:type="auto"/>
            <w:gridSpan w:val="3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Model including only PP</w:t>
            </w:r>
          </w:p>
        </w:tc>
      </w:tr>
      <w:tr w:rsidR="00CA0827" w:rsidRPr="00DA3836" w:rsidTr="007025D3">
        <w:tc>
          <w:tcPr>
            <w:tcW w:w="0" w:type="auto"/>
            <w:gridSpan w:val="6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Cardiac damage (n=</w:t>
            </w:r>
            <w:r w:rsidR="000748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 (male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vs. female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0.488 (0.238, 0.999)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0.050</w:t>
            </w:r>
          </w:p>
        </w:tc>
        <w:tc>
          <w:tcPr>
            <w:tcW w:w="0" w:type="auto"/>
            <w:vAlign w:val="center"/>
          </w:tcPr>
          <w:p w:rsidR="00CA0827" w:rsidRPr="00DA3836" w:rsidRDefault="0005387A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disease (yes vs. no)</w:t>
            </w:r>
          </w:p>
        </w:tc>
        <w:tc>
          <w:tcPr>
            <w:tcW w:w="0" w:type="auto"/>
            <w:vAlign w:val="center"/>
          </w:tcPr>
          <w:p w:rsidR="00CA0827" w:rsidRDefault="0005387A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2.645 (1.053, 6.643)</w:t>
            </w:r>
          </w:p>
        </w:tc>
        <w:tc>
          <w:tcPr>
            <w:tcW w:w="0" w:type="auto"/>
            <w:vAlign w:val="center"/>
          </w:tcPr>
          <w:p w:rsidR="00CA0827" w:rsidRDefault="0005387A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0.038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disease (yes vs. no)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2.808 (1.112, 7.089)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24-hour </w:t>
            </w:r>
            <w:r w:rsidR="008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PP (</w:t>
            </w:r>
            <w:r w:rsidR="002E6028" w:rsidRPr="00455733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1-mmHg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Default="0005387A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1.099 (1.049, 1.150)</w:t>
            </w:r>
          </w:p>
        </w:tc>
        <w:tc>
          <w:tcPr>
            <w:tcW w:w="0" w:type="auto"/>
            <w:vAlign w:val="center"/>
          </w:tcPr>
          <w:p w:rsidR="00CA0827" w:rsidRDefault="0005387A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24-hour </w:t>
            </w:r>
            <w:r w:rsidR="008D2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Central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SBP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2E6028" w:rsidRPr="00455733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1-mmHg increase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1.057 (1.026, 1.089)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A0827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A0827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0827" w:rsidRPr="00DA3836" w:rsidTr="007025D3">
        <w:tc>
          <w:tcPr>
            <w:tcW w:w="0" w:type="auto"/>
            <w:gridSpan w:val="6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Vascular damage (n=</w:t>
            </w:r>
            <w:r w:rsidR="000748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bookmarkStart w:id="0" w:name="_GoBack"/>
        <w:bookmarkEnd w:id="0"/>
      </w:tr>
      <w:tr w:rsidR="00A77BAF" w:rsidRPr="00DA3836" w:rsidTr="007025D3"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</w:t>
            </w:r>
            <w:r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year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 xml:space="preserve">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1.088 (1.051, 1.127)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1-year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1.088 (1.051, 1.127)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</w:tr>
      <w:tr w:rsidR="00A77BAF" w:rsidRPr="001E6D76" w:rsidTr="007025D3"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 (male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vs. female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2.115 (1.001, 4.466)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Sex (male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vs. female</w:t>
            </w:r>
            <w:r w:rsidRPr="00DA3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2.115 (1.001, 4.466)</w:t>
            </w:r>
          </w:p>
        </w:tc>
        <w:tc>
          <w:tcPr>
            <w:tcW w:w="0" w:type="auto"/>
            <w:vAlign w:val="center"/>
          </w:tcPr>
          <w:p w:rsidR="00A77BAF" w:rsidRPr="00DA3836" w:rsidRDefault="00A77BAF" w:rsidP="00A77BAF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0.050</w:t>
            </w:r>
          </w:p>
        </w:tc>
      </w:tr>
      <w:tr w:rsidR="00CA0827" w:rsidRPr="00DA3836" w:rsidTr="007025D3">
        <w:tc>
          <w:tcPr>
            <w:tcW w:w="0" w:type="auto"/>
            <w:gridSpan w:val="6"/>
            <w:vAlign w:val="center"/>
          </w:tcPr>
          <w:p w:rsidR="00CA0827" w:rsidRPr="00DA3836" w:rsidRDefault="00CA0827" w:rsidP="00CA0827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Renal damage (n=</w:t>
            </w:r>
            <w:r w:rsidR="000748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CA0827" w:rsidRPr="00DA3836" w:rsidTr="007025D3"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CA0827" w:rsidRPr="00DA3836" w:rsidRDefault="00CA0827" w:rsidP="00CA08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1D458F" w:rsidRPr="00205216" w:rsidTr="0071206C"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1-year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1.050 (1.009, 1.093)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1-year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1.050 (1.009, 1.093)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</w:tr>
      <w:tr w:rsidR="0007481E" w:rsidRPr="00DA3836" w:rsidTr="007025D3">
        <w:tc>
          <w:tcPr>
            <w:tcW w:w="0" w:type="auto"/>
            <w:gridSpan w:val="6"/>
            <w:vAlign w:val="center"/>
          </w:tcPr>
          <w:p w:rsidR="0007481E" w:rsidRPr="00DA3836" w:rsidRDefault="0007481E" w:rsidP="007025D3">
            <w:pPr>
              <w:autoSpaceDE w:val="0"/>
              <w:autoSpaceDN w:val="0"/>
              <w:adjustRightInd w:val="0"/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Any HMOD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07481E" w:rsidRPr="00DA3836" w:rsidTr="007025D3"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Odds ratio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(95%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confidence interval</w:t>
            </w: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07481E" w:rsidRPr="00DA3836" w:rsidRDefault="0007481E" w:rsidP="007025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38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1D458F" w:rsidRPr="00205216" w:rsidTr="00E42704"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1-year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1.076 (1.039, 1.114)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</w:t>
            </w:r>
            <w:r w:rsidR="002E6028" w:rsidRPr="002E6028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en-US"/>
              </w:rPr>
              <w:t>1-year increase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1.076 (1.039, 1.114)</w:t>
            </w:r>
          </w:p>
        </w:tc>
        <w:tc>
          <w:tcPr>
            <w:tcW w:w="0" w:type="auto"/>
            <w:vAlign w:val="center"/>
          </w:tcPr>
          <w:p w:rsidR="001D458F" w:rsidRPr="00DA3836" w:rsidRDefault="001D458F" w:rsidP="001D458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0.0001</w:t>
            </w:r>
          </w:p>
        </w:tc>
      </w:tr>
    </w:tbl>
    <w:p w:rsidR="007025D3" w:rsidRPr="007025D3" w:rsidRDefault="007025D3" w:rsidP="007025D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025D3" w:rsidRDefault="007025D3" w:rsidP="00CA0827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25D3" w:rsidSect="007C29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DA3"/>
    <w:multiLevelType w:val="hybridMultilevel"/>
    <w:tmpl w:val="4E80FB10"/>
    <w:lvl w:ilvl="0" w:tplc="5C62B63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DAyNjC3sDQxtjBR0lEKTi0uzszPAykwsqgFAMJ9jgItAAAA"/>
  </w:docVars>
  <w:rsids>
    <w:rsidRoot w:val="004E6785"/>
    <w:rsid w:val="000025F1"/>
    <w:rsid w:val="00004DE7"/>
    <w:rsid w:val="00005CB5"/>
    <w:rsid w:val="00012639"/>
    <w:rsid w:val="00012785"/>
    <w:rsid w:val="00012F49"/>
    <w:rsid w:val="000151DD"/>
    <w:rsid w:val="00024876"/>
    <w:rsid w:val="000259C6"/>
    <w:rsid w:val="00025C3E"/>
    <w:rsid w:val="00026D4E"/>
    <w:rsid w:val="000355A5"/>
    <w:rsid w:val="000413D1"/>
    <w:rsid w:val="00044EEB"/>
    <w:rsid w:val="0005387A"/>
    <w:rsid w:val="00063F49"/>
    <w:rsid w:val="00064184"/>
    <w:rsid w:val="000718B8"/>
    <w:rsid w:val="0007481E"/>
    <w:rsid w:val="000748FA"/>
    <w:rsid w:val="00076279"/>
    <w:rsid w:val="0007775C"/>
    <w:rsid w:val="00080D75"/>
    <w:rsid w:val="0008512F"/>
    <w:rsid w:val="000855B0"/>
    <w:rsid w:val="000A2B89"/>
    <w:rsid w:val="000A7ECA"/>
    <w:rsid w:val="000B5C8E"/>
    <w:rsid w:val="000B7447"/>
    <w:rsid w:val="000C250D"/>
    <w:rsid w:val="000C3A73"/>
    <w:rsid w:val="000C7389"/>
    <w:rsid w:val="000E172E"/>
    <w:rsid w:val="000E2083"/>
    <w:rsid w:val="000E36A0"/>
    <w:rsid w:val="000E4481"/>
    <w:rsid w:val="000E763B"/>
    <w:rsid w:val="000F5355"/>
    <w:rsid w:val="001020AE"/>
    <w:rsid w:val="00104695"/>
    <w:rsid w:val="0010529E"/>
    <w:rsid w:val="001059D7"/>
    <w:rsid w:val="00110C38"/>
    <w:rsid w:val="001136CB"/>
    <w:rsid w:val="00116327"/>
    <w:rsid w:val="001205AB"/>
    <w:rsid w:val="001218E3"/>
    <w:rsid w:val="00123A9D"/>
    <w:rsid w:val="001273BE"/>
    <w:rsid w:val="00135328"/>
    <w:rsid w:val="00142279"/>
    <w:rsid w:val="001422C4"/>
    <w:rsid w:val="00144C2C"/>
    <w:rsid w:val="00151435"/>
    <w:rsid w:val="00154088"/>
    <w:rsid w:val="001573B2"/>
    <w:rsid w:val="001659DE"/>
    <w:rsid w:val="00166123"/>
    <w:rsid w:val="00170DCF"/>
    <w:rsid w:val="00171170"/>
    <w:rsid w:val="0017287C"/>
    <w:rsid w:val="0018228F"/>
    <w:rsid w:val="00182EBA"/>
    <w:rsid w:val="001856D8"/>
    <w:rsid w:val="00190550"/>
    <w:rsid w:val="00192CC2"/>
    <w:rsid w:val="00195973"/>
    <w:rsid w:val="00197030"/>
    <w:rsid w:val="001A1D0D"/>
    <w:rsid w:val="001A6C1F"/>
    <w:rsid w:val="001A6F27"/>
    <w:rsid w:val="001B1A74"/>
    <w:rsid w:val="001B2A6E"/>
    <w:rsid w:val="001B4909"/>
    <w:rsid w:val="001C04B2"/>
    <w:rsid w:val="001C1327"/>
    <w:rsid w:val="001C2C7B"/>
    <w:rsid w:val="001D3876"/>
    <w:rsid w:val="001D458F"/>
    <w:rsid w:val="001D4A0E"/>
    <w:rsid w:val="001D6DAD"/>
    <w:rsid w:val="001E21A5"/>
    <w:rsid w:val="001E2E6C"/>
    <w:rsid w:val="001E4D02"/>
    <w:rsid w:val="001E56EE"/>
    <w:rsid w:val="001E75F9"/>
    <w:rsid w:val="001F0F91"/>
    <w:rsid w:val="001F28E1"/>
    <w:rsid w:val="001F3E63"/>
    <w:rsid w:val="001F6867"/>
    <w:rsid w:val="0020261D"/>
    <w:rsid w:val="00212173"/>
    <w:rsid w:val="002178FE"/>
    <w:rsid w:val="00222C52"/>
    <w:rsid w:val="00224858"/>
    <w:rsid w:val="00230732"/>
    <w:rsid w:val="00231D04"/>
    <w:rsid w:val="00236A31"/>
    <w:rsid w:val="00240D59"/>
    <w:rsid w:val="002415BA"/>
    <w:rsid w:val="00244956"/>
    <w:rsid w:val="00244FF3"/>
    <w:rsid w:val="0024551D"/>
    <w:rsid w:val="00255CA9"/>
    <w:rsid w:val="00262737"/>
    <w:rsid w:val="00263BA1"/>
    <w:rsid w:val="00273A5B"/>
    <w:rsid w:val="0028000C"/>
    <w:rsid w:val="002822B5"/>
    <w:rsid w:val="00291619"/>
    <w:rsid w:val="00293A4C"/>
    <w:rsid w:val="002963CD"/>
    <w:rsid w:val="00297110"/>
    <w:rsid w:val="002A1670"/>
    <w:rsid w:val="002C0170"/>
    <w:rsid w:val="002C3724"/>
    <w:rsid w:val="002C5E56"/>
    <w:rsid w:val="002D2B20"/>
    <w:rsid w:val="002D30B8"/>
    <w:rsid w:val="002D6C05"/>
    <w:rsid w:val="002D7496"/>
    <w:rsid w:val="002E0DCD"/>
    <w:rsid w:val="002E6028"/>
    <w:rsid w:val="002F08EA"/>
    <w:rsid w:val="002F4DC8"/>
    <w:rsid w:val="00304552"/>
    <w:rsid w:val="0030758D"/>
    <w:rsid w:val="003077DE"/>
    <w:rsid w:val="00312B30"/>
    <w:rsid w:val="003138C5"/>
    <w:rsid w:val="003174B2"/>
    <w:rsid w:val="003202E6"/>
    <w:rsid w:val="00320BF1"/>
    <w:rsid w:val="003229B2"/>
    <w:rsid w:val="00325E3C"/>
    <w:rsid w:val="0032738D"/>
    <w:rsid w:val="00331D24"/>
    <w:rsid w:val="0033263E"/>
    <w:rsid w:val="00334BA7"/>
    <w:rsid w:val="0033678B"/>
    <w:rsid w:val="003415A1"/>
    <w:rsid w:val="003425D4"/>
    <w:rsid w:val="0034418A"/>
    <w:rsid w:val="00347E2B"/>
    <w:rsid w:val="00352F0A"/>
    <w:rsid w:val="0035577B"/>
    <w:rsid w:val="00360DC1"/>
    <w:rsid w:val="003611C2"/>
    <w:rsid w:val="00364179"/>
    <w:rsid w:val="00364192"/>
    <w:rsid w:val="00364D34"/>
    <w:rsid w:val="00372338"/>
    <w:rsid w:val="00372C62"/>
    <w:rsid w:val="00377AFC"/>
    <w:rsid w:val="00377D64"/>
    <w:rsid w:val="00382A5E"/>
    <w:rsid w:val="00382BD7"/>
    <w:rsid w:val="00385388"/>
    <w:rsid w:val="00391277"/>
    <w:rsid w:val="00391E57"/>
    <w:rsid w:val="003942B0"/>
    <w:rsid w:val="00395A33"/>
    <w:rsid w:val="003A262B"/>
    <w:rsid w:val="003A28B1"/>
    <w:rsid w:val="003A7DC7"/>
    <w:rsid w:val="003B4D96"/>
    <w:rsid w:val="003C2292"/>
    <w:rsid w:val="003C2419"/>
    <w:rsid w:val="003C3737"/>
    <w:rsid w:val="003C71A1"/>
    <w:rsid w:val="003D1CCA"/>
    <w:rsid w:val="003D2CC6"/>
    <w:rsid w:val="003D30E2"/>
    <w:rsid w:val="003E076B"/>
    <w:rsid w:val="003E1A51"/>
    <w:rsid w:val="003E20C7"/>
    <w:rsid w:val="003E2987"/>
    <w:rsid w:val="003E3492"/>
    <w:rsid w:val="003E6F7B"/>
    <w:rsid w:val="003F1DBF"/>
    <w:rsid w:val="003F2511"/>
    <w:rsid w:val="003F764B"/>
    <w:rsid w:val="00400D3E"/>
    <w:rsid w:val="0040609D"/>
    <w:rsid w:val="00410925"/>
    <w:rsid w:val="00411201"/>
    <w:rsid w:val="00412D1E"/>
    <w:rsid w:val="0041448C"/>
    <w:rsid w:val="0041490B"/>
    <w:rsid w:val="00415BDC"/>
    <w:rsid w:val="00420E0C"/>
    <w:rsid w:val="00420E98"/>
    <w:rsid w:val="00424930"/>
    <w:rsid w:val="0042609E"/>
    <w:rsid w:val="00426E8E"/>
    <w:rsid w:val="00431919"/>
    <w:rsid w:val="004324F5"/>
    <w:rsid w:val="00440FA9"/>
    <w:rsid w:val="00441FD9"/>
    <w:rsid w:val="00443DFC"/>
    <w:rsid w:val="00454FAE"/>
    <w:rsid w:val="00457AF7"/>
    <w:rsid w:val="00462207"/>
    <w:rsid w:val="00463AFB"/>
    <w:rsid w:val="0046628D"/>
    <w:rsid w:val="004704C2"/>
    <w:rsid w:val="00470E69"/>
    <w:rsid w:val="0047213B"/>
    <w:rsid w:val="00476851"/>
    <w:rsid w:val="00480A30"/>
    <w:rsid w:val="00482F2F"/>
    <w:rsid w:val="00482F5D"/>
    <w:rsid w:val="00486EA4"/>
    <w:rsid w:val="004932A5"/>
    <w:rsid w:val="004934C5"/>
    <w:rsid w:val="00493C9A"/>
    <w:rsid w:val="004954A2"/>
    <w:rsid w:val="00495700"/>
    <w:rsid w:val="004961EB"/>
    <w:rsid w:val="004A356D"/>
    <w:rsid w:val="004A75E3"/>
    <w:rsid w:val="004B4765"/>
    <w:rsid w:val="004C32F6"/>
    <w:rsid w:val="004C6088"/>
    <w:rsid w:val="004D1916"/>
    <w:rsid w:val="004D2C3F"/>
    <w:rsid w:val="004D460B"/>
    <w:rsid w:val="004E1BD1"/>
    <w:rsid w:val="004E20AA"/>
    <w:rsid w:val="004E6785"/>
    <w:rsid w:val="004E7AC7"/>
    <w:rsid w:val="004F415A"/>
    <w:rsid w:val="004F502E"/>
    <w:rsid w:val="005013B2"/>
    <w:rsid w:val="00503824"/>
    <w:rsid w:val="00507695"/>
    <w:rsid w:val="00513369"/>
    <w:rsid w:val="00513D75"/>
    <w:rsid w:val="00515802"/>
    <w:rsid w:val="00520975"/>
    <w:rsid w:val="00531CB4"/>
    <w:rsid w:val="00537A60"/>
    <w:rsid w:val="00541A2B"/>
    <w:rsid w:val="00543790"/>
    <w:rsid w:val="00545E5C"/>
    <w:rsid w:val="005579DE"/>
    <w:rsid w:val="00567B7A"/>
    <w:rsid w:val="00567EA0"/>
    <w:rsid w:val="00570D7D"/>
    <w:rsid w:val="0057175D"/>
    <w:rsid w:val="00574E6C"/>
    <w:rsid w:val="005841BA"/>
    <w:rsid w:val="00586E42"/>
    <w:rsid w:val="005A5442"/>
    <w:rsid w:val="005A5DF6"/>
    <w:rsid w:val="005A735A"/>
    <w:rsid w:val="005A77D6"/>
    <w:rsid w:val="005B0138"/>
    <w:rsid w:val="005B03AC"/>
    <w:rsid w:val="005B11A3"/>
    <w:rsid w:val="005B47B2"/>
    <w:rsid w:val="005B5518"/>
    <w:rsid w:val="005B693C"/>
    <w:rsid w:val="005B759C"/>
    <w:rsid w:val="005B7736"/>
    <w:rsid w:val="005C0F6B"/>
    <w:rsid w:val="005C12BE"/>
    <w:rsid w:val="005C4F79"/>
    <w:rsid w:val="005C5F16"/>
    <w:rsid w:val="005C732B"/>
    <w:rsid w:val="005D55CA"/>
    <w:rsid w:val="005D634C"/>
    <w:rsid w:val="005D7654"/>
    <w:rsid w:val="005E55C9"/>
    <w:rsid w:val="005F00BC"/>
    <w:rsid w:val="005F3E8D"/>
    <w:rsid w:val="006028C6"/>
    <w:rsid w:val="00605886"/>
    <w:rsid w:val="00605FAF"/>
    <w:rsid w:val="00606DD1"/>
    <w:rsid w:val="00606E25"/>
    <w:rsid w:val="00613B87"/>
    <w:rsid w:val="0062153B"/>
    <w:rsid w:val="0062249E"/>
    <w:rsid w:val="00623CA6"/>
    <w:rsid w:val="00627605"/>
    <w:rsid w:val="00631E7E"/>
    <w:rsid w:val="00637467"/>
    <w:rsid w:val="00642F4C"/>
    <w:rsid w:val="00647539"/>
    <w:rsid w:val="006519CC"/>
    <w:rsid w:val="00653EF3"/>
    <w:rsid w:val="00664CA9"/>
    <w:rsid w:val="0067051A"/>
    <w:rsid w:val="00670FE7"/>
    <w:rsid w:val="00672FA9"/>
    <w:rsid w:val="00674346"/>
    <w:rsid w:val="00682365"/>
    <w:rsid w:val="006879DE"/>
    <w:rsid w:val="00694943"/>
    <w:rsid w:val="006A549C"/>
    <w:rsid w:val="006A5F18"/>
    <w:rsid w:val="006B0454"/>
    <w:rsid w:val="006B561C"/>
    <w:rsid w:val="006C17BA"/>
    <w:rsid w:val="006C456F"/>
    <w:rsid w:val="006C5587"/>
    <w:rsid w:val="006C6DF0"/>
    <w:rsid w:val="006C7A83"/>
    <w:rsid w:val="006D261F"/>
    <w:rsid w:val="006D27B3"/>
    <w:rsid w:val="006D5CE6"/>
    <w:rsid w:val="006E377E"/>
    <w:rsid w:val="006E7B01"/>
    <w:rsid w:val="006E7C3E"/>
    <w:rsid w:val="006F71D8"/>
    <w:rsid w:val="006F7DCD"/>
    <w:rsid w:val="007007F2"/>
    <w:rsid w:val="007025D3"/>
    <w:rsid w:val="00704AF3"/>
    <w:rsid w:val="00705E0C"/>
    <w:rsid w:val="007101A9"/>
    <w:rsid w:val="00714148"/>
    <w:rsid w:val="00722769"/>
    <w:rsid w:val="00725231"/>
    <w:rsid w:val="00727D98"/>
    <w:rsid w:val="00731D07"/>
    <w:rsid w:val="00732D49"/>
    <w:rsid w:val="00740988"/>
    <w:rsid w:val="0074341E"/>
    <w:rsid w:val="00743E16"/>
    <w:rsid w:val="00746F78"/>
    <w:rsid w:val="007503F7"/>
    <w:rsid w:val="00751C89"/>
    <w:rsid w:val="0075248D"/>
    <w:rsid w:val="007671F5"/>
    <w:rsid w:val="00767AF4"/>
    <w:rsid w:val="00767E17"/>
    <w:rsid w:val="007717CD"/>
    <w:rsid w:val="0077501C"/>
    <w:rsid w:val="0077708E"/>
    <w:rsid w:val="00780D32"/>
    <w:rsid w:val="00784D28"/>
    <w:rsid w:val="00785A6D"/>
    <w:rsid w:val="00790821"/>
    <w:rsid w:val="00790FD7"/>
    <w:rsid w:val="0079514E"/>
    <w:rsid w:val="007A2BDC"/>
    <w:rsid w:val="007A2D5A"/>
    <w:rsid w:val="007B000F"/>
    <w:rsid w:val="007B0FD6"/>
    <w:rsid w:val="007B3558"/>
    <w:rsid w:val="007B3FBB"/>
    <w:rsid w:val="007B67B1"/>
    <w:rsid w:val="007C298D"/>
    <w:rsid w:val="007D0C71"/>
    <w:rsid w:val="007D3F0C"/>
    <w:rsid w:val="007D7C37"/>
    <w:rsid w:val="007E26FF"/>
    <w:rsid w:val="007F06C2"/>
    <w:rsid w:val="007F3B6E"/>
    <w:rsid w:val="008027F3"/>
    <w:rsid w:val="00803430"/>
    <w:rsid w:val="008035EC"/>
    <w:rsid w:val="00805E9C"/>
    <w:rsid w:val="00810E37"/>
    <w:rsid w:val="00811FDA"/>
    <w:rsid w:val="00816C0B"/>
    <w:rsid w:val="008346AB"/>
    <w:rsid w:val="00835D2B"/>
    <w:rsid w:val="0083699D"/>
    <w:rsid w:val="00837B70"/>
    <w:rsid w:val="00837BC3"/>
    <w:rsid w:val="0084308E"/>
    <w:rsid w:val="00847EC0"/>
    <w:rsid w:val="008633D5"/>
    <w:rsid w:val="00863627"/>
    <w:rsid w:val="00864C15"/>
    <w:rsid w:val="008651D3"/>
    <w:rsid w:val="008721B4"/>
    <w:rsid w:val="00880D27"/>
    <w:rsid w:val="008850E9"/>
    <w:rsid w:val="008931E2"/>
    <w:rsid w:val="008969C7"/>
    <w:rsid w:val="008B2211"/>
    <w:rsid w:val="008B320B"/>
    <w:rsid w:val="008B70CE"/>
    <w:rsid w:val="008B7259"/>
    <w:rsid w:val="008B7654"/>
    <w:rsid w:val="008B77A0"/>
    <w:rsid w:val="008C064A"/>
    <w:rsid w:val="008C1255"/>
    <w:rsid w:val="008C7875"/>
    <w:rsid w:val="008D2604"/>
    <w:rsid w:val="008E12CD"/>
    <w:rsid w:val="008E35AD"/>
    <w:rsid w:val="008F3457"/>
    <w:rsid w:val="008F5E23"/>
    <w:rsid w:val="0090105F"/>
    <w:rsid w:val="009167B6"/>
    <w:rsid w:val="00920A84"/>
    <w:rsid w:val="00927E91"/>
    <w:rsid w:val="00934D03"/>
    <w:rsid w:val="00935E28"/>
    <w:rsid w:val="00936FAD"/>
    <w:rsid w:val="00947475"/>
    <w:rsid w:val="009520FE"/>
    <w:rsid w:val="00954682"/>
    <w:rsid w:val="00955787"/>
    <w:rsid w:val="00962D53"/>
    <w:rsid w:val="00966AD2"/>
    <w:rsid w:val="009728D7"/>
    <w:rsid w:val="009734C9"/>
    <w:rsid w:val="009771D9"/>
    <w:rsid w:val="009808CE"/>
    <w:rsid w:val="009808DB"/>
    <w:rsid w:val="00981703"/>
    <w:rsid w:val="00987F96"/>
    <w:rsid w:val="0099006E"/>
    <w:rsid w:val="00990E0D"/>
    <w:rsid w:val="009A290E"/>
    <w:rsid w:val="009A3EA8"/>
    <w:rsid w:val="009B4095"/>
    <w:rsid w:val="009C0105"/>
    <w:rsid w:val="009C09CE"/>
    <w:rsid w:val="009C2530"/>
    <w:rsid w:val="009C4AAE"/>
    <w:rsid w:val="009C58E3"/>
    <w:rsid w:val="009D0492"/>
    <w:rsid w:val="009D0FCA"/>
    <w:rsid w:val="009D1B30"/>
    <w:rsid w:val="009D3141"/>
    <w:rsid w:val="009D39B1"/>
    <w:rsid w:val="009D39F4"/>
    <w:rsid w:val="009D4612"/>
    <w:rsid w:val="009D4E1C"/>
    <w:rsid w:val="009E0641"/>
    <w:rsid w:val="009E0A32"/>
    <w:rsid w:val="009E0AEC"/>
    <w:rsid w:val="009E0D52"/>
    <w:rsid w:val="009E36A2"/>
    <w:rsid w:val="009E5258"/>
    <w:rsid w:val="00A00A47"/>
    <w:rsid w:val="00A0255A"/>
    <w:rsid w:val="00A03032"/>
    <w:rsid w:val="00A11A51"/>
    <w:rsid w:val="00A12BAA"/>
    <w:rsid w:val="00A16BCE"/>
    <w:rsid w:val="00A23844"/>
    <w:rsid w:val="00A3173F"/>
    <w:rsid w:val="00A35E3C"/>
    <w:rsid w:val="00A37340"/>
    <w:rsid w:val="00A37D7E"/>
    <w:rsid w:val="00A411E6"/>
    <w:rsid w:val="00A4132E"/>
    <w:rsid w:val="00A45649"/>
    <w:rsid w:val="00A47BB7"/>
    <w:rsid w:val="00A50FC1"/>
    <w:rsid w:val="00A5494F"/>
    <w:rsid w:val="00A55727"/>
    <w:rsid w:val="00A55F31"/>
    <w:rsid w:val="00A660C2"/>
    <w:rsid w:val="00A66C52"/>
    <w:rsid w:val="00A703AF"/>
    <w:rsid w:val="00A70C26"/>
    <w:rsid w:val="00A715B0"/>
    <w:rsid w:val="00A75A87"/>
    <w:rsid w:val="00A77BAF"/>
    <w:rsid w:val="00A805C7"/>
    <w:rsid w:val="00A84E23"/>
    <w:rsid w:val="00A850F7"/>
    <w:rsid w:val="00A872C1"/>
    <w:rsid w:val="00A9044A"/>
    <w:rsid w:val="00AA1932"/>
    <w:rsid w:val="00AC183D"/>
    <w:rsid w:val="00AC4AFE"/>
    <w:rsid w:val="00AC5397"/>
    <w:rsid w:val="00AC5EB0"/>
    <w:rsid w:val="00AC78B5"/>
    <w:rsid w:val="00AD71C5"/>
    <w:rsid w:val="00AE044A"/>
    <w:rsid w:val="00AE091F"/>
    <w:rsid w:val="00AE25F3"/>
    <w:rsid w:val="00AE49B3"/>
    <w:rsid w:val="00AE6ED2"/>
    <w:rsid w:val="00AF3E13"/>
    <w:rsid w:val="00AF46D0"/>
    <w:rsid w:val="00B00A56"/>
    <w:rsid w:val="00B02243"/>
    <w:rsid w:val="00B03764"/>
    <w:rsid w:val="00B037B6"/>
    <w:rsid w:val="00B16A9E"/>
    <w:rsid w:val="00B17387"/>
    <w:rsid w:val="00B17458"/>
    <w:rsid w:val="00B217A0"/>
    <w:rsid w:val="00B24E6A"/>
    <w:rsid w:val="00B25246"/>
    <w:rsid w:val="00B32F40"/>
    <w:rsid w:val="00B34FBB"/>
    <w:rsid w:val="00B5074B"/>
    <w:rsid w:val="00B5783D"/>
    <w:rsid w:val="00B61FF8"/>
    <w:rsid w:val="00B6375C"/>
    <w:rsid w:val="00B701C0"/>
    <w:rsid w:val="00B75F71"/>
    <w:rsid w:val="00B80B6E"/>
    <w:rsid w:val="00B83311"/>
    <w:rsid w:val="00B83F30"/>
    <w:rsid w:val="00B84760"/>
    <w:rsid w:val="00B85159"/>
    <w:rsid w:val="00B916BB"/>
    <w:rsid w:val="00BA189D"/>
    <w:rsid w:val="00BA2631"/>
    <w:rsid w:val="00BB13BD"/>
    <w:rsid w:val="00BB1808"/>
    <w:rsid w:val="00BB7B4A"/>
    <w:rsid w:val="00BC527E"/>
    <w:rsid w:val="00BD1111"/>
    <w:rsid w:val="00BD4325"/>
    <w:rsid w:val="00BE0C5D"/>
    <w:rsid w:val="00BE2D1F"/>
    <w:rsid w:val="00BE3BD4"/>
    <w:rsid w:val="00BE431E"/>
    <w:rsid w:val="00BE4E87"/>
    <w:rsid w:val="00BE64C5"/>
    <w:rsid w:val="00BE7C7F"/>
    <w:rsid w:val="00BE7EC5"/>
    <w:rsid w:val="00BF0CA1"/>
    <w:rsid w:val="00BF1435"/>
    <w:rsid w:val="00BF2DD8"/>
    <w:rsid w:val="00BF6B2E"/>
    <w:rsid w:val="00BF782D"/>
    <w:rsid w:val="00C0112B"/>
    <w:rsid w:val="00C02B95"/>
    <w:rsid w:val="00C03418"/>
    <w:rsid w:val="00C106CE"/>
    <w:rsid w:val="00C108D8"/>
    <w:rsid w:val="00C13493"/>
    <w:rsid w:val="00C2005D"/>
    <w:rsid w:val="00C22FC8"/>
    <w:rsid w:val="00C26B5E"/>
    <w:rsid w:val="00C27EBC"/>
    <w:rsid w:val="00C302D5"/>
    <w:rsid w:val="00C31A28"/>
    <w:rsid w:val="00C33C00"/>
    <w:rsid w:val="00C4274F"/>
    <w:rsid w:val="00C43710"/>
    <w:rsid w:val="00C45F39"/>
    <w:rsid w:val="00C53467"/>
    <w:rsid w:val="00C57B3E"/>
    <w:rsid w:val="00C61783"/>
    <w:rsid w:val="00C64176"/>
    <w:rsid w:val="00C64E0A"/>
    <w:rsid w:val="00C704B9"/>
    <w:rsid w:val="00C748B5"/>
    <w:rsid w:val="00C76DDE"/>
    <w:rsid w:val="00C80508"/>
    <w:rsid w:val="00C8736D"/>
    <w:rsid w:val="00C95C16"/>
    <w:rsid w:val="00CA0827"/>
    <w:rsid w:val="00CA1FD5"/>
    <w:rsid w:val="00CA246C"/>
    <w:rsid w:val="00CA3210"/>
    <w:rsid w:val="00CA4C45"/>
    <w:rsid w:val="00CA79D9"/>
    <w:rsid w:val="00CC6994"/>
    <w:rsid w:val="00CD00E1"/>
    <w:rsid w:val="00CD058F"/>
    <w:rsid w:val="00CD27A9"/>
    <w:rsid w:val="00CD3839"/>
    <w:rsid w:val="00CD6D59"/>
    <w:rsid w:val="00CE1767"/>
    <w:rsid w:val="00CE3129"/>
    <w:rsid w:val="00CE5B12"/>
    <w:rsid w:val="00CE6F01"/>
    <w:rsid w:val="00CF48A3"/>
    <w:rsid w:val="00D008B3"/>
    <w:rsid w:val="00D04A09"/>
    <w:rsid w:val="00D13967"/>
    <w:rsid w:val="00D16DFA"/>
    <w:rsid w:val="00D213F6"/>
    <w:rsid w:val="00D26931"/>
    <w:rsid w:val="00D40652"/>
    <w:rsid w:val="00D40E3C"/>
    <w:rsid w:val="00D50AE8"/>
    <w:rsid w:val="00D52A05"/>
    <w:rsid w:val="00D550C4"/>
    <w:rsid w:val="00D601CE"/>
    <w:rsid w:val="00D6408D"/>
    <w:rsid w:val="00D80C1B"/>
    <w:rsid w:val="00D927BE"/>
    <w:rsid w:val="00D95168"/>
    <w:rsid w:val="00D9584C"/>
    <w:rsid w:val="00DA3494"/>
    <w:rsid w:val="00DC477F"/>
    <w:rsid w:val="00DC4991"/>
    <w:rsid w:val="00DC7EF4"/>
    <w:rsid w:val="00DD00F4"/>
    <w:rsid w:val="00DD0241"/>
    <w:rsid w:val="00DF0D3C"/>
    <w:rsid w:val="00DF2625"/>
    <w:rsid w:val="00DF621E"/>
    <w:rsid w:val="00DF7145"/>
    <w:rsid w:val="00DF776C"/>
    <w:rsid w:val="00E059E2"/>
    <w:rsid w:val="00E11C61"/>
    <w:rsid w:val="00E13D38"/>
    <w:rsid w:val="00E17A98"/>
    <w:rsid w:val="00E208EE"/>
    <w:rsid w:val="00E323BE"/>
    <w:rsid w:val="00E334ED"/>
    <w:rsid w:val="00E4049B"/>
    <w:rsid w:val="00E459A0"/>
    <w:rsid w:val="00E5146A"/>
    <w:rsid w:val="00E551F6"/>
    <w:rsid w:val="00E552BD"/>
    <w:rsid w:val="00E5619E"/>
    <w:rsid w:val="00E60767"/>
    <w:rsid w:val="00E61552"/>
    <w:rsid w:val="00E62CA0"/>
    <w:rsid w:val="00E639F5"/>
    <w:rsid w:val="00E7527A"/>
    <w:rsid w:val="00E75F29"/>
    <w:rsid w:val="00E95C0B"/>
    <w:rsid w:val="00EA4C90"/>
    <w:rsid w:val="00EA7E41"/>
    <w:rsid w:val="00EB010D"/>
    <w:rsid w:val="00EB68CD"/>
    <w:rsid w:val="00EC3793"/>
    <w:rsid w:val="00EC538C"/>
    <w:rsid w:val="00ED0301"/>
    <w:rsid w:val="00ED58D1"/>
    <w:rsid w:val="00ED705A"/>
    <w:rsid w:val="00EE1760"/>
    <w:rsid w:val="00EE1A43"/>
    <w:rsid w:val="00EE1CDA"/>
    <w:rsid w:val="00EE4AA9"/>
    <w:rsid w:val="00EE4B1D"/>
    <w:rsid w:val="00EE7004"/>
    <w:rsid w:val="00EF16F6"/>
    <w:rsid w:val="00EF3EC9"/>
    <w:rsid w:val="00F00770"/>
    <w:rsid w:val="00F0253C"/>
    <w:rsid w:val="00F06C5B"/>
    <w:rsid w:val="00F070C6"/>
    <w:rsid w:val="00F11047"/>
    <w:rsid w:val="00F22FB0"/>
    <w:rsid w:val="00F2394D"/>
    <w:rsid w:val="00F24A92"/>
    <w:rsid w:val="00F2570F"/>
    <w:rsid w:val="00F3275F"/>
    <w:rsid w:val="00F36DDF"/>
    <w:rsid w:val="00F376B4"/>
    <w:rsid w:val="00F4052F"/>
    <w:rsid w:val="00F40615"/>
    <w:rsid w:val="00F41DE5"/>
    <w:rsid w:val="00F461F2"/>
    <w:rsid w:val="00F54E43"/>
    <w:rsid w:val="00F55685"/>
    <w:rsid w:val="00F6086B"/>
    <w:rsid w:val="00F751B5"/>
    <w:rsid w:val="00F77C33"/>
    <w:rsid w:val="00F82592"/>
    <w:rsid w:val="00F83549"/>
    <w:rsid w:val="00F849EF"/>
    <w:rsid w:val="00F97AAD"/>
    <w:rsid w:val="00FA581F"/>
    <w:rsid w:val="00FB089E"/>
    <w:rsid w:val="00FB4E61"/>
    <w:rsid w:val="00FB6E56"/>
    <w:rsid w:val="00FB7F02"/>
    <w:rsid w:val="00FC03F0"/>
    <w:rsid w:val="00FC13A4"/>
    <w:rsid w:val="00FC40F3"/>
    <w:rsid w:val="00FC537F"/>
    <w:rsid w:val="00FC5AEF"/>
    <w:rsid w:val="00FC5E0E"/>
    <w:rsid w:val="00FC5E4A"/>
    <w:rsid w:val="00FC645C"/>
    <w:rsid w:val="00FD10B6"/>
    <w:rsid w:val="00FD10D9"/>
    <w:rsid w:val="00FD136B"/>
    <w:rsid w:val="00FD2460"/>
    <w:rsid w:val="00FD458E"/>
    <w:rsid w:val="00FD5248"/>
    <w:rsid w:val="00FD5827"/>
    <w:rsid w:val="00FE0663"/>
    <w:rsid w:val="00FE2059"/>
    <w:rsid w:val="00FE57B3"/>
    <w:rsid w:val="00FF07DA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4A6B"/>
  <w15:chartTrackingRefBased/>
  <w15:docId w15:val="{A60CEC52-63DD-439F-9D20-1F7836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61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unhideWhenUsed/>
    <w:rsid w:val="009C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5FFB-DCEB-4B95-AC20-CCD6AE87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</dc:creator>
  <cp:keywords/>
  <dc:description/>
  <cp:lastModifiedBy>Stefano Omboni</cp:lastModifiedBy>
  <cp:revision>8</cp:revision>
  <cp:lastPrinted>2019-06-24T12:36:00Z</cp:lastPrinted>
  <dcterms:created xsi:type="dcterms:W3CDTF">2019-06-12T10:54:00Z</dcterms:created>
  <dcterms:modified xsi:type="dcterms:W3CDTF">2019-09-12T10:16:00Z</dcterms:modified>
</cp:coreProperties>
</file>