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76A4F" w14:textId="77777777" w:rsidR="003F2CBF" w:rsidRPr="009E2933" w:rsidRDefault="003F2CBF" w:rsidP="003F2CBF">
      <w:pPr>
        <w:shd w:val="clear" w:color="auto" w:fill="D9D9D9" w:themeFill="background1" w:themeFillShade="D9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</w:rPr>
        <w:t>Supplementary</w:t>
      </w:r>
    </w:p>
    <w:p w14:paraId="3034E916" w14:textId="77777777" w:rsidR="003F2CBF" w:rsidRPr="009E2933" w:rsidRDefault="003F2CBF" w:rsidP="003F2CBF">
      <w:pPr>
        <w:spacing w:line="360" w:lineRule="auto"/>
        <w:rPr>
          <w:rFonts w:ascii="Arial" w:hAnsi="Arial" w:cs="Arial"/>
          <w:color w:val="000000"/>
          <w:sz w:val="20"/>
          <w:szCs w:val="20"/>
          <w:lang w:eastAsia="en-GB"/>
        </w:rPr>
      </w:pP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11"/>
        <w:gridCol w:w="3118"/>
        <w:gridCol w:w="1134"/>
      </w:tblGrid>
      <w:tr w:rsidR="003F2CBF" w:rsidRPr="009E2933" w14:paraId="7ECEEF6E" w14:textId="77777777" w:rsidTr="009E2933">
        <w:trPr>
          <w:trHeight w:val="227"/>
        </w:trPr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EC38F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014B9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b/>
                <w:sz w:val="20"/>
                <w:szCs w:val="20"/>
              </w:rPr>
              <w:t xml:space="preserve">Failed AVS </w:t>
            </w:r>
          </w:p>
          <w:p w14:paraId="6DBDEFC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b/>
                <w:sz w:val="20"/>
                <w:szCs w:val="20"/>
              </w:rPr>
              <w:t>N = 62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A515F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b/>
                <w:sz w:val="20"/>
                <w:szCs w:val="20"/>
              </w:rPr>
              <w:t>Successful AVS</w:t>
            </w:r>
          </w:p>
          <w:p w14:paraId="1A4868B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b/>
                <w:sz w:val="20"/>
                <w:szCs w:val="20"/>
              </w:rPr>
              <w:t>N = 103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51E7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</w:t>
            </w:r>
          </w:p>
        </w:tc>
      </w:tr>
      <w:tr w:rsidR="003F2CBF" w:rsidRPr="009E2933" w14:paraId="6E161FA6" w14:textId="77777777" w:rsidTr="009E2933">
        <w:trPr>
          <w:trHeight w:val="227"/>
        </w:trPr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63C4493E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Age (years)</w:t>
            </w:r>
          </w:p>
        </w:tc>
        <w:tc>
          <w:tcPr>
            <w:tcW w:w="24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3ABA2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sz w:val="20"/>
                <w:szCs w:val="20"/>
                <w:lang w:eastAsia="en-GB"/>
              </w:rPr>
              <w:t>56.0 (49.5 – 60.0)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04097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sz w:val="20"/>
                <w:szCs w:val="20"/>
                <w:lang w:eastAsia="en-GB"/>
              </w:rPr>
              <w:t>52.0 (46.0 – 61.4)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ECD78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0.23</w:t>
            </w:r>
          </w:p>
        </w:tc>
      </w:tr>
      <w:tr w:rsidR="003F2CBF" w:rsidRPr="009E2933" w14:paraId="48A1F5FD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61C924EE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Females (%)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C9AA19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24 (38.7%)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336039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38 (36.9%)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3544E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0.82</w:t>
            </w:r>
          </w:p>
        </w:tc>
      </w:tr>
      <w:tr w:rsidR="003F2CBF" w:rsidRPr="009E2933" w14:paraId="05D5DCB1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0866C61A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Ethnicity (%)</w:t>
            </w:r>
          </w:p>
          <w:p w14:paraId="69CA8917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Chinese</w:t>
            </w:r>
          </w:p>
          <w:p w14:paraId="19FA39A9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Malay</w:t>
            </w:r>
          </w:p>
          <w:p w14:paraId="2F82B700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Indian</w:t>
            </w:r>
          </w:p>
          <w:p w14:paraId="44B35417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Others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2EADCF1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CEDC1C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58 (93.5%)</w:t>
            </w:r>
          </w:p>
          <w:p w14:paraId="282FB9C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 (1.6%)</w:t>
            </w:r>
          </w:p>
          <w:p w14:paraId="49F6A98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 (3.2%)</w:t>
            </w:r>
          </w:p>
          <w:p w14:paraId="16D2C6F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 (1.6%)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F287FB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B7BAD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82 (79.6%)</w:t>
            </w:r>
          </w:p>
          <w:p w14:paraId="06868DA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10 (9.7%)</w:t>
            </w:r>
          </w:p>
          <w:p w14:paraId="72F56CE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5 (4.9%)</w:t>
            </w:r>
          </w:p>
          <w:p w14:paraId="4C5FB1F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6 (5.8%)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3AEE5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0.09</w:t>
            </w:r>
          </w:p>
        </w:tc>
      </w:tr>
      <w:tr w:rsidR="003F2CBF" w:rsidRPr="009E2933" w14:paraId="0ADF5453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78803369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Body mass index (kg/m</w:t>
            </w:r>
            <w:r w:rsidRPr="009E2933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2</w:t>
            </w:r>
            <w:r w:rsidRPr="009E2933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69413D6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25.0 (23.2 – 27.7)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6DE693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26.4 (23.7 – 28.7)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7756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0.13</w:t>
            </w:r>
          </w:p>
        </w:tc>
      </w:tr>
      <w:tr w:rsidR="003F2CBF" w:rsidRPr="009E2933" w14:paraId="5D2F4D5E" w14:textId="77777777" w:rsidTr="009E2933">
        <w:trPr>
          <w:trHeight w:val="227"/>
        </w:trPr>
        <w:tc>
          <w:tcPr>
            <w:tcW w:w="2409" w:type="dxa"/>
            <w:shd w:val="clear" w:color="auto" w:fill="auto"/>
            <w:vAlign w:val="center"/>
          </w:tcPr>
          <w:p w14:paraId="34B2A335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 xml:space="preserve">Lowest serum potassium 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442C04C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2.7 (2.5 – 3.0)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7C09FB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2.7 (2.3 – 3.0)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BCCDC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0.70</w:t>
            </w:r>
          </w:p>
        </w:tc>
      </w:tr>
      <w:tr w:rsidR="003F2CBF" w:rsidRPr="009E2933" w14:paraId="5B7459E4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7AB7F592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Estimated GFR (MDRD) (ml/min/1.73m</w:t>
            </w: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E54EDD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78.1 (66.0 – 93.5)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35C24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88.0 (72.8 – 104.8)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6BD26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0.006</w:t>
            </w:r>
          </w:p>
        </w:tc>
      </w:tr>
      <w:tr w:rsidR="003F2CBF" w:rsidRPr="009E2933" w14:paraId="089448D3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19A965F5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Baseline PAC (ng/dL)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12B9319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34.5 (23.3 – 47.6)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B0093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31.0 (20.2 – 46.2)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5DF53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0.26</w:t>
            </w:r>
          </w:p>
        </w:tc>
      </w:tr>
      <w:tr w:rsidR="003F2CBF" w:rsidRPr="009E2933" w14:paraId="6974A323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3BBA68F8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PRA (ng/ml/hr)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959D34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0.22 (0.20 – 0.52)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60B14D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0.22 (0.20 – 0.60)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2AA7C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0.76</w:t>
            </w:r>
          </w:p>
        </w:tc>
      </w:tr>
      <w:tr w:rsidR="003F2CBF" w:rsidRPr="009E2933" w14:paraId="3B7E54A9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3AA36822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Baseline ARR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29DEA1D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97.4 (64.8 – 178.8)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CF3858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107.5 (56.5 – 171.6)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557BE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0.57</w:t>
            </w:r>
          </w:p>
        </w:tc>
      </w:tr>
      <w:tr w:rsidR="003F2CBF" w:rsidRPr="009E2933" w14:paraId="5A96E2D6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78829CC6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Post SLT PAC (ng/dL)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45C55FC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21.3 (13.9 – 31.8)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FF814E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20.0 (13.5 – 31.8)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6EA4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0.95</w:t>
            </w:r>
          </w:p>
        </w:tc>
      </w:tr>
      <w:tr w:rsidR="003F2CBF" w:rsidRPr="009E2933" w14:paraId="13691E1D" w14:textId="77777777" w:rsidTr="009E2933">
        <w:trPr>
          <w:trHeight w:val="275"/>
        </w:trPr>
        <w:tc>
          <w:tcPr>
            <w:tcW w:w="2409" w:type="dxa"/>
            <w:vAlign w:val="center"/>
          </w:tcPr>
          <w:p w14:paraId="6989104B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Duration of Hypertension (years)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4A43044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5 (1 – 10)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809163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8 (3 – 11)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A68C8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0.08</w:t>
            </w:r>
          </w:p>
        </w:tc>
      </w:tr>
      <w:tr w:rsidR="003F2CBF" w:rsidRPr="009E2933" w14:paraId="3344BE6A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42B4EB91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Ischemic Heart Disease</w:t>
            </w:r>
          </w:p>
        </w:tc>
        <w:tc>
          <w:tcPr>
            <w:tcW w:w="2411" w:type="dxa"/>
            <w:vAlign w:val="center"/>
          </w:tcPr>
          <w:p w14:paraId="31BDF9E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3 (4.8%)</w:t>
            </w:r>
          </w:p>
        </w:tc>
        <w:tc>
          <w:tcPr>
            <w:tcW w:w="3118" w:type="dxa"/>
            <w:vAlign w:val="center"/>
          </w:tcPr>
          <w:p w14:paraId="602835A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7 (6.8%)</w:t>
            </w:r>
          </w:p>
        </w:tc>
        <w:tc>
          <w:tcPr>
            <w:tcW w:w="1134" w:type="dxa"/>
            <w:vAlign w:val="center"/>
          </w:tcPr>
          <w:p w14:paraId="019E5C3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0.61</w:t>
            </w:r>
          </w:p>
        </w:tc>
      </w:tr>
      <w:tr w:rsidR="003F2CBF" w:rsidRPr="009E2933" w14:paraId="17632D2A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6F49BBD4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Chronic kidney disease</w:t>
            </w:r>
          </w:p>
        </w:tc>
        <w:tc>
          <w:tcPr>
            <w:tcW w:w="2411" w:type="dxa"/>
            <w:vAlign w:val="center"/>
          </w:tcPr>
          <w:p w14:paraId="7AB798C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3 (4.8%)</w:t>
            </w:r>
          </w:p>
        </w:tc>
        <w:tc>
          <w:tcPr>
            <w:tcW w:w="3118" w:type="dxa"/>
            <w:vAlign w:val="center"/>
          </w:tcPr>
          <w:p w14:paraId="706C198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8 (7.8%)</w:t>
            </w:r>
          </w:p>
        </w:tc>
        <w:tc>
          <w:tcPr>
            <w:tcW w:w="1134" w:type="dxa"/>
            <w:vAlign w:val="center"/>
          </w:tcPr>
          <w:p w14:paraId="7E1C1BC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0.47</w:t>
            </w:r>
          </w:p>
        </w:tc>
      </w:tr>
      <w:tr w:rsidR="003F2CBF" w:rsidRPr="009E2933" w14:paraId="24D19C6D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52C865D2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Stroke</w:t>
            </w:r>
          </w:p>
        </w:tc>
        <w:tc>
          <w:tcPr>
            <w:tcW w:w="2411" w:type="dxa"/>
            <w:vAlign w:val="center"/>
          </w:tcPr>
          <w:p w14:paraId="6CF700A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5 (8.1%)</w:t>
            </w:r>
          </w:p>
        </w:tc>
        <w:tc>
          <w:tcPr>
            <w:tcW w:w="3118" w:type="dxa"/>
            <w:vAlign w:val="center"/>
          </w:tcPr>
          <w:p w14:paraId="5AE0FEE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7 (6.8%)</w:t>
            </w:r>
          </w:p>
        </w:tc>
        <w:tc>
          <w:tcPr>
            <w:tcW w:w="1134" w:type="dxa"/>
            <w:vAlign w:val="center"/>
          </w:tcPr>
          <w:p w14:paraId="04A0B87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0.76</w:t>
            </w:r>
          </w:p>
        </w:tc>
      </w:tr>
      <w:tr w:rsidR="003F2CBF" w:rsidRPr="009E2933" w14:paraId="4C9BB501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186ACA5B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9E2933">
              <w:rPr>
                <w:rFonts w:ascii="Arial" w:eastAsia="Calibri" w:hAnsi="Arial" w:cs="Arial"/>
                <w:sz w:val="20"/>
                <w:szCs w:val="20"/>
              </w:rPr>
              <w:t>Hyperlipidemia</w:t>
            </w:r>
            <w:proofErr w:type="spellEnd"/>
          </w:p>
        </w:tc>
        <w:tc>
          <w:tcPr>
            <w:tcW w:w="2411" w:type="dxa"/>
            <w:vAlign w:val="center"/>
          </w:tcPr>
          <w:p w14:paraId="53E1C6D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19 (30.6%)</w:t>
            </w:r>
          </w:p>
        </w:tc>
        <w:tc>
          <w:tcPr>
            <w:tcW w:w="3118" w:type="dxa"/>
            <w:vAlign w:val="center"/>
          </w:tcPr>
          <w:p w14:paraId="179638B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46 (44.7%)</w:t>
            </w:r>
          </w:p>
        </w:tc>
        <w:tc>
          <w:tcPr>
            <w:tcW w:w="1134" w:type="dxa"/>
            <w:vAlign w:val="center"/>
          </w:tcPr>
          <w:p w14:paraId="790B968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0.07</w:t>
            </w:r>
          </w:p>
        </w:tc>
      </w:tr>
      <w:tr w:rsidR="003F2CBF" w:rsidRPr="009E2933" w14:paraId="1544CC58" w14:textId="77777777" w:rsidTr="009E2933">
        <w:trPr>
          <w:trHeight w:val="269"/>
        </w:trPr>
        <w:tc>
          <w:tcPr>
            <w:tcW w:w="2409" w:type="dxa"/>
            <w:vAlign w:val="center"/>
          </w:tcPr>
          <w:p w14:paraId="0C7BC51A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Diabetes</w:t>
            </w:r>
          </w:p>
        </w:tc>
        <w:tc>
          <w:tcPr>
            <w:tcW w:w="2411" w:type="dxa"/>
            <w:vAlign w:val="center"/>
          </w:tcPr>
          <w:p w14:paraId="034532D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13 (21.0%)</w:t>
            </w:r>
          </w:p>
        </w:tc>
        <w:tc>
          <w:tcPr>
            <w:tcW w:w="3118" w:type="dxa"/>
            <w:vAlign w:val="center"/>
          </w:tcPr>
          <w:p w14:paraId="10BC250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24 (23.3%)</w:t>
            </w:r>
          </w:p>
        </w:tc>
        <w:tc>
          <w:tcPr>
            <w:tcW w:w="1134" w:type="dxa"/>
            <w:vAlign w:val="center"/>
          </w:tcPr>
          <w:p w14:paraId="1CE4EC2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0.73</w:t>
            </w:r>
          </w:p>
        </w:tc>
      </w:tr>
      <w:tr w:rsidR="003F2CBF" w:rsidRPr="009E2933" w14:paraId="24C92FF0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0B601195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Atrial Fibrillation</w:t>
            </w:r>
          </w:p>
        </w:tc>
        <w:tc>
          <w:tcPr>
            <w:tcW w:w="2411" w:type="dxa"/>
            <w:vAlign w:val="center"/>
          </w:tcPr>
          <w:p w14:paraId="7F8F2AC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 (0.0%)</w:t>
            </w:r>
          </w:p>
        </w:tc>
        <w:tc>
          <w:tcPr>
            <w:tcW w:w="3118" w:type="dxa"/>
            <w:vAlign w:val="center"/>
          </w:tcPr>
          <w:p w14:paraId="326960E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3 (2.9%)</w:t>
            </w:r>
          </w:p>
        </w:tc>
        <w:tc>
          <w:tcPr>
            <w:tcW w:w="1134" w:type="dxa"/>
            <w:vAlign w:val="center"/>
          </w:tcPr>
          <w:p w14:paraId="0FB819F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0.18</w:t>
            </w:r>
          </w:p>
        </w:tc>
      </w:tr>
      <w:tr w:rsidR="003F2CBF" w:rsidRPr="009E2933" w14:paraId="41EEB1B1" w14:textId="77777777" w:rsidTr="009E2933">
        <w:trPr>
          <w:trHeight w:val="227"/>
        </w:trPr>
        <w:tc>
          <w:tcPr>
            <w:tcW w:w="2409" w:type="dxa"/>
            <w:vAlign w:val="center"/>
          </w:tcPr>
          <w:p w14:paraId="5540D2CB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Abnormal CT findings</w:t>
            </w:r>
          </w:p>
          <w:p w14:paraId="32E38FF6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 xml:space="preserve">- unilateral adenoma </w:t>
            </w:r>
          </w:p>
          <w:p w14:paraId="5F169E84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- bilateral abnormal</w:t>
            </w:r>
          </w:p>
          <w:p w14:paraId="01CC191B" w14:textId="77777777" w:rsidR="003F2CBF" w:rsidRPr="009E2933" w:rsidRDefault="003F2CBF" w:rsidP="003F2CBF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- bilateral normal</w:t>
            </w:r>
          </w:p>
        </w:tc>
        <w:tc>
          <w:tcPr>
            <w:tcW w:w="2411" w:type="dxa"/>
            <w:vAlign w:val="center"/>
          </w:tcPr>
          <w:p w14:paraId="0DEBCA8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  <w:p w14:paraId="29C6170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52 (83.9%)</w:t>
            </w:r>
          </w:p>
          <w:p w14:paraId="2F6D706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 (3.2%)</w:t>
            </w:r>
          </w:p>
          <w:p w14:paraId="147E26F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 (12.9%)</w:t>
            </w:r>
          </w:p>
        </w:tc>
        <w:tc>
          <w:tcPr>
            <w:tcW w:w="3118" w:type="dxa"/>
            <w:vAlign w:val="center"/>
          </w:tcPr>
          <w:p w14:paraId="46A99BC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3C94CF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78 (75.7%)</w:t>
            </w:r>
          </w:p>
          <w:p w14:paraId="0C9BC59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6 (5.8%)</w:t>
            </w:r>
          </w:p>
          <w:p w14:paraId="4EF78AD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19 (18.4%)</w:t>
            </w:r>
          </w:p>
        </w:tc>
        <w:tc>
          <w:tcPr>
            <w:tcW w:w="1134" w:type="dxa"/>
            <w:vAlign w:val="center"/>
          </w:tcPr>
          <w:p w14:paraId="09955BC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E2933">
              <w:rPr>
                <w:rFonts w:ascii="Arial" w:eastAsia="Calibri" w:hAnsi="Arial" w:cs="Arial"/>
                <w:sz w:val="20"/>
                <w:szCs w:val="20"/>
              </w:rPr>
              <w:t>0.56</w:t>
            </w:r>
          </w:p>
        </w:tc>
      </w:tr>
    </w:tbl>
    <w:p w14:paraId="7D23A951" w14:textId="77777777" w:rsidR="003F2CBF" w:rsidRPr="009E2933" w:rsidRDefault="003F2CBF" w:rsidP="003F2CBF">
      <w:pPr>
        <w:spacing w:line="360" w:lineRule="auto"/>
        <w:rPr>
          <w:rFonts w:ascii="Arial" w:hAnsi="Arial" w:cs="Arial"/>
          <w:color w:val="000000"/>
          <w:sz w:val="20"/>
          <w:szCs w:val="20"/>
          <w:lang w:eastAsia="en-GB"/>
        </w:rPr>
      </w:pPr>
      <w:r w:rsidRPr="009E2933">
        <w:rPr>
          <w:rFonts w:ascii="Arial" w:eastAsia="Calibri" w:hAnsi="Arial" w:cs="Arial"/>
          <w:b/>
          <w:sz w:val="20"/>
          <w:szCs w:val="20"/>
        </w:rPr>
        <w:t xml:space="preserve">Supplementary Table 1. Baseline characteristics of 62 patients with failed AVS compared to 103 patients with successful AVS in the Asian development cohort </w:t>
      </w:r>
      <w:r w:rsidRPr="009E2933">
        <w:rPr>
          <w:rFonts w:ascii="Arial" w:eastAsia="Calibri" w:hAnsi="Arial" w:cs="Arial"/>
          <w:sz w:val="20"/>
          <w:szCs w:val="20"/>
        </w:rPr>
        <w:t xml:space="preserve">BP, blood pressure; AVS, adrenal vein sampling; GFR, glomerular filtration rate; PAC, plasma aldosterone concentration; PRA, plasma renin activity; ARR, aldosterone renin ratio; SLT, saline-loading test. Data are mean </w:t>
      </w:r>
      <w:r w:rsidRPr="009E2933">
        <w:rPr>
          <w:rFonts w:ascii="Arial" w:hAnsi="Arial" w:cs="Arial"/>
          <w:color w:val="000000"/>
          <w:sz w:val="20"/>
          <w:szCs w:val="20"/>
          <w:lang w:eastAsia="en-GB"/>
        </w:rPr>
        <w:t>± SD or median [interquartile range] or number (percent).</w:t>
      </w:r>
    </w:p>
    <w:p w14:paraId="5C237658" w14:textId="77777777" w:rsidR="003F2CBF" w:rsidRPr="009E2933" w:rsidRDefault="003F2CBF" w:rsidP="003F2CBF">
      <w:pPr>
        <w:spacing w:line="360" w:lineRule="auto"/>
        <w:rPr>
          <w:rFonts w:ascii="Arial" w:hAnsi="Arial" w:cs="Arial"/>
          <w:color w:val="000000"/>
          <w:sz w:val="20"/>
          <w:szCs w:val="20"/>
          <w:lang w:eastAsia="en-GB"/>
        </w:rPr>
        <w:sectPr w:rsidR="003F2CBF" w:rsidRPr="009E2933" w:rsidSect="003F2CBF">
          <w:footerReference w:type="even" r:id="rId6"/>
          <w:footerReference w:type="default" r:id="rId7"/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Style w:val="TableGrid"/>
        <w:tblW w:w="147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005"/>
        <w:gridCol w:w="1517"/>
        <w:gridCol w:w="1517"/>
        <w:gridCol w:w="1450"/>
        <w:gridCol w:w="972"/>
        <w:gridCol w:w="2221"/>
        <w:gridCol w:w="1450"/>
        <w:gridCol w:w="2501"/>
        <w:gridCol w:w="1559"/>
      </w:tblGrid>
      <w:tr w:rsidR="003F2CBF" w:rsidRPr="009E2933" w14:paraId="05312D16" w14:textId="77777777" w:rsidTr="009E2933"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</w:tcPr>
          <w:p w14:paraId="577FF9C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lastRenderedPageBreak/>
              <w:t>ID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</w:tcPr>
          <w:p w14:paraId="639EA2D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CT Nodules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7D9A72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AVS Lateralisation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3EEAB4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AVS Lateralisation Ratio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062EC04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AVS Contralateral Suppression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4A924D3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Surgery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</w:tcPr>
          <w:p w14:paraId="69A8008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Post-surgery ARR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6D292FE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 xml:space="preserve">Post-surgery </w:t>
            </w:r>
            <w:proofErr w:type="spellStart"/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Hypokalemia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</w:tcPr>
          <w:p w14:paraId="6020A51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Post-surgery Hypertension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F6A1EE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  <w:lang w:eastAsia="en-GB"/>
              </w:rPr>
              <w:t>Conclusion</w:t>
            </w:r>
          </w:p>
        </w:tc>
      </w:tr>
      <w:tr w:rsidR="003F2CBF" w:rsidRPr="009E2933" w14:paraId="68DB06EC" w14:textId="77777777" w:rsidTr="009E2933">
        <w:tc>
          <w:tcPr>
            <w:tcW w:w="550" w:type="dxa"/>
            <w:tcBorders>
              <w:top w:val="single" w:sz="4" w:space="0" w:color="auto"/>
            </w:tcBorders>
          </w:tcPr>
          <w:p w14:paraId="4A9B674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109</w:t>
            </w:r>
          </w:p>
        </w:tc>
        <w:tc>
          <w:tcPr>
            <w:tcW w:w="1005" w:type="dxa"/>
            <w:tcBorders>
              <w:top w:val="single" w:sz="4" w:space="0" w:color="auto"/>
            </w:tcBorders>
          </w:tcPr>
          <w:p w14:paraId="46D6EBA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14:paraId="3E1B817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14:paraId="4041BE1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52663B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0.3</w:t>
            </w:r>
          </w:p>
        </w:tc>
        <w:tc>
          <w:tcPr>
            <w:tcW w:w="972" w:type="dxa"/>
            <w:tcBorders>
              <w:top w:val="single" w:sz="4" w:space="0" w:color="auto"/>
            </w:tcBorders>
          </w:tcPr>
          <w:p w14:paraId="1CCCBB9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  <w:tcBorders>
              <w:top w:val="single" w:sz="4" w:space="0" w:color="auto"/>
            </w:tcBorders>
          </w:tcPr>
          <w:p w14:paraId="7544CA8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6B1B360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  <w:tcBorders>
              <w:top w:val="single" w:sz="4" w:space="0" w:color="auto"/>
            </w:tcBorders>
          </w:tcPr>
          <w:p w14:paraId="0DF4640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3ADAD3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27B21E2E" w14:textId="77777777" w:rsidTr="009E2933">
        <w:tc>
          <w:tcPr>
            <w:tcW w:w="550" w:type="dxa"/>
          </w:tcPr>
          <w:p w14:paraId="35A573F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1005" w:type="dxa"/>
          </w:tcPr>
          <w:p w14:paraId="275E713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Nil</w:t>
            </w:r>
          </w:p>
        </w:tc>
        <w:tc>
          <w:tcPr>
            <w:tcW w:w="1517" w:type="dxa"/>
          </w:tcPr>
          <w:p w14:paraId="6D2B3F4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2F28366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2.1</w:t>
            </w:r>
          </w:p>
        </w:tc>
        <w:tc>
          <w:tcPr>
            <w:tcW w:w="1450" w:type="dxa"/>
          </w:tcPr>
          <w:p w14:paraId="34BBE78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0.8</w:t>
            </w:r>
          </w:p>
        </w:tc>
        <w:tc>
          <w:tcPr>
            <w:tcW w:w="972" w:type="dxa"/>
          </w:tcPr>
          <w:p w14:paraId="27AF202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0470814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6B1B90B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1B8B070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3F9A90C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300FB256" w14:textId="77777777" w:rsidTr="009E2933">
        <w:tc>
          <w:tcPr>
            <w:tcW w:w="550" w:type="dxa"/>
          </w:tcPr>
          <w:p w14:paraId="773CA16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314</w:t>
            </w:r>
          </w:p>
        </w:tc>
        <w:tc>
          <w:tcPr>
            <w:tcW w:w="1005" w:type="dxa"/>
          </w:tcPr>
          <w:p w14:paraId="6C08CC5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Nil</w:t>
            </w:r>
          </w:p>
        </w:tc>
        <w:tc>
          <w:tcPr>
            <w:tcW w:w="1517" w:type="dxa"/>
          </w:tcPr>
          <w:p w14:paraId="2893792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3C9C71E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2.1</w:t>
            </w:r>
          </w:p>
        </w:tc>
        <w:tc>
          <w:tcPr>
            <w:tcW w:w="1450" w:type="dxa"/>
          </w:tcPr>
          <w:p w14:paraId="58CAEB2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1.3</w:t>
            </w:r>
          </w:p>
        </w:tc>
        <w:tc>
          <w:tcPr>
            <w:tcW w:w="972" w:type="dxa"/>
          </w:tcPr>
          <w:p w14:paraId="7BAD475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419773B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6A3FA89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2732C88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624299B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5EEDFBA8" w14:textId="77777777" w:rsidTr="009E2933">
        <w:tc>
          <w:tcPr>
            <w:tcW w:w="550" w:type="dxa"/>
          </w:tcPr>
          <w:p w14:paraId="6539513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138</w:t>
            </w:r>
          </w:p>
        </w:tc>
        <w:tc>
          <w:tcPr>
            <w:tcW w:w="1005" w:type="dxa"/>
          </w:tcPr>
          <w:p w14:paraId="62ED081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Nil</w:t>
            </w:r>
          </w:p>
        </w:tc>
        <w:tc>
          <w:tcPr>
            <w:tcW w:w="1517" w:type="dxa"/>
          </w:tcPr>
          <w:p w14:paraId="3A5B354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58182BC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2.3</w:t>
            </w:r>
          </w:p>
        </w:tc>
        <w:tc>
          <w:tcPr>
            <w:tcW w:w="1450" w:type="dxa"/>
          </w:tcPr>
          <w:p w14:paraId="3255421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1.8</w:t>
            </w:r>
          </w:p>
        </w:tc>
        <w:tc>
          <w:tcPr>
            <w:tcW w:w="972" w:type="dxa"/>
          </w:tcPr>
          <w:p w14:paraId="0BD57EC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186CFC3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2813DF9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1D7533A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344BE71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09E0A742" w14:textId="77777777" w:rsidTr="009E2933">
        <w:tc>
          <w:tcPr>
            <w:tcW w:w="550" w:type="dxa"/>
          </w:tcPr>
          <w:p w14:paraId="6ADC37B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115</w:t>
            </w:r>
          </w:p>
        </w:tc>
        <w:tc>
          <w:tcPr>
            <w:tcW w:w="1005" w:type="dxa"/>
          </w:tcPr>
          <w:p w14:paraId="1D535A7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21C1D34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23D435E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2.4</w:t>
            </w:r>
          </w:p>
        </w:tc>
        <w:tc>
          <w:tcPr>
            <w:tcW w:w="1450" w:type="dxa"/>
          </w:tcPr>
          <w:p w14:paraId="1F2474E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1.2</w:t>
            </w:r>
          </w:p>
        </w:tc>
        <w:tc>
          <w:tcPr>
            <w:tcW w:w="972" w:type="dxa"/>
          </w:tcPr>
          <w:p w14:paraId="54A4715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439C164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560E8FA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07AAFEC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45FCAF5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0C241E9F" w14:textId="77777777" w:rsidTr="009E2933">
        <w:tc>
          <w:tcPr>
            <w:tcW w:w="550" w:type="dxa"/>
          </w:tcPr>
          <w:p w14:paraId="0A7D36F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1005" w:type="dxa"/>
          </w:tcPr>
          <w:p w14:paraId="00B3619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7CB414A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238A38D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1450" w:type="dxa"/>
          </w:tcPr>
          <w:p w14:paraId="08B38F9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3.5</w:t>
            </w:r>
          </w:p>
        </w:tc>
        <w:tc>
          <w:tcPr>
            <w:tcW w:w="972" w:type="dxa"/>
          </w:tcPr>
          <w:p w14:paraId="6B9739A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238C0AF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4E8EA33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51175E6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088C5EF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02060FCE" w14:textId="77777777" w:rsidTr="009E2933">
        <w:tc>
          <w:tcPr>
            <w:tcW w:w="550" w:type="dxa"/>
          </w:tcPr>
          <w:p w14:paraId="60B77B0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306</w:t>
            </w:r>
          </w:p>
        </w:tc>
        <w:tc>
          <w:tcPr>
            <w:tcW w:w="1005" w:type="dxa"/>
          </w:tcPr>
          <w:p w14:paraId="79F7770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259E76A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4B3AAB2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1450" w:type="dxa"/>
          </w:tcPr>
          <w:p w14:paraId="24C5B44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0.7</w:t>
            </w:r>
          </w:p>
        </w:tc>
        <w:tc>
          <w:tcPr>
            <w:tcW w:w="972" w:type="dxa"/>
          </w:tcPr>
          <w:p w14:paraId="4FA1632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7D65AFD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411717A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2DF25D9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45FC7AF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04E14EDE" w14:textId="77777777" w:rsidTr="009E2933">
        <w:tc>
          <w:tcPr>
            <w:tcW w:w="550" w:type="dxa"/>
          </w:tcPr>
          <w:p w14:paraId="3D98FC8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337</w:t>
            </w:r>
          </w:p>
        </w:tc>
        <w:tc>
          <w:tcPr>
            <w:tcW w:w="1005" w:type="dxa"/>
          </w:tcPr>
          <w:p w14:paraId="311D4ED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4C677A7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38D2A6B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2.7</w:t>
            </w:r>
          </w:p>
        </w:tc>
        <w:tc>
          <w:tcPr>
            <w:tcW w:w="1450" w:type="dxa"/>
          </w:tcPr>
          <w:p w14:paraId="0453634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1.4</w:t>
            </w:r>
          </w:p>
        </w:tc>
        <w:tc>
          <w:tcPr>
            <w:tcW w:w="972" w:type="dxa"/>
          </w:tcPr>
          <w:p w14:paraId="0E143A4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390C014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1C99813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480004C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43C5588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6889C96C" w14:textId="77777777" w:rsidTr="009E2933">
        <w:tc>
          <w:tcPr>
            <w:tcW w:w="550" w:type="dxa"/>
          </w:tcPr>
          <w:p w14:paraId="529B53B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326</w:t>
            </w:r>
          </w:p>
        </w:tc>
        <w:tc>
          <w:tcPr>
            <w:tcW w:w="1005" w:type="dxa"/>
          </w:tcPr>
          <w:p w14:paraId="2BE8899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12F389C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23FA416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1450" w:type="dxa"/>
          </w:tcPr>
          <w:p w14:paraId="52AD0F7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0.6</w:t>
            </w:r>
          </w:p>
        </w:tc>
        <w:tc>
          <w:tcPr>
            <w:tcW w:w="972" w:type="dxa"/>
          </w:tcPr>
          <w:p w14:paraId="5438629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122BF4F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3B611F4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17F9396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4F1B61F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</w:tr>
      <w:tr w:rsidR="003F2CBF" w:rsidRPr="009E2933" w14:paraId="01EE9DDB" w14:textId="77777777" w:rsidTr="009E2933">
        <w:tc>
          <w:tcPr>
            <w:tcW w:w="550" w:type="dxa"/>
          </w:tcPr>
          <w:p w14:paraId="090110C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361</w:t>
            </w:r>
          </w:p>
        </w:tc>
        <w:tc>
          <w:tcPr>
            <w:tcW w:w="1005" w:type="dxa"/>
          </w:tcPr>
          <w:p w14:paraId="08ED3BE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102084D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4A95A14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1450" w:type="dxa"/>
          </w:tcPr>
          <w:p w14:paraId="6958BA7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972" w:type="dxa"/>
          </w:tcPr>
          <w:p w14:paraId="0BF7593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2B26DDA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Not done</w:t>
            </w:r>
          </w:p>
        </w:tc>
        <w:tc>
          <w:tcPr>
            <w:tcW w:w="1450" w:type="dxa"/>
          </w:tcPr>
          <w:p w14:paraId="0D12833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1A3FF71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Improved on same 2 medications</w:t>
            </w:r>
          </w:p>
        </w:tc>
        <w:tc>
          <w:tcPr>
            <w:tcW w:w="1559" w:type="dxa"/>
          </w:tcPr>
          <w:p w14:paraId="22F73D1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</w:tr>
      <w:tr w:rsidR="003F2CBF" w:rsidRPr="009E2933" w14:paraId="263083AF" w14:textId="77777777" w:rsidTr="009E2933">
        <w:tc>
          <w:tcPr>
            <w:tcW w:w="550" w:type="dxa"/>
          </w:tcPr>
          <w:p w14:paraId="3A2A848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365</w:t>
            </w:r>
          </w:p>
        </w:tc>
        <w:tc>
          <w:tcPr>
            <w:tcW w:w="1005" w:type="dxa"/>
          </w:tcPr>
          <w:p w14:paraId="0C2AB15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5CE345D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15FAB85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1450" w:type="dxa"/>
          </w:tcPr>
          <w:p w14:paraId="4E7E079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7.9</w:t>
            </w:r>
          </w:p>
        </w:tc>
        <w:tc>
          <w:tcPr>
            <w:tcW w:w="972" w:type="dxa"/>
          </w:tcPr>
          <w:p w14:paraId="53F70C7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47A629C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Not done</w:t>
            </w:r>
          </w:p>
        </w:tc>
        <w:tc>
          <w:tcPr>
            <w:tcW w:w="1450" w:type="dxa"/>
          </w:tcPr>
          <w:p w14:paraId="4C9E0E3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66931F2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Cured (previously on 1 medication)</w:t>
            </w:r>
          </w:p>
        </w:tc>
        <w:tc>
          <w:tcPr>
            <w:tcW w:w="1559" w:type="dxa"/>
          </w:tcPr>
          <w:p w14:paraId="351FF61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</w:tr>
      <w:tr w:rsidR="003F2CBF" w:rsidRPr="009E2933" w14:paraId="6B0914DE" w14:textId="77777777" w:rsidTr="009E2933">
        <w:tc>
          <w:tcPr>
            <w:tcW w:w="550" w:type="dxa"/>
          </w:tcPr>
          <w:p w14:paraId="2E38945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377</w:t>
            </w:r>
          </w:p>
        </w:tc>
        <w:tc>
          <w:tcPr>
            <w:tcW w:w="1005" w:type="dxa"/>
          </w:tcPr>
          <w:p w14:paraId="4B9E7C5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1A14965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22D8F3D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3.1</w:t>
            </w:r>
          </w:p>
        </w:tc>
        <w:tc>
          <w:tcPr>
            <w:tcW w:w="1450" w:type="dxa"/>
          </w:tcPr>
          <w:p w14:paraId="780FE76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0.3</w:t>
            </w:r>
          </w:p>
        </w:tc>
        <w:tc>
          <w:tcPr>
            <w:tcW w:w="972" w:type="dxa"/>
          </w:tcPr>
          <w:p w14:paraId="152C77B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65FA5F1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Not done</w:t>
            </w:r>
          </w:p>
        </w:tc>
        <w:tc>
          <w:tcPr>
            <w:tcW w:w="1450" w:type="dxa"/>
          </w:tcPr>
          <w:p w14:paraId="511F79A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3F8AFC9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Cured (previously on 2 medications)</w:t>
            </w:r>
          </w:p>
        </w:tc>
        <w:tc>
          <w:tcPr>
            <w:tcW w:w="1559" w:type="dxa"/>
          </w:tcPr>
          <w:p w14:paraId="520A2A6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</w:tr>
      <w:tr w:rsidR="003F2CBF" w:rsidRPr="009E2933" w14:paraId="6E7EE11F" w14:textId="77777777" w:rsidTr="009E2933">
        <w:tc>
          <w:tcPr>
            <w:tcW w:w="550" w:type="dxa"/>
          </w:tcPr>
          <w:p w14:paraId="567280F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370</w:t>
            </w:r>
          </w:p>
        </w:tc>
        <w:tc>
          <w:tcPr>
            <w:tcW w:w="1005" w:type="dxa"/>
          </w:tcPr>
          <w:p w14:paraId="01CB129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  <w:tc>
          <w:tcPr>
            <w:tcW w:w="1517" w:type="dxa"/>
          </w:tcPr>
          <w:p w14:paraId="6695434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0742265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3.2</w:t>
            </w:r>
          </w:p>
        </w:tc>
        <w:tc>
          <w:tcPr>
            <w:tcW w:w="1450" w:type="dxa"/>
          </w:tcPr>
          <w:p w14:paraId="0FC6205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0.6</w:t>
            </w:r>
          </w:p>
        </w:tc>
        <w:tc>
          <w:tcPr>
            <w:tcW w:w="972" w:type="dxa"/>
          </w:tcPr>
          <w:p w14:paraId="3ED374A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5130379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Not done</w:t>
            </w:r>
          </w:p>
        </w:tc>
        <w:tc>
          <w:tcPr>
            <w:tcW w:w="1450" w:type="dxa"/>
          </w:tcPr>
          <w:p w14:paraId="41D06EE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743C24E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Improved, previously 4 medications, now 2</w:t>
            </w:r>
          </w:p>
        </w:tc>
        <w:tc>
          <w:tcPr>
            <w:tcW w:w="1559" w:type="dxa"/>
          </w:tcPr>
          <w:p w14:paraId="425FC11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</w:tr>
      <w:tr w:rsidR="003F2CBF" w:rsidRPr="009E2933" w14:paraId="7FBC68A9" w14:textId="77777777" w:rsidTr="009E2933">
        <w:tc>
          <w:tcPr>
            <w:tcW w:w="550" w:type="dxa"/>
          </w:tcPr>
          <w:p w14:paraId="148F5FB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132</w:t>
            </w:r>
          </w:p>
        </w:tc>
        <w:tc>
          <w:tcPr>
            <w:tcW w:w="1005" w:type="dxa"/>
          </w:tcPr>
          <w:p w14:paraId="5B56E5D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2FBC291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60815C3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3.4</w:t>
            </w:r>
          </w:p>
        </w:tc>
        <w:tc>
          <w:tcPr>
            <w:tcW w:w="1450" w:type="dxa"/>
          </w:tcPr>
          <w:p w14:paraId="5DBB129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0.4</w:t>
            </w:r>
          </w:p>
        </w:tc>
        <w:tc>
          <w:tcPr>
            <w:tcW w:w="972" w:type="dxa"/>
          </w:tcPr>
          <w:p w14:paraId="6CC5845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707415F6" w14:textId="74220B18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&lt;4 (PAC&lt;4, PRA&lt;0.6)</w:t>
            </w:r>
          </w:p>
        </w:tc>
        <w:tc>
          <w:tcPr>
            <w:tcW w:w="1450" w:type="dxa"/>
          </w:tcPr>
          <w:p w14:paraId="307B7C7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0C62FC6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Cured (previously on 2 medications)</w:t>
            </w:r>
          </w:p>
        </w:tc>
        <w:tc>
          <w:tcPr>
            <w:tcW w:w="1559" w:type="dxa"/>
          </w:tcPr>
          <w:p w14:paraId="4C7A027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</w:tr>
      <w:tr w:rsidR="003F2CBF" w:rsidRPr="009E2933" w14:paraId="273AA30F" w14:textId="77777777" w:rsidTr="009E2933">
        <w:tc>
          <w:tcPr>
            <w:tcW w:w="550" w:type="dxa"/>
          </w:tcPr>
          <w:p w14:paraId="7A0823C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153</w:t>
            </w:r>
          </w:p>
        </w:tc>
        <w:tc>
          <w:tcPr>
            <w:tcW w:w="1005" w:type="dxa"/>
          </w:tcPr>
          <w:p w14:paraId="2550E02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Nil</w:t>
            </w:r>
          </w:p>
        </w:tc>
        <w:tc>
          <w:tcPr>
            <w:tcW w:w="1517" w:type="dxa"/>
          </w:tcPr>
          <w:p w14:paraId="2AB4432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6081538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3.5</w:t>
            </w:r>
          </w:p>
        </w:tc>
        <w:tc>
          <w:tcPr>
            <w:tcW w:w="1450" w:type="dxa"/>
          </w:tcPr>
          <w:p w14:paraId="5C6F82B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1.6</w:t>
            </w:r>
          </w:p>
        </w:tc>
        <w:tc>
          <w:tcPr>
            <w:tcW w:w="972" w:type="dxa"/>
          </w:tcPr>
          <w:p w14:paraId="3CF6AAA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2221" w:type="dxa"/>
          </w:tcPr>
          <w:p w14:paraId="5DFDB26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450" w:type="dxa"/>
          </w:tcPr>
          <w:p w14:paraId="68B18B7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501" w:type="dxa"/>
          </w:tcPr>
          <w:p w14:paraId="7E40CFC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1559" w:type="dxa"/>
          </w:tcPr>
          <w:p w14:paraId="176F632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Bilateral</w:t>
            </w:r>
          </w:p>
        </w:tc>
      </w:tr>
      <w:tr w:rsidR="003F2CBF" w:rsidRPr="009E2933" w14:paraId="0C7D4F49" w14:textId="77777777" w:rsidTr="009E2933">
        <w:tc>
          <w:tcPr>
            <w:tcW w:w="550" w:type="dxa"/>
          </w:tcPr>
          <w:p w14:paraId="0F8E478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119</w:t>
            </w:r>
          </w:p>
        </w:tc>
        <w:tc>
          <w:tcPr>
            <w:tcW w:w="1005" w:type="dxa"/>
          </w:tcPr>
          <w:p w14:paraId="605AA7A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10DFD3C5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75CBF55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3.6</w:t>
            </w:r>
          </w:p>
        </w:tc>
        <w:tc>
          <w:tcPr>
            <w:tcW w:w="1450" w:type="dxa"/>
          </w:tcPr>
          <w:p w14:paraId="2C8F32F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0.6</w:t>
            </w:r>
          </w:p>
        </w:tc>
        <w:tc>
          <w:tcPr>
            <w:tcW w:w="972" w:type="dxa"/>
          </w:tcPr>
          <w:p w14:paraId="0CA20D9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3FF0ED24" w14:textId="2B92F3B1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&lt;4 (PAC&lt;4, PRA 4)</w:t>
            </w:r>
          </w:p>
        </w:tc>
        <w:tc>
          <w:tcPr>
            <w:tcW w:w="1450" w:type="dxa"/>
          </w:tcPr>
          <w:p w14:paraId="18C6654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0E274D0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Improved on same medications</w:t>
            </w:r>
          </w:p>
        </w:tc>
        <w:tc>
          <w:tcPr>
            <w:tcW w:w="1559" w:type="dxa"/>
          </w:tcPr>
          <w:p w14:paraId="14C2B3E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</w:tr>
      <w:tr w:rsidR="003F2CBF" w:rsidRPr="009E2933" w14:paraId="3E882D59" w14:textId="77777777" w:rsidTr="009E2933">
        <w:tc>
          <w:tcPr>
            <w:tcW w:w="550" w:type="dxa"/>
          </w:tcPr>
          <w:p w14:paraId="3E57623C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lastRenderedPageBreak/>
              <w:t>110</w:t>
            </w:r>
          </w:p>
        </w:tc>
        <w:tc>
          <w:tcPr>
            <w:tcW w:w="1005" w:type="dxa"/>
          </w:tcPr>
          <w:p w14:paraId="396072E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Nil</w:t>
            </w:r>
          </w:p>
        </w:tc>
        <w:tc>
          <w:tcPr>
            <w:tcW w:w="1517" w:type="dxa"/>
          </w:tcPr>
          <w:p w14:paraId="442529B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60BD24F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3.8</w:t>
            </w:r>
          </w:p>
        </w:tc>
        <w:tc>
          <w:tcPr>
            <w:tcW w:w="1450" w:type="dxa"/>
          </w:tcPr>
          <w:p w14:paraId="53411F3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972" w:type="dxa"/>
          </w:tcPr>
          <w:p w14:paraId="0457F70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3DAD4E5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3.2 (PAC 9.6, PRA 3.0)</w:t>
            </w:r>
          </w:p>
        </w:tc>
        <w:tc>
          <w:tcPr>
            <w:tcW w:w="1450" w:type="dxa"/>
          </w:tcPr>
          <w:p w14:paraId="3CA253CA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3A75487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Improved on same medications</w:t>
            </w:r>
          </w:p>
        </w:tc>
        <w:tc>
          <w:tcPr>
            <w:tcW w:w="1559" w:type="dxa"/>
          </w:tcPr>
          <w:p w14:paraId="406A0680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</w:tr>
      <w:tr w:rsidR="003F2CBF" w:rsidRPr="009E2933" w14:paraId="0B82848F" w14:textId="77777777" w:rsidTr="009E2933">
        <w:tc>
          <w:tcPr>
            <w:tcW w:w="550" w:type="dxa"/>
          </w:tcPr>
          <w:p w14:paraId="094088CD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345</w:t>
            </w:r>
          </w:p>
        </w:tc>
        <w:tc>
          <w:tcPr>
            <w:tcW w:w="1005" w:type="dxa"/>
          </w:tcPr>
          <w:p w14:paraId="0BCCCF4E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4B39AAF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  <w:tc>
          <w:tcPr>
            <w:tcW w:w="1517" w:type="dxa"/>
          </w:tcPr>
          <w:p w14:paraId="7E60B871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3.8</w:t>
            </w:r>
          </w:p>
        </w:tc>
        <w:tc>
          <w:tcPr>
            <w:tcW w:w="1450" w:type="dxa"/>
          </w:tcPr>
          <w:p w14:paraId="5F90CAC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972" w:type="dxa"/>
          </w:tcPr>
          <w:p w14:paraId="50BFF45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6F0E2C8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Not done</w:t>
            </w:r>
          </w:p>
        </w:tc>
        <w:tc>
          <w:tcPr>
            <w:tcW w:w="1450" w:type="dxa"/>
          </w:tcPr>
          <w:p w14:paraId="0DCE752F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44724C9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Cured (previously on 3 medications)</w:t>
            </w:r>
          </w:p>
        </w:tc>
        <w:tc>
          <w:tcPr>
            <w:tcW w:w="1559" w:type="dxa"/>
          </w:tcPr>
          <w:p w14:paraId="6FF0FF6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Right</w:t>
            </w:r>
          </w:p>
        </w:tc>
      </w:tr>
      <w:tr w:rsidR="003F2CBF" w:rsidRPr="009E2933" w14:paraId="5D6978CC" w14:textId="77777777" w:rsidTr="009E2933">
        <w:tc>
          <w:tcPr>
            <w:tcW w:w="550" w:type="dxa"/>
          </w:tcPr>
          <w:p w14:paraId="292424B6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1005" w:type="dxa"/>
          </w:tcPr>
          <w:p w14:paraId="6AA12DE2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446A3A2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  <w:tc>
          <w:tcPr>
            <w:tcW w:w="1517" w:type="dxa"/>
          </w:tcPr>
          <w:p w14:paraId="3A45B818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3.9</w:t>
            </w:r>
          </w:p>
        </w:tc>
        <w:tc>
          <w:tcPr>
            <w:tcW w:w="1450" w:type="dxa"/>
          </w:tcPr>
          <w:p w14:paraId="1FB446F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972" w:type="dxa"/>
          </w:tcPr>
          <w:p w14:paraId="621327D4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2221" w:type="dxa"/>
          </w:tcPr>
          <w:p w14:paraId="13EBCF67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6.6 (PAC 4.6, PRA 0.7)</w:t>
            </w:r>
          </w:p>
        </w:tc>
        <w:tc>
          <w:tcPr>
            <w:tcW w:w="1450" w:type="dxa"/>
          </w:tcPr>
          <w:p w14:paraId="58805EA9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Resolution</w:t>
            </w:r>
          </w:p>
        </w:tc>
        <w:tc>
          <w:tcPr>
            <w:tcW w:w="2501" w:type="dxa"/>
          </w:tcPr>
          <w:p w14:paraId="4FBC54BB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Improved on same medications</w:t>
            </w:r>
          </w:p>
        </w:tc>
        <w:tc>
          <w:tcPr>
            <w:tcW w:w="1559" w:type="dxa"/>
          </w:tcPr>
          <w:p w14:paraId="070B73E3" w14:textId="77777777" w:rsidR="003F2CBF" w:rsidRPr="009E2933" w:rsidRDefault="003F2CBF" w:rsidP="003F2CB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Left</w:t>
            </w:r>
          </w:p>
        </w:tc>
      </w:tr>
    </w:tbl>
    <w:p w14:paraId="324BFFD4" w14:textId="77777777" w:rsidR="003F2CBF" w:rsidRPr="009E2933" w:rsidRDefault="003F2CBF" w:rsidP="003F2CBF">
      <w:pPr>
        <w:spacing w:line="360" w:lineRule="auto"/>
        <w:rPr>
          <w:rFonts w:ascii="Arial" w:hAnsi="Arial" w:cs="Arial"/>
          <w:color w:val="000000"/>
          <w:sz w:val="20"/>
          <w:szCs w:val="20"/>
          <w:lang w:eastAsia="en-GB"/>
        </w:rPr>
      </w:pPr>
    </w:p>
    <w:p w14:paraId="28A23A10" w14:textId="77777777" w:rsidR="003F2CBF" w:rsidRPr="009E2933" w:rsidRDefault="003F2CBF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eastAsia="en-GB"/>
        </w:rPr>
      </w:pPr>
      <w:r w:rsidRPr="009E2933">
        <w:rPr>
          <w:rFonts w:ascii="Arial" w:hAnsi="Arial" w:cs="Arial"/>
          <w:b/>
          <w:color w:val="000000"/>
          <w:sz w:val="20"/>
          <w:szCs w:val="20"/>
          <w:lang w:eastAsia="en-GB"/>
        </w:rPr>
        <w:t xml:space="preserve">Supplementary Table 2. Patients with Lateralisation Ratios of 2.0 to 4.0 on AVS (sorted in ascending order), with final diagnosis, treatment, and post-surgery outcome </w:t>
      </w:r>
    </w:p>
    <w:p w14:paraId="729A4DAD" w14:textId="77777777" w:rsidR="003F2CBF" w:rsidRPr="009E2933" w:rsidRDefault="003F2CBF" w:rsidP="003F2CBF">
      <w:pPr>
        <w:spacing w:line="360" w:lineRule="auto"/>
        <w:rPr>
          <w:rFonts w:ascii="Arial" w:hAnsi="Arial" w:cs="Arial"/>
          <w:color w:val="000000"/>
          <w:sz w:val="20"/>
          <w:szCs w:val="20"/>
          <w:lang w:eastAsia="en-GB"/>
        </w:rPr>
      </w:pPr>
      <w:r w:rsidRPr="009E2933">
        <w:rPr>
          <w:rFonts w:ascii="Arial" w:eastAsia="Calibri" w:hAnsi="Arial" w:cs="Arial"/>
          <w:sz w:val="20"/>
          <w:szCs w:val="20"/>
        </w:rPr>
        <w:t>ID, Patient unique identification; CT, computed topography of adrenal glands; AVS, adrenal vein sampling; ARR, aldosterone renin ratio; PAC, plasma aldosterone concentration, ng/dL; PRA, plasma renin activity (ng/ml/hr); NA, not applicable</w:t>
      </w:r>
    </w:p>
    <w:p w14:paraId="24A2EC32" w14:textId="77777777" w:rsidR="003F2CBF" w:rsidRPr="009E2933" w:rsidRDefault="003F2CBF" w:rsidP="003F2CBF">
      <w:pPr>
        <w:spacing w:line="360" w:lineRule="auto"/>
        <w:rPr>
          <w:rFonts w:ascii="Arial" w:hAnsi="Arial" w:cs="Arial"/>
          <w:color w:val="000000"/>
          <w:sz w:val="20"/>
          <w:szCs w:val="20"/>
          <w:lang w:eastAsia="en-GB"/>
        </w:rPr>
        <w:sectPr w:rsidR="003F2CBF" w:rsidRPr="009E2933" w:rsidSect="00C0501E">
          <w:type w:val="continuous"/>
          <w:pgSz w:w="16840" w:h="11900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09C22CD" w14:textId="77777777" w:rsidR="003F2CBF" w:rsidRPr="009E2933" w:rsidRDefault="003F2CBF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2D7A5200" wp14:editId="48A89C33">
            <wp:extent cx="5727700" cy="2905760"/>
            <wp:effectExtent l="0" t="0" r="0" b="254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4-05 at 11.21.45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F59B" w14:textId="77777777" w:rsidR="003F2CBF" w:rsidRPr="009E2933" w:rsidRDefault="003F2CBF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0ADFAC7" w14:textId="77777777" w:rsidR="003F2CBF" w:rsidRPr="009E2933" w:rsidRDefault="003F2CBF" w:rsidP="003F2CBF">
      <w:pPr>
        <w:spacing w:line="360" w:lineRule="auto"/>
        <w:rPr>
          <w:rFonts w:ascii="Arial" w:hAnsi="Arial" w:cs="Arial"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</w:rPr>
        <w:t xml:space="preserve">Supplementary Figure 1. Concordant (white) and discordant (shaded) results between AVS and CT imaging in patients from the Asian development cohort (n = 103). </w:t>
      </w:r>
      <w:r w:rsidRPr="009E2933">
        <w:rPr>
          <w:rFonts w:ascii="Arial" w:hAnsi="Arial" w:cs="Arial"/>
          <w:color w:val="000000"/>
          <w:sz w:val="20"/>
          <w:szCs w:val="20"/>
        </w:rPr>
        <w:t>CT Bilateral indicates either bilaterally normal, or bilaterally enlarged adrenal glands on CT. AVS Bilateral indicates non-lateralised results on AVS.</w:t>
      </w:r>
    </w:p>
    <w:p w14:paraId="194C07DE" w14:textId="4EED62CE" w:rsidR="003F2CBF" w:rsidRPr="009E2933" w:rsidRDefault="003F2CBF" w:rsidP="003F2CBF">
      <w:pPr>
        <w:spacing w:line="360" w:lineRule="auto"/>
        <w:rPr>
          <w:rFonts w:ascii="Arial" w:hAnsi="Arial" w:cs="Arial"/>
          <w:sz w:val="20"/>
          <w:szCs w:val="20"/>
        </w:rPr>
      </w:pPr>
    </w:p>
    <w:p w14:paraId="03F463C3" w14:textId="036BEB1D" w:rsidR="003F2CBF" w:rsidRPr="009E2933" w:rsidRDefault="003F2CBF" w:rsidP="003F2CBF">
      <w:pPr>
        <w:spacing w:line="360" w:lineRule="auto"/>
        <w:rPr>
          <w:rFonts w:ascii="Arial" w:hAnsi="Arial" w:cs="Arial"/>
          <w:sz w:val="20"/>
          <w:szCs w:val="20"/>
        </w:rPr>
      </w:pPr>
    </w:p>
    <w:p w14:paraId="5E277533" w14:textId="77777777" w:rsidR="003F2CBF" w:rsidRPr="009E2933" w:rsidRDefault="003F2CBF" w:rsidP="003F2CBF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378"/>
        <w:gridCol w:w="1857"/>
        <w:gridCol w:w="1509"/>
      </w:tblGrid>
      <w:tr w:rsidR="003F2CBF" w:rsidRPr="009E2933" w14:paraId="3072DF17" w14:textId="77777777" w:rsidTr="002977DB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690FD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84FC60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</w:rPr>
              <w:t>Coefficient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2A6C6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P</w:t>
            </w: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54C0BD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b/>
                <w:color w:val="000000"/>
                <w:sz w:val="20"/>
                <w:szCs w:val="20"/>
              </w:rPr>
              <w:t>Final Points</w:t>
            </w:r>
          </w:p>
        </w:tc>
      </w:tr>
      <w:tr w:rsidR="003F2CBF" w:rsidRPr="009E2933" w14:paraId="3CEE1F41" w14:textId="77777777" w:rsidTr="002977DB">
        <w:tc>
          <w:tcPr>
            <w:tcW w:w="2694" w:type="dxa"/>
            <w:tcBorders>
              <w:top w:val="single" w:sz="4" w:space="0" w:color="auto"/>
            </w:tcBorders>
          </w:tcPr>
          <w:p w14:paraId="41E53352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ARR &gt; 131 ng/dL / ng/ml/hr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10EEB2F3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3053C5CE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18D84C26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F2CBF" w:rsidRPr="009E2933" w14:paraId="555C8F3C" w14:textId="77777777" w:rsidTr="002977DB">
        <w:tc>
          <w:tcPr>
            <w:tcW w:w="2694" w:type="dxa"/>
            <w:tcBorders>
              <w:bottom w:val="single" w:sz="4" w:space="0" w:color="auto"/>
            </w:tcBorders>
          </w:tcPr>
          <w:p w14:paraId="1631C51A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Post-SLT PAC &gt;24 ng/dL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14:paraId="0E632AAC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14:paraId="0D68D31E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0977D615" w14:textId="77777777" w:rsidR="003F2CBF" w:rsidRPr="009E2933" w:rsidRDefault="003F2CBF" w:rsidP="003F2CB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93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14:paraId="5AEFE60F" w14:textId="77777777" w:rsidR="003F2CBF" w:rsidRPr="009E2933" w:rsidRDefault="003F2CBF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eastAsia="en-GB"/>
        </w:rPr>
      </w:pPr>
    </w:p>
    <w:p w14:paraId="4BFD61D6" w14:textId="7F21C295" w:rsidR="0093381A" w:rsidRPr="009E2933" w:rsidRDefault="003F2CBF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  <w:lang w:eastAsia="en-GB"/>
        </w:rPr>
        <w:t xml:space="preserve">Supplementary </w:t>
      </w:r>
      <w:r w:rsidRPr="009E2933">
        <w:rPr>
          <w:rFonts w:ascii="Arial" w:hAnsi="Arial" w:cs="Arial"/>
          <w:b/>
          <w:color w:val="000000"/>
          <w:sz w:val="20"/>
          <w:szCs w:val="20"/>
        </w:rPr>
        <w:t>Table 3. Coefficients of variables for multivariate logistics regression Model A.</w:t>
      </w:r>
    </w:p>
    <w:p w14:paraId="4D32DD04" w14:textId="77777777" w:rsidR="0093381A" w:rsidRPr="009E2933" w:rsidRDefault="0093381A">
      <w:pPr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</w:rPr>
        <w:br w:type="page"/>
      </w:r>
    </w:p>
    <w:p w14:paraId="36C6AE84" w14:textId="4EA92862" w:rsidR="003F2CBF" w:rsidRPr="009E2933" w:rsidRDefault="0093381A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43CBF24B" wp14:editId="116D7B9F">
            <wp:extent cx="6309493" cy="3499998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 Figure 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13606" r="4444" b="14163"/>
                    <a:stretch/>
                  </pic:blipFill>
                  <pic:spPr bwMode="auto">
                    <a:xfrm>
                      <a:off x="0" y="0"/>
                      <a:ext cx="6340250" cy="351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F224D" w14:textId="72BD6EB0" w:rsidR="0093381A" w:rsidRPr="009E2933" w:rsidRDefault="0093381A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</w:rPr>
        <w:t>Supplementary Figure 2. Patient selection for Asian development cohort and European validation cohort taken from patients previously enrolled in SPARTACUS trial, using AVS criteria and PASO criteria</w:t>
      </w:r>
    </w:p>
    <w:p w14:paraId="684C558A" w14:textId="6F30E473" w:rsidR="0093381A" w:rsidRPr="009E2933" w:rsidRDefault="0093381A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41B8F36F" w14:textId="692FC5DD" w:rsidR="0093381A" w:rsidRPr="009E2933" w:rsidRDefault="0093381A" w:rsidP="003F2CBF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68C6A49F" wp14:editId="5F52434C">
            <wp:extent cx="3034748" cy="295994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 Figure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18465" r="45858" b="17404"/>
                    <a:stretch/>
                  </pic:blipFill>
                  <pic:spPr bwMode="auto">
                    <a:xfrm>
                      <a:off x="0" y="0"/>
                      <a:ext cx="3042923" cy="296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AFD1E" w14:textId="2C24BE69" w:rsidR="009E2933" w:rsidRDefault="0093381A" w:rsidP="0093381A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</w:rPr>
        <w:t>Supplementary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 Figure 3. ROC curve analysis of Aldosterone-Potassium Ratio (APR) to diagnose unilateral Primary Aldosteronism in Asian development cohort (n =</w:t>
      </w:r>
      <w:r w:rsidR="009E2933" w:rsidRPr="009E2933">
        <w:rPr>
          <w:rFonts w:ascii="Arial" w:hAnsi="Arial" w:cs="Arial"/>
          <w:b/>
          <w:bCs/>
          <w:sz w:val="20"/>
          <w:szCs w:val="20"/>
        </w:rPr>
        <w:t xml:space="preserve"> 74</w:t>
      </w:r>
      <w:r w:rsidRPr="009E2933">
        <w:rPr>
          <w:rFonts w:ascii="Arial" w:hAnsi="Arial" w:cs="Arial"/>
          <w:b/>
          <w:bCs/>
          <w:sz w:val="20"/>
          <w:szCs w:val="20"/>
        </w:rPr>
        <w:t>)</w:t>
      </w:r>
      <w:r w:rsidR="009E2933" w:rsidRPr="009E2933">
        <w:rPr>
          <w:rFonts w:ascii="Arial" w:hAnsi="Arial" w:cs="Arial"/>
          <w:b/>
          <w:bCs/>
          <w:sz w:val="20"/>
          <w:szCs w:val="20"/>
        </w:rPr>
        <w:t xml:space="preserve"> using PASO criteria. 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Patients stratified by APR </w:t>
      </w:r>
      <w:r w:rsidRPr="009E2933">
        <w:rPr>
          <w:rFonts w:ascii="Arial" w:hAnsi="Arial" w:cs="Arial"/>
          <w:b/>
          <w:sz w:val="20"/>
          <w:szCs w:val="20"/>
        </w:rPr>
        <w:t>(ng/dL / mmol/L)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 into &lt;5, 5-10, 10-15, &gt;15.</w:t>
      </w:r>
    </w:p>
    <w:p w14:paraId="18A9928C" w14:textId="77777777" w:rsidR="009E2933" w:rsidRDefault="009E2933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CECA03E" w14:textId="24D36F12" w:rsidR="00167D2E" w:rsidRPr="009E2933" w:rsidRDefault="00BC30EA" w:rsidP="00167D2E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r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5E58C8D3" wp14:editId="46F6E20B">
            <wp:extent cx="3282128" cy="335988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 Figure 4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18714" r="48208" b="13979"/>
                    <a:stretch/>
                  </pic:blipFill>
                  <pic:spPr bwMode="auto">
                    <a:xfrm>
                      <a:off x="0" y="0"/>
                      <a:ext cx="3283578" cy="336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CCC5273" w14:textId="0CFE0D7B" w:rsidR="00167D2E" w:rsidRDefault="00167D2E" w:rsidP="00167D2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9E2933">
        <w:rPr>
          <w:rFonts w:ascii="Arial" w:hAnsi="Arial" w:cs="Arial"/>
          <w:b/>
          <w:color w:val="000000"/>
          <w:sz w:val="20"/>
          <w:szCs w:val="20"/>
        </w:rPr>
        <w:t>Supplementary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 Figure 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. ROC curve analysis of Aldosterone-Potassium Ratio (APR) to diagnose unilateral Primary Aldosteronism in Asian development cohort (n = </w:t>
      </w:r>
      <w:r>
        <w:rPr>
          <w:rFonts w:ascii="Arial" w:hAnsi="Arial" w:cs="Arial"/>
          <w:b/>
          <w:bCs/>
          <w:sz w:val="20"/>
          <w:szCs w:val="20"/>
        </w:rPr>
        <w:t>103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) using </w:t>
      </w:r>
      <w:r>
        <w:rPr>
          <w:rFonts w:ascii="Arial" w:hAnsi="Arial" w:cs="Arial"/>
          <w:b/>
          <w:bCs/>
          <w:sz w:val="20"/>
          <w:szCs w:val="20"/>
        </w:rPr>
        <w:t>raw (uncorrected) Plasma aldosterone concentration (PAC)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. Patients stratified by APR </w:t>
      </w:r>
      <w:r w:rsidRPr="009E2933">
        <w:rPr>
          <w:rFonts w:ascii="Arial" w:hAnsi="Arial" w:cs="Arial"/>
          <w:b/>
          <w:sz w:val="20"/>
          <w:szCs w:val="20"/>
        </w:rPr>
        <w:t>(ng/</w:t>
      </w:r>
      <w:proofErr w:type="spellStart"/>
      <w:r w:rsidRPr="009E2933">
        <w:rPr>
          <w:rFonts w:ascii="Arial" w:hAnsi="Arial" w:cs="Arial"/>
          <w:b/>
          <w:sz w:val="20"/>
          <w:szCs w:val="20"/>
        </w:rPr>
        <w:t>dL</w:t>
      </w:r>
      <w:proofErr w:type="spellEnd"/>
      <w:r w:rsidRPr="009E2933">
        <w:rPr>
          <w:rFonts w:ascii="Arial" w:hAnsi="Arial" w:cs="Arial"/>
          <w:b/>
          <w:sz w:val="20"/>
          <w:szCs w:val="20"/>
        </w:rPr>
        <w:t xml:space="preserve"> / mmol/L)</w:t>
      </w:r>
      <w:r w:rsidRPr="009E2933">
        <w:rPr>
          <w:rFonts w:ascii="Arial" w:hAnsi="Arial" w:cs="Arial"/>
          <w:b/>
          <w:bCs/>
          <w:sz w:val="20"/>
          <w:szCs w:val="20"/>
        </w:rPr>
        <w:t xml:space="preserve"> into &lt;5, 5-10, 10-15, &gt;15.</w:t>
      </w:r>
    </w:p>
    <w:p w14:paraId="5583DD38" w14:textId="3867BBCC" w:rsidR="00167D2E" w:rsidRDefault="00167D2E" w:rsidP="00167D2E">
      <w:pPr>
        <w:rPr>
          <w:rFonts w:ascii="Arial" w:hAnsi="Arial" w:cs="Arial"/>
          <w:b/>
          <w:bCs/>
          <w:sz w:val="20"/>
          <w:szCs w:val="20"/>
        </w:rPr>
      </w:pPr>
    </w:p>
    <w:p w14:paraId="60B8C9DB" w14:textId="77777777" w:rsidR="0093381A" w:rsidRPr="009E2933" w:rsidRDefault="0093381A" w:rsidP="0093381A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38D10F45" w14:textId="77777777" w:rsidR="009E2933" w:rsidRPr="009E2933" w:rsidRDefault="009E2933" w:rsidP="0093381A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E293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B1DD1FA" wp14:editId="24DEDF0D">
            <wp:extent cx="3510810" cy="26842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 Figure 3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20922" r="30396" b="13462"/>
                    <a:stretch/>
                  </pic:blipFill>
                  <pic:spPr bwMode="auto">
                    <a:xfrm>
                      <a:off x="0" y="0"/>
                      <a:ext cx="3511238" cy="268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34CF9" w14:textId="5444D1F1" w:rsidR="0093381A" w:rsidRPr="009E2933" w:rsidRDefault="009E2933" w:rsidP="0093381A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933">
        <w:rPr>
          <w:rFonts w:ascii="Arial" w:hAnsi="Arial" w:cs="Arial"/>
          <w:b/>
          <w:sz w:val="20"/>
          <w:szCs w:val="20"/>
        </w:rPr>
        <w:t xml:space="preserve">Supplementary </w:t>
      </w:r>
      <w:r w:rsidR="0093381A" w:rsidRPr="009E2933">
        <w:rPr>
          <w:rFonts w:ascii="Arial" w:hAnsi="Arial" w:cs="Arial"/>
          <w:b/>
          <w:sz w:val="20"/>
          <w:szCs w:val="20"/>
        </w:rPr>
        <w:t xml:space="preserve">Figure </w:t>
      </w:r>
      <w:r w:rsidR="00167D2E">
        <w:rPr>
          <w:rFonts w:ascii="Arial" w:hAnsi="Arial" w:cs="Arial"/>
          <w:b/>
          <w:sz w:val="20"/>
          <w:szCs w:val="20"/>
        </w:rPr>
        <w:t>5</w:t>
      </w:r>
      <w:r w:rsidR="0093381A" w:rsidRPr="009E2933">
        <w:rPr>
          <w:rFonts w:ascii="Arial" w:hAnsi="Arial" w:cs="Arial"/>
          <w:b/>
          <w:sz w:val="20"/>
          <w:szCs w:val="20"/>
        </w:rPr>
        <w:t>. Patients stratified by Baseline Aldosterone: Lowest Potassium Ratio (APR) (ng/dL / mmol/L), and the underlying subtype of Primary Aldosteronism (PA) (Unilateral vs Bilateral), with 95% confidence interval, in Asian (N=</w:t>
      </w:r>
      <w:r w:rsidRPr="009E2933">
        <w:rPr>
          <w:rFonts w:ascii="Arial" w:hAnsi="Arial" w:cs="Arial"/>
          <w:b/>
          <w:sz w:val="20"/>
          <w:szCs w:val="20"/>
        </w:rPr>
        <w:t>74</w:t>
      </w:r>
      <w:r w:rsidR="0093381A" w:rsidRPr="009E2933">
        <w:rPr>
          <w:rFonts w:ascii="Arial" w:hAnsi="Arial" w:cs="Arial"/>
          <w:b/>
          <w:sz w:val="20"/>
          <w:szCs w:val="20"/>
        </w:rPr>
        <w:t>) and European (N=</w:t>
      </w:r>
      <w:r w:rsidRPr="009E2933">
        <w:rPr>
          <w:rFonts w:ascii="Arial" w:hAnsi="Arial" w:cs="Arial"/>
          <w:b/>
          <w:sz w:val="20"/>
          <w:szCs w:val="20"/>
        </w:rPr>
        <w:t>84</w:t>
      </w:r>
      <w:r w:rsidR="0093381A" w:rsidRPr="009E2933">
        <w:rPr>
          <w:rFonts w:ascii="Arial" w:hAnsi="Arial" w:cs="Arial"/>
          <w:b/>
          <w:sz w:val="20"/>
          <w:szCs w:val="20"/>
        </w:rPr>
        <w:t>) cohorts combined (N=</w:t>
      </w:r>
      <w:r w:rsidRPr="009E2933">
        <w:rPr>
          <w:rFonts w:ascii="Arial" w:hAnsi="Arial" w:cs="Arial"/>
          <w:b/>
          <w:sz w:val="20"/>
          <w:szCs w:val="20"/>
        </w:rPr>
        <w:t>158</w:t>
      </w:r>
      <w:r w:rsidR="0093381A" w:rsidRPr="009E2933">
        <w:rPr>
          <w:rFonts w:ascii="Arial" w:hAnsi="Arial" w:cs="Arial"/>
          <w:b/>
          <w:sz w:val="20"/>
          <w:szCs w:val="20"/>
        </w:rPr>
        <w:t>)</w:t>
      </w:r>
    </w:p>
    <w:sectPr w:rsidR="0093381A" w:rsidRPr="009E2933" w:rsidSect="00C0501E">
      <w:type w:val="continuous"/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AAF87" w14:textId="77777777" w:rsidR="000945DF" w:rsidRDefault="000945DF">
      <w:r>
        <w:separator/>
      </w:r>
    </w:p>
  </w:endnote>
  <w:endnote w:type="continuationSeparator" w:id="0">
    <w:p w14:paraId="713B8A7A" w14:textId="77777777" w:rsidR="000945DF" w:rsidRDefault="00094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839768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8CB840" w14:textId="77777777" w:rsidR="00BB18F1" w:rsidRDefault="003F2CBF" w:rsidP="008D339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85329C" w14:textId="77777777" w:rsidR="00BB18F1" w:rsidRDefault="000945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621773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15D3BB" w14:textId="77777777" w:rsidR="00BB18F1" w:rsidRDefault="003F2CBF" w:rsidP="008D339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68A438" w14:textId="77777777" w:rsidR="00BB18F1" w:rsidRDefault="000945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52065" w14:textId="77777777" w:rsidR="000945DF" w:rsidRDefault="000945DF">
      <w:r>
        <w:separator/>
      </w:r>
    </w:p>
  </w:footnote>
  <w:footnote w:type="continuationSeparator" w:id="0">
    <w:p w14:paraId="5DD49BB7" w14:textId="77777777" w:rsidR="000945DF" w:rsidRDefault="00094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BF"/>
    <w:rsid w:val="000070DA"/>
    <w:rsid w:val="000106C8"/>
    <w:rsid w:val="00021081"/>
    <w:rsid w:val="0003567F"/>
    <w:rsid w:val="00084A80"/>
    <w:rsid w:val="000911BE"/>
    <w:rsid w:val="000945DF"/>
    <w:rsid w:val="00095966"/>
    <w:rsid w:val="000A242A"/>
    <w:rsid w:val="000B4D02"/>
    <w:rsid w:val="000C3208"/>
    <w:rsid w:val="000D05BC"/>
    <w:rsid w:val="00122CA6"/>
    <w:rsid w:val="00130055"/>
    <w:rsid w:val="00131931"/>
    <w:rsid w:val="00131C01"/>
    <w:rsid w:val="00167D2E"/>
    <w:rsid w:val="00177A2F"/>
    <w:rsid w:val="00193504"/>
    <w:rsid w:val="001A0D5F"/>
    <w:rsid w:val="001D19DE"/>
    <w:rsid w:val="002012B0"/>
    <w:rsid w:val="00223B4C"/>
    <w:rsid w:val="002256D8"/>
    <w:rsid w:val="00246B31"/>
    <w:rsid w:val="00260A4A"/>
    <w:rsid w:val="00261CB1"/>
    <w:rsid w:val="00265BD5"/>
    <w:rsid w:val="00273C91"/>
    <w:rsid w:val="0029585B"/>
    <w:rsid w:val="00296727"/>
    <w:rsid w:val="002F018F"/>
    <w:rsid w:val="003041D3"/>
    <w:rsid w:val="0031426F"/>
    <w:rsid w:val="003233DD"/>
    <w:rsid w:val="00327AA4"/>
    <w:rsid w:val="0033142F"/>
    <w:rsid w:val="00354180"/>
    <w:rsid w:val="00365AAE"/>
    <w:rsid w:val="00395ED8"/>
    <w:rsid w:val="00397268"/>
    <w:rsid w:val="003B5112"/>
    <w:rsid w:val="003B6CD1"/>
    <w:rsid w:val="003F2CBF"/>
    <w:rsid w:val="0041244E"/>
    <w:rsid w:val="0043596C"/>
    <w:rsid w:val="004516E5"/>
    <w:rsid w:val="004564B8"/>
    <w:rsid w:val="004629D8"/>
    <w:rsid w:val="004747F4"/>
    <w:rsid w:val="00481FEF"/>
    <w:rsid w:val="00483C8E"/>
    <w:rsid w:val="004A72EF"/>
    <w:rsid w:val="00501EA7"/>
    <w:rsid w:val="00504B86"/>
    <w:rsid w:val="00510FCC"/>
    <w:rsid w:val="0053100A"/>
    <w:rsid w:val="00535C12"/>
    <w:rsid w:val="005520C6"/>
    <w:rsid w:val="00591F91"/>
    <w:rsid w:val="005959A3"/>
    <w:rsid w:val="005D4E36"/>
    <w:rsid w:val="005E2C56"/>
    <w:rsid w:val="005F5C9F"/>
    <w:rsid w:val="006003CC"/>
    <w:rsid w:val="006225D2"/>
    <w:rsid w:val="00631309"/>
    <w:rsid w:val="006D4B5C"/>
    <w:rsid w:val="006D5A61"/>
    <w:rsid w:val="00701BB9"/>
    <w:rsid w:val="007207D1"/>
    <w:rsid w:val="0072743C"/>
    <w:rsid w:val="00757193"/>
    <w:rsid w:val="007C01BF"/>
    <w:rsid w:val="007F080D"/>
    <w:rsid w:val="007F67B4"/>
    <w:rsid w:val="00816340"/>
    <w:rsid w:val="00886EA3"/>
    <w:rsid w:val="008B24C9"/>
    <w:rsid w:val="008C66C3"/>
    <w:rsid w:val="0093381A"/>
    <w:rsid w:val="00936801"/>
    <w:rsid w:val="00950097"/>
    <w:rsid w:val="00955DEA"/>
    <w:rsid w:val="009631DC"/>
    <w:rsid w:val="009635A8"/>
    <w:rsid w:val="0096404C"/>
    <w:rsid w:val="00967D35"/>
    <w:rsid w:val="009774B8"/>
    <w:rsid w:val="00993B8F"/>
    <w:rsid w:val="009B312E"/>
    <w:rsid w:val="009C57FB"/>
    <w:rsid w:val="009D19CA"/>
    <w:rsid w:val="009E2933"/>
    <w:rsid w:val="00A126FE"/>
    <w:rsid w:val="00A136D4"/>
    <w:rsid w:val="00A264E9"/>
    <w:rsid w:val="00A3629A"/>
    <w:rsid w:val="00A50554"/>
    <w:rsid w:val="00A5476B"/>
    <w:rsid w:val="00A628CD"/>
    <w:rsid w:val="00A7594A"/>
    <w:rsid w:val="00A77D6F"/>
    <w:rsid w:val="00A91518"/>
    <w:rsid w:val="00AD413D"/>
    <w:rsid w:val="00B1247D"/>
    <w:rsid w:val="00B32940"/>
    <w:rsid w:val="00B33521"/>
    <w:rsid w:val="00B701F9"/>
    <w:rsid w:val="00B7227A"/>
    <w:rsid w:val="00B73DAA"/>
    <w:rsid w:val="00B83531"/>
    <w:rsid w:val="00BA6615"/>
    <w:rsid w:val="00BC30EA"/>
    <w:rsid w:val="00BE6399"/>
    <w:rsid w:val="00BF414C"/>
    <w:rsid w:val="00C13287"/>
    <w:rsid w:val="00C427A5"/>
    <w:rsid w:val="00CA19B3"/>
    <w:rsid w:val="00CD1A2C"/>
    <w:rsid w:val="00CE5062"/>
    <w:rsid w:val="00CE645C"/>
    <w:rsid w:val="00CF538F"/>
    <w:rsid w:val="00D4330F"/>
    <w:rsid w:val="00D65DB3"/>
    <w:rsid w:val="00D74BBE"/>
    <w:rsid w:val="00D82CC0"/>
    <w:rsid w:val="00D8405D"/>
    <w:rsid w:val="00DA359B"/>
    <w:rsid w:val="00DA4C26"/>
    <w:rsid w:val="00DB5F8C"/>
    <w:rsid w:val="00DD7FC2"/>
    <w:rsid w:val="00DE0B6A"/>
    <w:rsid w:val="00DF46C7"/>
    <w:rsid w:val="00E073F0"/>
    <w:rsid w:val="00E11E83"/>
    <w:rsid w:val="00E205C8"/>
    <w:rsid w:val="00E31A60"/>
    <w:rsid w:val="00E34BCD"/>
    <w:rsid w:val="00E36984"/>
    <w:rsid w:val="00E73EE0"/>
    <w:rsid w:val="00E778FB"/>
    <w:rsid w:val="00E92CD0"/>
    <w:rsid w:val="00EE35F3"/>
    <w:rsid w:val="00EE7C8A"/>
    <w:rsid w:val="00EF25D8"/>
    <w:rsid w:val="00EF4E95"/>
    <w:rsid w:val="00F014F2"/>
    <w:rsid w:val="00F102C0"/>
    <w:rsid w:val="00F1151A"/>
    <w:rsid w:val="00F16CB0"/>
    <w:rsid w:val="00F4331D"/>
    <w:rsid w:val="00F45820"/>
    <w:rsid w:val="00F526D9"/>
    <w:rsid w:val="00F54003"/>
    <w:rsid w:val="00F66AA6"/>
    <w:rsid w:val="00F84739"/>
    <w:rsid w:val="00FC79CE"/>
    <w:rsid w:val="00FD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B5CD"/>
  <w14:defaultImageDpi w14:val="32767"/>
  <w15:chartTrackingRefBased/>
  <w15:docId w15:val="{43F76B4B-E692-2A4B-9B55-7195AB79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F2CBF"/>
    <w:rPr>
      <w:rFonts w:ascii="Times New Roman" w:eastAsia="Times New Roman" w:hAnsi="Times New Roman" w:cs="Times New Roman"/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2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F2C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F2CBF"/>
  </w:style>
  <w:style w:type="character" w:styleId="PageNumber">
    <w:name w:val="page number"/>
    <w:basedOn w:val="DefaultParagraphFont"/>
    <w:uiPriority w:val="99"/>
    <w:semiHidden/>
    <w:unhideWhenUsed/>
    <w:rsid w:val="003F2CBF"/>
  </w:style>
  <w:style w:type="paragraph" w:styleId="BalloonText">
    <w:name w:val="Balloon Text"/>
    <w:basedOn w:val="Normal"/>
    <w:link w:val="BalloonTextChar"/>
    <w:uiPriority w:val="99"/>
    <w:semiHidden/>
    <w:unhideWhenUsed/>
    <w:rsid w:val="003F2C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CBF"/>
    <w:rPr>
      <w:rFonts w:ascii="Times New Roman" w:eastAsia="Times New Roman" w:hAnsi="Times New Roman" w:cs="Times New Roman"/>
      <w:sz w:val="18"/>
      <w:szCs w:val="18"/>
      <w:lang w:val="en-SG"/>
    </w:rPr>
  </w:style>
  <w:style w:type="character" w:styleId="LineNumber">
    <w:name w:val="line number"/>
    <w:basedOn w:val="DefaultParagraphFont"/>
    <w:uiPriority w:val="99"/>
    <w:semiHidden/>
    <w:unhideWhenUsed/>
    <w:rsid w:val="003F2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puar</dc:creator>
  <cp:keywords/>
  <dc:description/>
  <cp:lastModifiedBy>puar troy</cp:lastModifiedBy>
  <cp:revision>2</cp:revision>
  <dcterms:created xsi:type="dcterms:W3CDTF">2019-11-12T07:50:00Z</dcterms:created>
  <dcterms:modified xsi:type="dcterms:W3CDTF">2019-11-12T07:50:00Z</dcterms:modified>
</cp:coreProperties>
</file>