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C8" w:rsidRPr="006A4B12" w:rsidRDefault="00C73BC8" w:rsidP="00C73BC8">
      <w:pPr>
        <w:spacing w:after="0" w:line="480" w:lineRule="auto"/>
        <w:jc w:val="center"/>
        <w:rPr>
          <w:rFonts w:ascii="Times New Roman" w:hAnsi="Times New Roman" w:cs="Times New Roman"/>
          <w:b/>
        </w:rPr>
      </w:pPr>
      <w:r w:rsidRPr="006A4B12">
        <w:rPr>
          <w:rFonts w:ascii="Times New Roman" w:hAnsi="Times New Roman" w:cs="Times New Roman"/>
          <w:b/>
        </w:rPr>
        <w:t>Childhood prediction models for hypertension later in life: a systematic review</w:t>
      </w:r>
    </w:p>
    <w:p w:rsidR="00C73BC8" w:rsidRPr="006A4B12" w:rsidRDefault="00C73BC8" w:rsidP="00C73BC8">
      <w:pPr>
        <w:spacing w:after="0" w:line="480" w:lineRule="auto"/>
        <w:jc w:val="center"/>
        <w:rPr>
          <w:rFonts w:ascii="Times New Roman" w:hAnsi="Times New Roman" w:cs="Times New Roman"/>
        </w:rPr>
      </w:pPr>
      <w:r>
        <w:rPr>
          <w:rFonts w:ascii="Times New Roman" w:hAnsi="Times New Roman" w:cs="Times New Roman"/>
        </w:rPr>
        <w:t>Supplementary material</w:t>
      </w:r>
    </w:p>
    <w:p w:rsidR="00C73BC8" w:rsidRPr="006A4B12" w:rsidRDefault="00C73BC8" w:rsidP="00C73BC8">
      <w:pPr>
        <w:spacing w:after="0" w:line="480" w:lineRule="auto"/>
        <w:jc w:val="center"/>
        <w:rPr>
          <w:rFonts w:ascii="Times New Roman" w:hAnsi="Times New Roman" w:cs="Times New Roman"/>
        </w:rPr>
      </w:pPr>
      <w:r w:rsidRPr="006A4B12">
        <w:rPr>
          <w:rFonts w:ascii="Times New Roman" w:hAnsi="Times New Roman" w:cs="Times New Roman"/>
        </w:rPr>
        <w:t xml:space="preserve">Marleen </w:t>
      </w:r>
      <w:proofErr w:type="spellStart"/>
      <w:r w:rsidRPr="006A4B12">
        <w:rPr>
          <w:rFonts w:ascii="Times New Roman" w:hAnsi="Times New Roman" w:cs="Times New Roman"/>
        </w:rPr>
        <w:t>HAMOEN</w:t>
      </w:r>
      <w:r w:rsidRPr="006A4B12">
        <w:rPr>
          <w:rFonts w:ascii="Times New Roman" w:hAnsi="Times New Roman" w:cs="Times New Roman"/>
          <w:vertAlign w:val="superscript"/>
        </w:rPr>
        <w:t>a</w:t>
      </w:r>
      <w:proofErr w:type="spellEnd"/>
      <w:r w:rsidRPr="006A4B12">
        <w:rPr>
          <w:rFonts w:ascii="Times New Roman" w:hAnsi="Times New Roman" w:cs="Times New Roman"/>
        </w:rPr>
        <w:t xml:space="preserve">, MD PhD student; Marlou L.A. DE </w:t>
      </w:r>
      <w:proofErr w:type="spellStart"/>
      <w:r w:rsidRPr="006A4B12">
        <w:rPr>
          <w:rFonts w:ascii="Times New Roman" w:hAnsi="Times New Roman" w:cs="Times New Roman"/>
        </w:rPr>
        <w:t>KROON</w:t>
      </w:r>
      <w:r w:rsidRPr="006A4B12">
        <w:rPr>
          <w:rFonts w:ascii="Times New Roman" w:hAnsi="Times New Roman" w:cs="Times New Roman"/>
          <w:vertAlign w:val="superscript"/>
        </w:rPr>
        <w:t>a,b</w:t>
      </w:r>
      <w:proofErr w:type="spellEnd"/>
      <w:r w:rsidRPr="006A4B12">
        <w:rPr>
          <w:rFonts w:ascii="Times New Roman" w:hAnsi="Times New Roman" w:cs="Times New Roman"/>
        </w:rPr>
        <w:t xml:space="preserve">, MD PhD; Marieke </w:t>
      </w:r>
      <w:proofErr w:type="spellStart"/>
      <w:r w:rsidRPr="006A4B12">
        <w:rPr>
          <w:rFonts w:ascii="Times New Roman" w:hAnsi="Times New Roman" w:cs="Times New Roman"/>
        </w:rPr>
        <w:t>WELTEN</w:t>
      </w:r>
      <w:r w:rsidRPr="006A4B12">
        <w:rPr>
          <w:rFonts w:ascii="Times New Roman" w:hAnsi="Times New Roman" w:cs="Times New Roman"/>
          <w:vertAlign w:val="superscript"/>
        </w:rPr>
        <w:t>c</w:t>
      </w:r>
      <w:proofErr w:type="spellEnd"/>
      <w:r w:rsidRPr="006A4B12">
        <w:rPr>
          <w:rFonts w:ascii="Times New Roman" w:hAnsi="Times New Roman" w:cs="Times New Roman"/>
        </w:rPr>
        <w:t xml:space="preserve">, PhD student; Hein </w:t>
      </w:r>
      <w:proofErr w:type="spellStart"/>
      <w:r w:rsidRPr="006A4B12">
        <w:rPr>
          <w:rFonts w:ascii="Times New Roman" w:hAnsi="Times New Roman" w:cs="Times New Roman"/>
        </w:rPr>
        <w:t>RAAT</w:t>
      </w:r>
      <w:r w:rsidRPr="006A4B12">
        <w:rPr>
          <w:rFonts w:ascii="Times New Roman" w:hAnsi="Times New Roman" w:cs="Times New Roman"/>
          <w:vertAlign w:val="superscript"/>
        </w:rPr>
        <w:t>a</w:t>
      </w:r>
      <w:proofErr w:type="spellEnd"/>
      <w:r w:rsidRPr="006A4B12">
        <w:rPr>
          <w:rFonts w:ascii="Times New Roman" w:hAnsi="Times New Roman" w:cs="Times New Roman"/>
        </w:rPr>
        <w:t xml:space="preserve">, MD PhD; Jos W.R. </w:t>
      </w:r>
      <w:proofErr w:type="spellStart"/>
      <w:r w:rsidRPr="006A4B12">
        <w:rPr>
          <w:rFonts w:ascii="Times New Roman" w:hAnsi="Times New Roman" w:cs="Times New Roman"/>
        </w:rPr>
        <w:t>TWISK</w:t>
      </w:r>
      <w:r w:rsidRPr="006A4B12">
        <w:rPr>
          <w:rFonts w:ascii="Times New Roman" w:hAnsi="Times New Roman" w:cs="Times New Roman"/>
          <w:vertAlign w:val="superscript"/>
        </w:rPr>
        <w:t>c</w:t>
      </w:r>
      <w:proofErr w:type="spellEnd"/>
      <w:r w:rsidRPr="006A4B12">
        <w:rPr>
          <w:rFonts w:ascii="Times New Roman" w:hAnsi="Times New Roman" w:cs="Times New Roman"/>
        </w:rPr>
        <w:t xml:space="preserve">, PhD; Martijn W. </w:t>
      </w:r>
      <w:proofErr w:type="spellStart"/>
      <w:r w:rsidRPr="006A4B12">
        <w:rPr>
          <w:rFonts w:ascii="Times New Roman" w:hAnsi="Times New Roman" w:cs="Times New Roman"/>
        </w:rPr>
        <w:t>HEYMANS</w:t>
      </w:r>
      <w:r w:rsidRPr="006A4B12">
        <w:rPr>
          <w:rFonts w:ascii="Times New Roman" w:hAnsi="Times New Roman" w:cs="Times New Roman"/>
          <w:vertAlign w:val="superscript"/>
        </w:rPr>
        <w:t>c</w:t>
      </w:r>
      <w:proofErr w:type="spellEnd"/>
      <w:r w:rsidRPr="006A4B12">
        <w:rPr>
          <w:rFonts w:ascii="Times New Roman" w:hAnsi="Times New Roman" w:cs="Times New Roman"/>
        </w:rPr>
        <w:t xml:space="preserve">, PhD; Yvonne </w:t>
      </w:r>
      <w:proofErr w:type="spellStart"/>
      <w:r w:rsidRPr="006A4B12">
        <w:rPr>
          <w:rFonts w:ascii="Times New Roman" w:hAnsi="Times New Roman" w:cs="Times New Roman"/>
        </w:rPr>
        <w:t>VERGOUWE</w:t>
      </w:r>
      <w:r w:rsidRPr="006A4B12">
        <w:rPr>
          <w:rFonts w:ascii="Times New Roman" w:hAnsi="Times New Roman" w:cs="Times New Roman"/>
          <w:vertAlign w:val="superscript"/>
        </w:rPr>
        <w:t>a</w:t>
      </w:r>
      <w:proofErr w:type="spellEnd"/>
      <w:r w:rsidRPr="006A4B12">
        <w:rPr>
          <w:rFonts w:ascii="Times New Roman" w:hAnsi="Times New Roman" w:cs="Times New Roman"/>
        </w:rPr>
        <w:t>, PhD</w:t>
      </w:r>
    </w:p>
    <w:p w:rsidR="00C73BC8" w:rsidRPr="006A4B12" w:rsidRDefault="00C73BC8" w:rsidP="00C73BC8">
      <w:pPr>
        <w:spacing w:after="0" w:line="480" w:lineRule="auto"/>
        <w:rPr>
          <w:rFonts w:ascii="Times New Roman" w:hAnsi="Times New Roman" w:cs="Times New Roman"/>
        </w:rPr>
      </w:pPr>
    </w:p>
    <w:p w:rsidR="00C73BC8" w:rsidRPr="006A4B12" w:rsidRDefault="00C73BC8" w:rsidP="00C73BC8">
      <w:pPr>
        <w:spacing w:after="0" w:line="480" w:lineRule="auto"/>
        <w:rPr>
          <w:rFonts w:ascii="Times New Roman" w:hAnsi="Times New Roman" w:cs="Times New Roman"/>
          <w:b/>
        </w:rPr>
      </w:pPr>
      <w:r w:rsidRPr="006A4B12">
        <w:rPr>
          <w:rFonts w:ascii="Times New Roman" w:hAnsi="Times New Roman" w:cs="Times New Roman"/>
          <w:b/>
        </w:rPr>
        <w:t>Affiliations</w:t>
      </w:r>
    </w:p>
    <w:p w:rsidR="00C73BC8" w:rsidRPr="006A4B12" w:rsidRDefault="00C73BC8" w:rsidP="00C73BC8">
      <w:pPr>
        <w:spacing w:after="0" w:line="480" w:lineRule="auto"/>
        <w:rPr>
          <w:rFonts w:ascii="Times New Roman" w:hAnsi="Times New Roman" w:cs="Times New Roman"/>
        </w:rPr>
      </w:pPr>
      <w:r w:rsidRPr="006A4B12">
        <w:rPr>
          <w:rFonts w:ascii="Times New Roman" w:hAnsi="Times New Roman" w:cs="Times New Roman"/>
          <w:vertAlign w:val="superscript"/>
        </w:rPr>
        <w:t>a</w:t>
      </w:r>
      <w:r w:rsidRPr="006A4B12">
        <w:rPr>
          <w:rFonts w:ascii="Times New Roman" w:hAnsi="Times New Roman" w:cs="Times New Roman"/>
        </w:rPr>
        <w:t xml:space="preserve"> Erasmus University Medical Center, Department of Public Health, Rotterdam, Netherlands</w:t>
      </w:r>
    </w:p>
    <w:p w:rsidR="00C73BC8" w:rsidRPr="006A4B12" w:rsidRDefault="00C73BC8" w:rsidP="00C73BC8">
      <w:pPr>
        <w:spacing w:after="0" w:line="480" w:lineRule="auto"/>
        <w:rPr>
          <w:rFonts w:ascii="Times New Roman" w:hAnsi="Times New Roman" w:cs="Times New Roman"/>
        </w:rPr>
      </w:pPr>
      <w:r w:rsidRPr="006A4B12">
        <w:rPr>
          <w:rFonts w:ascii="Times New Roman" w:hAnsi="Times New Roman" w:cs="Times New Roman"/>
          <w:vertAlign w:val="superscript"/>
        </w:rPr>
        <w:t>b</w:t>
      </w:r>
      <w:r w:rsidRPr="006A4B12">
        <w:rPr>
          <w:rFonts w:ascii="Times New Roman" w:hAnsi="Times New Roman" w:cs="Times New Roman"/>
        </w:rPr>
        <w:t xml:space="preserve"> University Medical Center Groningen, Department of Health Sciences, Groningen, Netherlands</w:t>
      </w:r>
    </w:p>
    <w:p w:rsidR="00C73BC8" w:rsidRPr="006A4B12" w:rsidRDefault="00C73BC8" w:rsidP="00C73BC8">
      <w:pPr>
        <w:spacing w:after="0" w:line="480" w:lineRule="auto"/>
        <w:rPr>
          <w:rFonts w:ascii="Times New Roman" w:hAnsi="Times New Roman" w:cs="Times New Roman"/>
        </w:rPr>
      </w:pPr>
      <w:r w:rsidRPr="006A4B12">
        <w:rPr>
          <w:rFonts w:ascii="Times New Roman" w:hAnsi="Times New Roman" w:cs="Times New Roman"/>
          <w:vertAlign w:val="superscript"/>
        </w:rPr>
        <w:t xml:space="preserve">c </w:t>
      </w:r>
      <w:r w:rsidRPr="006A4B12">
        <w:rPr>
          <w:rFonts w:ascii="Times New Roman" w:hAnsi="Times New Roman" w:cs="Times New Roman"/>
        </w:rPr>
        <w:t>VU Medical Center, Amsterdam Public Health Research Institute, Department of Epidemiology and Biostatistics, Amsterdam, Netherlands</w:t>
      </w:r>
    </w:p>
    <w:p w:rsidR="00C73BC8" w:rsidRPr="006A4B12" w:rsidRDefault="00C73BC8" w:rsidP="00C73BC8">
      <w:pPr>
        <w:spacing w:after="0" w:line="480" w:lineRule="auto"/>
        <w:rPr>
          <w:rFonts w:ascii="Times New Roman" w:hAnsi="Times New Roman" w:cs="Times New Roman"/>
        </w:rPr>
      </w:pPr>
    </w:p>
    <w:p w:rsidR="00C73BC8" w:rsidRPr="006A4B12" w:rsidRDefault="00C73BC8" w:rsidP="00C73BC8">
      <w:pPr>
        <w:spacing w:after="0" w:line="480" w:lineRule="auto"/>
        <w:rPr>
          <w:rFonts w:ascii="Times New Roman" w:hAnsi="Times New Roman" w:cs="Times New Roman"/>
          <w:b/>
        </w:rPr>
      </w:pPr>
      <w:r w:rsidRPr="006A4B12">
        <w:rPr>
          <w:rFonts w:ascii="Times New Roman" w:hAnsi="Times New Roman" w:cs="Times New Roman"/>
          <w:b/>
        </w:rPr>
        <w:t>Corresponding author</w:t>
      </w:r>
    </w:p>
    <w:p w:rsidR="00C73BC8" w:rsidRPr="006A4B12" w:rsidRDefault="00C73BC8" w:rsidP="00C73BC8">
      <w:pPr>
        <w:spacing w:after="0" w:line="480" w:lineRule="auto"/>
        <w:rPr>
          <w:rFonts w:ascii="Times New Roman" w:hAnsi="Times New Roman" w:cs="Times New Roman"/>
        </w:rPr>
      </w:pPr>
      <w:r w:rsidRPr="006A4B12">
        <w:rPr>
          <w:rFonts w:ascii="Times New Roman" w:hAnsi="Times New Roman" w:cs="Times New Roman"/>
        </w:rPr>
        <w:t>Marleen Hamoen, MD PhD student</w:t>
      </w:r>
    </w:p>
    <w:p w:rsidR="00C73BC8" w:rsidRPr="006A4B12" w:rsidRDefault="00C73BC8" w:rsidP="00C73BC8">
      <w:pPr>
        <w:spacing w:after="0" w:line="480" w:lineRule="auto"/>
        <w:rPr>
          <w:rFonts w:ascii="Times New Roman" w:hAnsi="Times New Roman" w:cs="Times New Roman"/>
        </w:rPr>
      </w:pPr>
      <w:r w:rsidRPr="006A4B12">
        <w:rPr>
          <w:rFonts w:ascii="Times New Roman" w:hAnsi="Times New Roman" w:cs="Times New Roman"/>
        </w:rPr>
        <w:t>Erasmus University Medical Center</w:t>
      </w:r>
    </w:p>
    <w:p w:rsidR="00C73BC8" w:rsidRPr="006A4B12" w:rsidRDefault="00C73BC8" w:rsidP="00C73BC8">
      <w:pPr>
        <w:spacing w:after="0" w:line="480" w:lineRule="auto"/>
        <w:rPr>
          <w:rFonts w:ascii="Times New Roman" w:hAnsi="Times New Roman" w:cs="Times New Roman"/>
        </w:rPr>
      </w:pPr>
      <w:r w:rsidRPr="006A4B12">
        <w:rPr>
          <w:rFonts w:ascii="Times New Roman" w:hAnsi="Times New Roman" w:cs="Times New Roman"/>
        </w:rPr>
        <w:t>Department of Public Health</w:t>
      </w:r>
    </w:p>
    <w:p w:rsidR="00C73BC8" w:rsidRPr="006A4B12" w:rsidRDefault="00C73BC8" w:rsidP="00C73BC8">
      <w:pPr>
        <w:spacing w:after="0" w:line="480" w:lineRule="auto"/>
        <w:rPr>
          <w:rFonts w:ascii="Times New Roman" w:hAnsi="Times New Roman" w:cs="Times New Roman"/>
        </w:rPr>
      </w:pPr>
      <w:proofErr w:type="spellStart"/>
      <w:r w:rsidRPr="006A4B12">
        <w:rPr>
          <w:rFonts w:ascii="Times New Roman" w:hAnsi="Times New Roman" w:cs="Times New Roman"/>
        </w:rPr>
        <w:t>Wytemaweg</w:t>
      </w:r>
      <w:proofErr w:type="spellEnd"/>
      <w:r w:rsidRPr="006A4B12">
        <w:rPr>
          <w:rFonts w:ascii="Times New Roman" w:hAnsi="Times New Roman" w:cs="Times New Roman"/>
        </w:rPr>
        <w:t xml:space="preserve"> 80, 3015 CN Rotterdam, Netherlands</w:t>
      </w:r>
    </w:p>
    <w:p w:rsidR="00C73BC8" w:rsidRPr="006A4B12" w:rsidRDefault="00C73BC8" w:rsidP="00C73BC8">
      <w:pPr>
        <w:spacing w:after="0" w:line="480" w:lineRule="auto"/>
        <w:rPr>
          <w:rFonts w:ascii="Times New Roman" w:hAnsi="Times New Roman" w:cs="Times New Roman"/>
        </w:rPr>
      </w:pPr>
      <w:r w:rsidRPr="006A4B12">
        <w:rPr>
          <w:rFonts w:ascii="Times New Roman" w:hAnsi="Times New Roman" w:cs="Times New Roman"/>
        </w:rPr>
        <w:t xml:space="preserve">E-mail: </w:t>
      </w:r>
      <w:hyperlink r:id="rId6" w:history="1">
        <w:r w:rsidRPr="006A4B12">
          <w:rPr>
            <w:rStyle w:val="Hyperlink"/>
            <w:rFonts w:ascii="Times New Roman" w:hAnsi="Times New Roman" w:cs="Times New Roman"/>
          </w:rPr>
          <w:t>m.hamoen@erasmusmc.nl</w:t>
        </w:r>
      </w:hyperlink>
    </w:p>
    <w:p w:rsidR="00C73BC8" w:rsidRDefault="00C73BC8" w:rsidP="00C73BC8">
      <w:pPr>
        <w:spacing w:after="0" w:line="480" w:lineRule="auto"/>
        <w:rPr>
          <w:rFonts w:ascii="Times New Roman" w:hAnsi="Times New Roman" w:cs="Times New Roman"/>
        </w:rPr>
      </w:pPr>
      <w:r w:rsidRPr="006A4B12">
        <w:rPr>
          <w:rFonts w:ascii="Times New Roman" w:hAnsi="Times New Roman" w:cs="Times New Roman"/>
        </w:rPr>
        <w:t>Phone: +31 10 703 84 95</w:t>
      </w:r>
    </w:p>
    <w:p w:rsidR="00C73BC8" w:rsidRPr="00C73BC8" w:rsidRDefault="00C73BC8" w:rsidP="00C73BC8">
      <w:pPr>
        <w:spacing w:after="0" w:line="480" w:lineRule="auto"/>
        <w:rPr>
          <w:rFonts w:ascii="Times New Roman" w:hAnsi="Times New Roman" w:cs="Times New Roman"/>
        </w:rPr>
      </w:pPr>
    </w:p>
    <w:p w:rsidR="00C73BC8" w:rsidRPr="006A4B12" w:rsidRDefault="00C73BC8" w:rsidP="00C73BC8">
      <w:pPr>
        <w:spacing w:after="0"/>
        <w:rPr>
          <w:rFonts w:ascii="Times New Roman" w:hAnsi="Times New Roman" w:cs="Times New Roman"/>
        </w:rPr>
      </w:pPr>
      <w:r w:rsidRPr="006A4B12">
        <w:rPr>
          <w:rFonts w:ascii="Times New Roman" w:hAnsi="Times New Roman" w:cs="Times New Roman"/>
          <w:b/>
        </w:rPr>
        <w:lastRenderedPageBreak/>
        <w:t xml:space="preserve">Supplemental Table 1. </w:t>
      </w:r>
      <w:r w:rsidRPr="006A4B12">
        <w:rPr>
          <w:rFonts w:ascii="Times New Roman" w:hAnsi="Times New Roman" w:cs="Times New Roman"/>
        </w:rPr>
        <w:t>Search strategy used for this review in EMBASE and MEDLINE</w:t>
      </w:r>
    </w:p>
    <w:p w:rsidR="00C73BC8" w:rsidRPr="006A4B12" w:rsidRDefault="00C73BC8" w:rsidP="00C73BC8">
      <w:pPr>
        <w:spacing w:after="0"/>
        <w:rPr>
          <w:rFonts w:ascii="Times New Roman" w:hAnsi="Times New Roman" w:cs="Times New Roman"/>
          <w:sz w:val="20"/>
        </w:rPr>
      </w:pPr>
    </w:p>
    <w:tbl>
      <w:tblPr>
        <w:tblStyle w:val="TableGrid"/>
        <w:tblW w:w="12866" w:type="dxa"/>
        <w:tblLayout w:type="fixed"/>
        <w:tblLook w:val="04A0" w:firstRow="1" w:lastRow="0" w:firstColumn="1" w:lastColumn="0" w:noHBand="0" w:noVBand="1"/>
      </w:tblPr>
      <w:tblGrid>
        <w:gridCol w:w="1419"/>
        <w:gridCol w:w="3402"/>
        <w:gridCol w:w="1275"/>
        <w:gridCol w:w="1525"/>
        <w:gridCol w:w="1701"/>
        <w:gridCol w:w="1559"/>
        <w:gridCol w:w="1559"/>
        <w:gridCol w:w="426"/>
      </w:tblGrid>
      <w:tr w:rsidR="00C73BC8" w:rsidRPr="006A4B12" w:rsidTr="001301A1">
        <w:trPr>
          <w:trHeight w:val="377"/>
        </w:trPr>
        <w:tc>
          <w:tcPr>
            <w:tcW w:w="1419" w:type="dxa"/>
            <w:tcBorders>
              <w:top w:val="single" w:sz="12" w:space="0" w:color="auto"/>
              <w:left w:val="single" w:sz="12" w:space="0" w:color="auto"/>
              <w:bottom w:val="nil"/>
              <w:right w:val="nil"/>
            </w:tcBorders>
            <w:shd w:val="clear" w:color="auto" w:fill="D9D9D9" w:themeFill="background1" w:themeFillShade="D9"/>
            <w:vAlign w:val="center"/>
          </w:tcPr>
          <w:p w:rsidR="00C73BC8" w:rsidRPr="006A4B12" w:rsidRDefault="00C73BC8" w:rsidP="001301A1">
            <w:pPr>
              <w:rPr>
                <w:rFonts w:ascii="Times New Roman" w:hAnsi="Times New Roman" w:cs="Times New Roman"/>
                <w:b/>
                <w:sz w:val="16"/>
                <w:szCs w:val="20"/>
              </w:rPr>
            </w:pPr>
            <w:r w:rsidRPr="006A4B12">
              <w:rPr>
                <w:rFonts w:ascii="Times New Roman" w:hAnsi="Times New Roman" w:cs="Times New Roman"/>
                <w:b/>
                <w:sz w:val="16"/>
                <w:szCs w:val="20"/>
              </w:rPr>
              <w:t>Database</w:t>
            </w:r>
          </w:p>
        </w:tc>
        <w:tc>
          <w:tcPr>
            <w:tcW w:w="3402" w:type="dxa"/>
            <w:tcBorders>
              <w:top w:val="single" w:sz="12" w:space="0" w:color="auto"/>
              <w:left w:val="nil"/>
              <w:bottom w:val="nil"/>
              <w:right w:val="nil"/>
            </w:tcBorders>
            <w:shd w:val="clear" w:color="auto" w:fill="D9D9D9" w:themeFill="background1" w:themeFillShade="D9"/>
            <w:vAlign w:val="center"/>
          </w:tcPr>
          <w:p w:rsidR="00C73BC8" w:rsidRPr="006A4B12" w:rsidRDefault="00C73BC8" w:rsidP="001301A1">
            <w:pPr>
              <w:rPr>
                <w:rFonts w:ascii="Times New Roman" w:hAnsi="Times New Roman" w:cs="Times New Roman"/>
                <w:b/>
                <w:sz w:val="16"/>
                <w:szCs w:val="20"/>
              </w:rPr>
            </w:pPr>
            <w:r w:rsidRPr="006A4B12">
              <w:rPr>
                <w:rFonts w:ascii="Times New Roman" w:hAnsi="Times New Roman" w:cs="Times New Roman"/>
                <w:b/>
                <w:sz w:val="16"/>
                <w:szCs w:val="20"/>
              </w:rPr>
              <w:t>Search syntax</w:t>
            </w:r>
          </w:p>
        </w:tc>
        <w:tc>
          <w:tcPr>
            <w:tcW w:w="1275" w:type="dxa"/>
            <w:tcBorders>
              <w:top w:val="single" w:sz="12" w:space="0" w:color="auto"/>
              <w:left w:val="nil"/>
              <w:bottom w:val="nil"/>
              <w:right w:val="nil"/>
            </w:tcBorders>
            <w:shd w:val="clear" w:color="auto" w:fill="D9D9D9" w:themeFill="background1" w:themeFillShade="D9"/>
            <w:vAlign w:val="center"/>
          </w:tcPr>
          <w:p w:rsidR="00C73BC8" w:rsidRPr="006A4B12" w:rsidRDefault="00C73BC8" w:rsidP="001301A1">
            <w:pPr>
              <w:rPr>
                <w:rFonts w:ascii="Times New Roman" w:hAnsi="Times New Roman" w:cs="Times New Roman"/>
                <w:b/>
                <w:sz w:val="16"/>
                <w:szCs w:val="20"/>
              </w:rPr>
            </w:pPr>
          </w:p>
        </w:tc>
        <w:tc>
          <w:tcPr>
            <w:tcW w:w="1525" w:type="dxa"/>
            <w:tcBorders>
              <w:top w:val="single" w:sz="12" w:space="0" w:color="auto"/>
              <w:left w:val="nil"/>
              <w:bottom w:val="nil"/>
              <w:right w:val="nil"/>
            </w:tcBorders>
            <w:shd w:val="clear" w:color="auto" w:fill="D9D9D9" w:themeFill="background1" w:themeFillShade="D9"/>
          </w:tcPr>
          <w:p w:rsidR="00C73BC8" w:rsidRPr="006A4B12" w:rsidRDefault="00C73BC8" w:rsidP="001301A1">
            <w:pPr>
              <w:rPr>
                <w:rFonts w:ascii="Times New Roman" w:hAnsi="Times New Roman" w:cs="Times New Roman"/>
                <w:b/>
                <w:sz w:val="16"/>
                <w:szCs w:val="20"/>
              </w:rPr>
            </w:pPr>
          </w:p>
        </w:tc>
        <w:tc>
          <w:tcPr>
            <w:tcW w:w="1701" w:type="dxa"/>
            <w:tcBorders>
              <w:top w:val="single" w:sz="12" w:space="0" w:color="auto"/>
              <w:left w:val="nil"/>
              <w:bottom w:val="nil"/>
              <w:right w:val="nil"/>
            </w:tcBorders>
            <w:shd w:val="clear" w:color="auto" w:fill="D9D9D9" w:themeFill="background1" w:themeFillShade="D9"/>
            <w:vAlign w:val="center"/>
          </w:tcPr>
          <w:p w:rsidR="00C73BC8" w:rsidRPr="006A4B12" w:rsidRDefault="00C73BC8" w:rsidP="001301A1">
            <w:pPr>
              <w:rPr>
                <w:rFonts w:ascii="Times New Roman" w:hAnsi="Times New Roman" w:cs="Times New Roman"/>
                <w:b/>
                <w:sz w:val="16"/>
                <w:szCs w:val="20"/>
              </w:rPr>
            </w:pPr>
          </w:p>
        </w:tc>
        <w:tc>
          <w:tcPr>
            <w:tcW w:w="1559" w:type="dxa"/>
            <w:tcBorders>
              <w:top w:val="single" w:sz="12" w:space="0" w:color="auto"/>
              <w:left w:val="nil"/>
              <w:bottom w:val="nil"/>
              <w:right w:val="nil"/>
            </w:tcBorders>
            <w:shd w:val="clear" w:color="auto" w:fill="D9D9D9" w:themeFill="background1" w:themeFillShade="D9"/>
            <w:vAlign w:val="center"/>
          </w:tcPr>
          <w:p w:rsidR="00C73BC8" w:rsidRPr="006A4B12" w:rsidRDefault="00C73BC8" w:rsidP="001301A1">
            <w:pPr>
              <w:rPr>
                <w:rFonts w:ascii="Times New Roman" w:hAnsi="Times New Roman" w:cs="Times New Roman"/>
                <w:b/>
                <w:sz w:val="16"/>
                <w:szCs w:val="20"/>
              </w:rPr>
            </w:pPr>
          </w:p>
        </w:tc>
        <w:tc>
          <w:tcPr>
            <w:tcW w:w="1559" w:type="dxa"/>
            <w:tcBorders>
              <w:top w:val="single" w:sz="12" w:space="0" w:color="auto"/>
              <w:left w:val="nil"/>
              <w:bottom w:val="nil"/>
              <w:right w:val="nil"/>
            </w:tcBorders>
            <w:shd w:val="clear" w:color="auto" w:fill="D9D9D9" w:themeFill="background1" w:themeFillShade="D9"/>
          </w:tcPr>
          <w:p w:rsidR="00C73BC8" w:rsidRPr="006A4B12" w:rsidRDefault="00C73BC8" w:rsidP="001301A1">
            <w:pPr>
              <w:rPr>
                <w:rFonts w:ascii="Times New Roman" w:hAnsi="Times New Roman" w:cs="Times New Roman"/>
                <w:b/>
                <w:sz w:val="16"/>
                <w:szCs w:val="20"/>
              </w:rPr>
            </w:pPr>
          </w:p>
        </w:tc>
        <w:tc>
          <w:tcPr>
            <w:tcW w:w="426" w:type="dxa"/>
            <w:tcBorders>
              <w:top w:val="single" w:sz="12" w:space="0" w:color="auto"/>
              <w:left w:val="nil"/>
              <w:bottom w:val="nil"/>
              <w:right w:val="single" w:sz="12" w:space="0" w:color="auto"/>
            </w:tcBorders>
            <w:shd w:val="clear" w:color="auto" w:fill="D9D9D9" w:themeFill="background1" w:themeFillShade="D9"/>
          </w:tcPr>
          <w:p w:rsidR="00C73BC8" w:rsidRPr="006A4B12" w:rsidRDefault="00C73BC8" w:rsidP="001301A1">
            <w:pPr>
              <w:rPr>
                <w:rFonts w:ascii="Times New Roman" w:hAnsi="Times New Roman" w:cs="Times New Roman"/>
                <w:b/>
                <w:sz w:val="16"/>
                <w:szCs w:val="20"/>
              </w:rPr>
            </w:pPr>
          </w:p>
        </w:tc>
      </w:tr>
      <w:tr w:rsidR="00C73BC8" w:rsidRPr="006A4B12" w:rsidTr="001301A1">
        <w:trPr>
          <w:trHeight w:val="927"/>
        </w:trPr>
        <w:tc>
          <w:tcPr>
            <w:tcW w:w="1419" w:type="dxa"/>
            <w:tcBorders>
              <w:top w:val="single" w:sz="12" w:space="0" w:color="auto"/>
              <w:left w:val="single" w:sz="12" w:space="0" w:color="auto"/>
              <w:bottom w:val="dotted" w:sz="4" w:space="0" w:color="auto"/>
              <w:right w:val="nil"/>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EMBASE</w:t>
            </w:r>
          </w:p>
        </w:tc>
        <w:tc>
          <w:tcPr>
            <w:tcW w:w="11447" w:type="dxa"/>
            <w:gridSpan w:val="7"/>
            <w:tcBorders>
              <w:top w:val="single" w:sz="12" w:space="0" w:color="auto"/>
              <w:left w:val="nil"/>
              <w:bottom w:val="dotted" w:sz="4" w:space="0" w:color="auto"/>
              <w:right w:val="single" w:sz="12" w:space="0" w:color="auto"/>
            </w:tcBorders>
            <w:shd w:val="clear" w:color="auto" w:fill="auto"/>
            <w:vAlign w:val="center"/>
          </w:tcPr>
          <w:p w:rsidR="00C73BC8" w:rsidRPr="006A4B12" w:rsidRDefault="00C73BC8" w:rsidP="001301A1">
            <w:pPr>
              <w:rPr>
                <w:rFonts w:ascii="Times New Roman" w:hAnsi="Times New Roman" w:cs="Times New Roman"/>
                <w:sz w:val="16"/>
              </w:rPr>
            </w:pPr>
          </w:p>
          <w:p w:rsidR="00C73BC8" w:rsidRPr="006A4B12" w:rsidRDefault="00C73BC8" w:rsidP="001301A1">
            <w:pPr>
              <w:rPr>
                <w:rFonts w:ascii="Times New Roman" w:hAnsi="Times New Roman" w:cs="Times New Roman"/>
                <w:sz w:val="16"/>
              </w:rPr>
            </w:pPr>
            <w:r w:rsidRPr="006A4B12">
              <w:rPr>
                <w:rFonts w:ascii="Times New Roman" w:hAnsi="Times New Roman" w:cs="Times New Roman"/>
                <w:sz w:val="16"/>
              </w:rPr>
              <w:t>('elevated blood pressure'/</w:t>
            </w:r>
            <w:proofErr w:type="spellStart"/>
            <w:r w:rsidRPr="006A4B12">
              <w:rPr>
                <w:rFonts w:ascii="Times New Roman" w:hAnsi="Times New Roman" w:cs="Times New Roman"/>
                <w:sz w:val="16"/>
              </w:rPr>
              <w:t>exp</w:t>
            </w:r>
            <w:proofErr w:type="spellEnd"/>
            <w:r w:rsidRPr="006A4B12">
              <w:rPr>
                <w:rFonts w:ascii="Times New Roman" w:hAnsi="Times New Roman" w:cs="Times New Roman"/>
                <w:sz w:val="16"/>
              </w:rPr>
              <w:t xml:space="preserve"> OR (</w:t>
            </w:r>
            <w:proofErr w:type="spellStart"/>
            <w:r w:rsidRPr="006A4B12">
              <w:rPr>
                <w:rFonts w:ascii="Times New Roman" w:hAnsi="Times New Roman" w:cs="Times New Roman"/>
                <w:sz w:val="16"/>
              </w:rPr>
              <w:t>hypertensi</w:t>
            </w:r>
            <w:proofErr w:type="spellEnd"/>
            <w:r w:rsidRPr="006A4B12">
              <w:rPr>
                <w:rFonts w:ascii="Times New Roman" w:hAnsi="Times New Roman" w:cs="Times New Roman"/>
                <w:sz w:val="16"/>
              </w:rPr>
              <w:t xml:space="preserve">* OR </w:t>
            </w:r>
            <w:proofErr w:type="spellStart"/>
            <w:r w:rsidRPr="006A4B12">
              <w:rPr>
                <w:rFonts w:ascii="Times New Roman" w:hAnsi="Times New Roman" w:cs="Times New Roman"/>
                <w:sz w:val="16"/>
              </w:rPr>
              <w:t>prehypertensi</w:t>
            </w:r>
            <w:proofErr w:type="spellEnd"/>
            <w:r w:rsidRPr="006A4B12">
              <w:rPr>
                <w:rFonts w:ascii="Times New Roman" w:hAnsi="Times New Roman" w:cs="Times New Roman"/>
                <w:sz w:val="16"/>
              </w:rPr>
              <w:t xml:space="preserve">* OR ((high OR elevated OR increased) NEAR/6 ('blood pressure' OR 'blood pressures' OR </w:t>
            </w:r>
            <w:proofErr w:type="spellStart"/>
            <w:r w:rsidRPr="006A4B12">
              <w:rPr>
                <w:rFonts w:ascii="Times New Roman" w:hAnsi="Times New Roman" w:cs="Times New Roman"/>
                <w:sz w:val="16"/>
              </w:rPr>
              <w:t>bloodpressure</w:t>
            </w:r>
            <w:proofErr w:type="spellEnd"/>
            <w:r w:rsidRPr="006A4B12">
              <w:rPr>
                <w:rFonts w:ascii="Times New Roman" w:hAnsi="Times New Roman" w:cs="Times New Roman"/>
                <w:sz w:val="16"/>
              </w:rPr>
              <w:t>))):</w:t>
            </w:r>
            <w:proofErr w:type="spellStart"/>
            <w:r w:rsidRPr="006A4B12">
              <w:rPr>
                <w:rFonts w:ascii="Times New Roman" w:hAnsi="Times New Roman" w:cs="Times New Roman"/>
                <w:sz w:val="16"/>
              </w:rPr>
              <w:t>ab,ti</w:t>
            </w:r>
            <w:proofErr w:type="spellEnd"/>
            <w:r w:rsidRPr="006A4B12">
              <w:rPr>
                <w:rFonts w:ascii="Times New Roman" w:hAnsi="Times New Roman" w:cs="Times New Roman"/>
                <w:sz w:val="16"/>
              </w:rPr>
              <w:t>) AND ('prediction and forecasting'/</w:t>
            </w:r>
            <w:proofErr w:type="spellStart"/>
            <w:r w:rsidRPr="006A4B12">
              <w:rPr>
                <w:rFonts w:ascii="Times New Roman" w:hAnsi="Times New Roman" w:cs="Times New Roman"/>
                <w:sz w:val="16"/>
              </w:rPr>
              <w:t>exp</w:t>
            </w:r>
            <w:proofErr w:type="spellEnd"/>
            <w:r w:rsidRPr="006A4B12">
              <w:rPr>
                <w:rFonts w:ascii="Times New Roman" w:hAnsi="Times New Roman" w:cs="Times New Roman"/>
                <w:sz w:val="16"/>
              </w:rPr>
              <w:t xml:space="preserve"> OR 'algorithm'/</w:t>
            </w:r>
            <w:proofErr w:type="spellStart"/>
            <w:r w:rsidRPr="006A4B12">
              <w:rPr>
                <w:rFonts w:ascii="Times New Roman" w:hAnsi="Times New Roman" w:cs="Times New Roman"/>
                <w:sz w:val="16"/>
              </w:rPr>
              <w:t>exp</w:t>
            </w:r>
            <w:proofErr w:type="spellEnd"/>
            <w:r w:rsidRPr="006A4B12">
              <w:rPr>
                <w:rFonts w:ascii="Times New Roman" w:hAnsi="Times New Roman" w:cs="Times New Roman"/>
                <w:sz w:val="16"/>
              </w:rPr>
              <w:t xml:space="preserve"> OR 'validation study'/de OR 'risk assessment'/de OR (predict* OR </w:t>
            </w:r>
            <w:proofErr w:type="spellStart"/>
            <w:r w:rsidRPr="006A4B12">
              <w:rPr>
                <w:rFonts w:ascii="Times New Roman" w:hAnsi="Times New Roman" w:cs="Times New Roman"/>
                <w:sz w:val="16"/>
              </w:rPr>
              <w:t>prognos</w:t>
            </w:r>
            <w:proofErr w:type="spellEnd"/>
            <w:r w:rsidRPr="006A4B12">
              <w:rPr>
                <w:rFonts w:ascii="Times New Roman" w:hAnsi="Times New Roman" w:cs="Times New Roman"/>
                <w:sz w:val="16"/>
              </w:rPr>
              <w:t xml:space="preserve">* OR </w:t>
            </w:r>
            <w:proofErr w:type="spellStart"/>
            <w:r w:rsidRPr="006A4B12">
              <w:rPr>
                <w:rFonts w:ascii="Times New Roman" w:hAnsi="Times New Roman" w:cs="Times New Roman"/>
                <w:sz w:val="16"/>
              </w:rPr>
              <w:t>validat</w:t>
            </w:r>
            <w:proofErr w:type="spellEnd"/>
            <w:r w:rsidRPr="006A4B12">
              <w:rPr>
                <w:rFonts w:ascii="Times New Roman" w:hAnsi="Times New Roman" w:cs="Times New Roman"/>
                <w:sz w:val="16"/>
              </w:rPr>
              <w:t xml:space="preserve">* OR 'ROC curve' OR 'Receiver Operating Characteristic' OR algorithm* OR </w:t>
            </w:r>
            <w:proofErr w:type="spellStart"/>
            <w:r w:rsidRPr="006A4B12">
              <w:rPr>
                <w:rFonts w:ascii="Times New Roman" w:hAnsi="Times New Roman" w:cs="Times New Roman"/>
                <w:sz w:val="16"/>
              </w:rPr>
              <w:t>probabilit</w:t>
            </w:r>
            <w:proofErr w:type="spellEnd"/>
            <w:r w:rsidRPr="006A4B12">
              <w:rPr>
                <w:rFonts w:ascii="Times New Roman" w:hAnsi="Times New Roman" w:cs="Times New Roman"/>
                <w:sz w:val="16"/>
              </w:rPr>
              <w:t>* OR C-index OR C-indices OR ((risk*) NEAR/6 (</w:t>
            </w:r>
            <w:proofErr w:type="spellStart"/>
            <w:r w:rsidRPr="006A4B12">
              <w:rPr>
                <w:rFonts w:ascii="Times New Roman" w:hAnsi="Times New Roman" w:cs="Times New Roman"/>
                <w:sz w:val="16"/>
              </w:rPr>
              <w:t>estimat</w:t>
            </w:r>
            <w:proofErr w:type="spellEnd"/>
            <w:r w:rsidRPr="006A4B12">
              <w:rPr>
                <w:rFonts w:ascii="Times New Roman" w:hAnsi="Times New Roman" w:cs="Times New Roman"/>
                <w:sz w:val="16"/>
              </w:rPr>
              <w:t xml:space="preserve">* OR model* OR score* OR </w:t>
            </w:r>
            <w:proofErr w:type="spellStart"/>
            <w:r w:rsidRPr="006A4B12">
              <w:rPr>
                <w:rFonts w:ascii="Times New Roman" w:hAnsi="Times New Roman" w:cs="Times New Roman"/>
                <w:sz w:val="16"/>
              </w:rPr>
              <w:t>profil</w:t>
            </w:r>
            <w:proofErr w:type="spellEnd"/>
            <w:r w:rsidRPr="006A4B12">
              <w:rPr>
                <w:rFonts w:ascii="Times New Roman" w:hAnsi="Times New Roman" w:cs="Times New Roman"/>
                <w:sz w:val="16"/>
              </w:rPr>
              <w:t xml:space="preserve">* OR index OR indices OR instrument* OR tool OR </w:t>
            </w:r>
            <w:proofErr w:type="spellStart"/>
            <w:r w:rsidRPr="006A4B12">
              <w:rPr>
                <w:rFonts w:ascii="Times New Roman" w:hAnsi="Times New Roman" w:cs="Times New Roman"/>
                <w:sz w:val="16"/>
              </w:rPr>
              <w:t>stratif</w:t>
            </w:r>
            <w:proofErr w:type="spellEnd"/>
            <w:r w:rsidRPr="006A4B12">
              <w:rPr>
                <w:rFonts w:ascii="Times New Roman" w:hAnsi="Times New Roman" w:cs="Times New Roman"/>
                <w:sz w:val="16"/>
              </w:rPr>
              <w:t xml:space="preserve">* OR test* OR </w:t>
            </w:r>
            <w:proofErr w:type="spellStart"/>
            <w:r w:rsidRPr="006A4B12">
              <w:rPr>
                <w:rFonts w:ascii="Times New Roman" w:hAnsi="Times New Roman" w:cs="Times New Roman"/>
                <w:sz w:val="16"/>
              </w:rPr>
              <w:t>classif</w:t>
            </w:r>
            <w:proofErr w:type="spellEnd"/>
            <w:r w:rsidRPr="006A4B12">
              <w:rPr>
                <w:rFonts w:ascii="Times New Roman" w:hAnsi="Times New Roman" w:cs="Times New Roman"/>
                <w:sz w:val="16"/>
              </w:rPr>
              <w:t xml:space="preserve">* OR assessment* OR assessor* OR chart* OR equation* OR appraisal OR calculator* OR engine* OR table* OR </w:t>
            </w:r>
            <w:proofErr w:type="spellStart"/>
            <w:r w:rsidRPr="006A4B12">
              <w:rPr>
                <w:rFonts w:ascii="Times New Roman" w:hAnsi="Times New Roman" w:cs="Times New Roman"/>
                <w:sz w:val="16"/>
              </w:rPr>
              <w:t>treshold</w:t>
            </w:r>
            <w:proofErr w:type="spellEnd"/>
            <w:r w:rsidRPr="006A4B12">
              <w:rPr>
                <w:rFonts w:ascii="Times New Roman" w:hAnsi="Times New Roman" w:cs="Times New Roman"/>
                <w:sz w:val="16"/>
              </w:rPr>
              <w:t xml:space="preserve">* OR discrimination OR </w:t>
            </w:r>
            <w:proofErr w:type="spellStart"/>
            <w:r w:rsidRPr="006A4B12">
              <w:rPr>
                <w:rFonts w:ascii="Times New Roman" w:hAnsi="Times New Roman" w:cs="Times New Roman"/>
                <w:sz w:val="16"/>
              </w:rPr>
              <w:t>scor</w:t>
            </w:r>
            <w:proofErr w:type="spellEnd"/>
            <w:r w:rsidRPr="006A4B12">
              <w:rPr>
                <w:rFonts w:ascii="Times New Roman" w:hAnsi="Times New Roman" w:cs="Times New Roman"/>
                <w:sz w:val="16"/>
              </w:rPr>
              <w:t>* OR function*)) OR ((scoring) NEAR/3 (system*))):</w:t>
            </w:r>
            <w:proofErr w:type="spellStart"/>
            <w:r w:rsidRPr="006A4B12">
              <w:rPr>
                <w:rFonts w:ascii="Times New Roman" w:hAnsi="Times New Roman" w:cs="Times New Roman"/>
                <w:sz w:val="16"/>
              </w:rPr>
              <w:t>ab,ti</w:t>
            </w:r>
            <w:proofErr w:type="spellEnd"/>
            <w:r w:rsidRPr="006A4B12">
              <w:rPr>
                <w:rFonts w:ascii="Times New Roman" w:hAnsi="Times New Roman" w:cs="Times New Roman"/>
                <w:sz w:val="16"/>
              </w:rPr>
              <w:t>) AND ('childhood'/</w:t>
            </w:r>
            <w:proofErr w:type="spellStart"/>
            <w:r w:rsidRPr="006A4B12">
              <w:rPr>
                <w:rFonts w:ascii="Times New Roman" w:hAnsi="Times New Roman" w:cs="Times New Roman"/>
                <w:sz w:val="16"/>
              </w:rPr>
              <w:t>exp</w:t>
            </w:r>
            <w:proofErr w:type="spellEnd"/>
            <w:r w:rsidRPr="006A4B12">
              <w:rPr>
                <w:rFonts w:ascii="Times New Roman" w:hAnsi="Times New Roman" w:cs="Times New Roman"/>
                <w:sz w:val="16"/>
              </w:rPr>
              <w:t xml:space="preserve"> OR 'adolescence'/</w:t>
            </w:r>
            <w:proofErr w:type="spellStart"/>
            <w:r w:rsidRPr="006A4B12">
              <w:rPr>
                <w:rFonts w:ascii="Times New Roman" w:hAnsi="Times New Roman" w:cs="Times New Roman"/>
                <w:sz w:val="16"/>
              </w:rPr>
              <w:t>exp</w:t>
            </w:r>
            <w:proofErr w:type="spellEnd"/>
            <w:r w:rsidRPr="006A4B12">
              <w:rPr>
                <w:rFonts w:ascii="Times New Roman" w:hAnsi="Times New Roman" w:cs="Times New Roman"/>
                <w:sz w:val="16"/>
              </w:rPr>
              <w:t xml:space="preserve"> OR child/</w:t>
            </w:r>
            <w:proofErr w:type="spellStart"/>
            <w:r w:rsidRPr="006A4B12">
              <w:rPr>
                <w:rFonts w:ascii="Times New Roman" w:hAnsi="Times New Roman" w:cs="Times New Roman"/>
                <w:sz w:val="16"/>
              </w:rPr>
              <w:t>exp</w:t>
            </w:r>
            <w:proofErr w:type="spellEnd"/>
            <w:r w:rsidRPr="006A4B12">
              <w:rPr>
                <w:rFonts w:ascii="Times New Roman" w:hAnsi="Times New Roman" w:cs="Times New Roman"/>
                <w:sz w:val="16"/>
              </w:rPr>
              <w:t xml:space="preserve"> OR adolescent/</w:t>
            </w:r>
            <w:proofErr w:type="spellStart"/>
            <w:r w:rsidRPr="006A4B12">
              <w:rPr>
                <w:rFonts w:ascii="Times New Roman" w:hAnsi="Times New Roman" w:cs="Times New Roman"/>
                <w:sz w:val="16"/>
              </w:rPr>
              <w:t>exp</w:t>
            </w:r>
            <w:proofErr w:type="spellEnd"/>
            <w:r w:rsidRPr="006A4B12">
              <w:rPr>
                <w:rFonts w:ascii="Times New Roman" w:hAnsi="Times New Roman" w:cs="Times New Roman"/>
                <w:sz w:val="16"/>
              </w:rPr>
              <w:t xml:space="preserve"> OR (child* OR infant* OR newborn* OR </w:t>
            </w:r>
            <w:proofErr w:type="spellStart"/>
            <w:r w:rsidRPr="006A4B12">
              <w:rPr>
                <w:rFonts w:ascii="Times New Roman" w:hAnsi="Times New Roman" w:cs="Times New Roman"/>
                <w:sz w:val="16"/>
              </w:rPr>
              <w:t>neonat</w:t>
            </w:r>
            <w:proofErr w:type="spellEnd"/>
            <w:r w:rsidRPr="006A4B12">
              <w:rPr>
                <w:rFonts w:ascii="Times New Roman" w:hAnsi="Times New Roman" w:cs="Times New Roman"/>
                <w:sz w:val="16"/>
              </w:rPr>
              <w:t xml:space="preserve">* OR toddler* OR baby OR babies OR kid OR kids OR </w:t>
            </w:r>
            <w:proofErr w:type="spellStart"/>
            <w:r w:rsidRPr="006A4B12">
              <w:rPr>
                <w:rFonts w:ascii="Times New Roman" w:hAnsi="Times New Roman" w:cs="Times New Roman"/>
                <w:sz w:val="16"/>
              </w:rPr>
              <w:t>adolescen</w:t>
            </w:r>
            <w:proofErr w:type="spellEnd"/>
            <w:r w:rsidRPr="006A4B12">
              <w:rPr>
                <w:rFonts w:ascii="Times New Roman" w:hAnsi="Times New Roman" w:cs="Times New Roman"/>
                <w:sz w:val="16"/>
              </w:rPr>
              <w:t>* OR teenage* OR boy* OR girl* OR ((new*) NEXT/1 (born*)) OR ((earl* OR young*) NEXT/1 (age*))):</w:t>
            </w:r>
            <w:proofErr w:type="spellStart"/>
            <w:r w:rsidRPr="006A4B12">
              <w:rPr>
                <w:rFonts w:ascii="Times New Roman" w:hAnsi="Times New Roman" w:cs="Times New Roman"/>
                <w:sz w:val="16"/>
              </w:rPr>
              <w:t>ab,ti</w:t>
            </w:r>
            <w:proofErr w:type="spellEnd"/>
            <w:r w:rsidRPr="006A4B12">
              <w:rPr>
                <w:rFonts w:ascii="Times New Roman" w:hAnsi="Times New Roman" w:cs="Times New Roman"/>
                <w:sz w:val="16"/>
              </w:rPr>
              <w:t>) AND [</w:t>
            </w:r>
            <w:proofErr w:type="spellStart"/>
            <w:r w:rsidRPr="006A4B12">
              <w:rPr>
                <w:rFonts w:ascii="Times New Roman" w:hAnsi="Times New Roman" w:cs="Times New Roman"/>
                <w:sz w:val="16"/>
              </w:rPr>
              <w:t>english</w:t>
            </w:r>
            <w:proofErr w:type="spellEnd"/>
            <w:r w:rsidRPr="006A4B12">
              <w:rPr>
                <w:rFonts w:ascii="Times New Roman" w:hAnsi="Times New Roman" w:cs="Times New Roman"/>
                <w:sz w:val="16"/>
              </w:rPr>
              <w:t>]/</w:t>
            </w:r>
            <w:proofErr w:type="spellStart"/>
            <w:r w:rsidRPr="006A4B12">
              <w:rPr>
                <w:rFonts w:ascii="Times New Roman" w:hAnsi="Times New Roman" w:cs="Times New Roman"/>
                <w:sz w:val="16"/>
              </w:rPr>
              <w:t>lim</w:t>
            </w:r>
            <w:proofErr w:type="spellEnd"/>
            <w:r w:rsidRPr="006A4B12">
              <w:rPr>
                <w:rFonts w:ascii="Times New Roman" w:hAnsi="Times New Roman" w:cs="Times New Roman"/>
                <w:sz w:val="16"/>
              </w:rPr>
              <w:t xml:space="preserve"> NOT ([Conference Abstract]/</w:t>
            </w:r>
            <w:proofErr w:type="spellStart"/>
            <w:r w:rsidRPr="006A4B12">
              <w:rPr>
                <w:rFonts w:ascii="Times New Roman" w:hAnsi="Times New Roman" w:cs="Times New Roman"/>
                <w:sz w:val="16"/>
              </w:rPr>
              <w:t>lim</w:t>
            </w:r>
            <w:proofErr w:type="spellEnd"/>
            <w:r w:rsidRPr="006A4B12">
              <w:rPr>
                <w:rFonts w:ascii="Times New Roman" w:hAnsi="Times New Roman" w:cs="Times New Roman"/>
                <w:sz w:val="16"/>
              </w:rPr>
              <w:t xml:space="preserve"> OR [Letter]/</w:t>
            </w:r>
            <w:proofErr w:type="spellStart"/>
            <w:r w:rsidRPr="006A4B12">
              <w:rPr>
                <w:rFonts w:ascii="Times New Roman" w:hAnsi="Times New Roman" w:cs="Times New Roman"/>
                <w:sz w:val="16"/>
              </w:rPr>
              <w:t>lim</w:t>
            </w:r>
            <w:proofErr w:type="spellEnd"/>
            <w:r w:rsidRPr="006A4B12">
              <w:rPr>
                <w:rFonts w:ascii="Times New Roman" w:hAnsi="Times New Roman" w:cs="Times New Roman"/>
                <w:sz w:val="16"/>
              </w:rPr>
              <w:t xml:space="preserve"> OR [Note]/</w:t>
            </w:r>
            <w:proofErr w:type="spellStart"/>
            <w:r w:rsidRPr="006A4B12">
              <w:rPr>
                <w:rFonts w:ascii="Times New Roman" w:hAnsi="Times New Roman" w:cs="Times New Roman"/>
                <w:sz w:val="16"/>
              </w:rPr>
              <w:t>lim</w:t>
            </w:r>
            <w:proofErr w:type="spellEnd"/>
            <w:r w:rsidRPr="006A4B12">
              <w:rPr>
                <w:rFonts w:ascii="Times New Roman" w:hAnsi="Times New Roman" w:cs="Times New Roman"/>
                <w:sz w:val="16"/>
              </w:rPr>
              <w:t xml:space="preserve"> OR [Editorial]/</w:t>
            </w:r>
            <w:proofErr w:type="spellStart"/>
            <w:r w:rsidRPr="006A4B12">
              <w:rPr>
                <w:rFonts w:ascii="Times New Roman" w:hAnsi="Times New Roman" w:cs="Times New Roman"/>
                <w:sz w:val="16"/>
              </w:rPr>
              <w:t>lim</w:t>
            </w:r>
            <w:proofErr w:type="spellEnd"/>
            <w:r w:rsidRPr="006A4B12">
              <w:rPr>
                <w:rFonts w:ascii="Times New Roman" w:hAnsi="Times New Roman" w:cs="Times New Roman"/>
                <w:sz w:val="16"/>
              </w:rPr>
              <w:t xml:space="preserve"> OR review/</w:t>
            </w:r>
            <w:proofErr w:type="spellStart"/>
            <w:r w:rsidRPr="006A4B12">
              <w:rPr>
                <w:rFonts w:ascii="Times New Roman" w:hAnsi="Times New Roman" w:cs="Times New Roman"/>
                <w:sz w:val="16"/>
              </w:rPr>
              <w:t>exp</w:t>
            </w:r>
            <w:proofErr w:type="spellEnd"/>
            <w:r w:rsidRPr="006A4B12">
              <w:rPr>
                <w:rFonts w:ascii="Times New Roman" w:hAnsi="Times New Roman" w:cs="Times New Roman"/>
                <w:sz w:val="16"/>
              </w:rPr>
              <w:t xml:space="preserve"> OR 'case report'/de OR 'case study'/de OR (review* OR case-report* OR case-</w:t>
            </w:r>
            <w:proofErr w:type="spellStart"/>
            <w:r w:rsidRPr="006A4B12">
              <w:rPr>
                <w:rFonts w:ascii="Times New Roman" w:hAnsi="Times New Roman" w:cs="Times New Roman"/>
                <w:sz w:val="16"/>
              </w:rPr>
              <w:t>serie</w:t>
            </w:r>
            <w:proofErr w:type="spellEnd"/>
            <w:r w:rsidRPr="006A4B12">
              <w:rPr>
                <w:rFonts w:ascii="Times New Roman" w:hAnsi="Times New Roman" w:cs="Times New Roman"/>
                <w:sz w:val="16"/>
              </w:rPr>
              <w:t>* OR case-stud*):</w:t>
            </w:r>
            <w:proofErr w:type="spellStart"/>
            <w:r w:rsidRPr="006A4B12">
              <w:rPr>
                <w:rFonts w:ascii="Times New Roman" w:hAnsi="Times New Roman" w:cs="Times New Roman"/>
                <w:sz w:val="16"/>
              </w:rPr>
              <w:t>ti</w:t>
            </w:r>
            <w:proofErr w:type="spellEnd"/>
            <w:r w:rsidRPr="006A4B12">
              <w:rPr>
                <w:rFonts w:ascii="Times New Roman" w:hAnsi="Times New Roman" w:cs="Times New Roman"/>
                <w:sz w:val="16"/>
              </w:rPr>
              <w:t>) NOT ('pulmonary hypertension'/</w:t>
            </w:r>
            <w:proofErr w:type="spellStart"/>
            <w:r w:rsidRPr="006A4B12">
              <w:rPr>
                <w:rFonts w:ascii="Times New Roman" w:hAnsi="Times New Roman" w:cs="Times New Roman"/>
                <w:sz w:val="16"/>
              </w:rPr>
              <w:t>exp</w:t>
            </w:r>
            <w:proofErr w:type="spellEnd"/>
            <w:r w:rsidRPr="006A4B12">
              <w:rPr>
                <w:rFonts w:ascii="Times New Roman" w:hAnsi="Times New Roman" w:cs="Times New Roman"/>
                <w:sz w:val="16"/>
              </w:rPr>
              <w:t xml:space="preserve"> OR 'intracranial hypertension'/</w:t>
            </w:r>
            <w:proofErr w:type="spellStart"/>
            <w:r w:rsidRPr="006A4B12">
              <w:rPr>
                <w:rFonts w:ascii="Times New Roman" w:hAnsi="Times New Roman" w:cs="Times New Roman"/>
                <w:sz w:val="16"/>
              </w:rPr>
              <w:t>exp</w:t>
            </w:r>
            <w:proofErr w:type="spellEnd"/>
            <w:r w:rsidRPr="006A4B12">
              <w:rPr>
                <w:rFonts w:ascii="Times New Roman" w:hAnsi="Times New Roman" w:cs="Times New Roman"/>
                <w:sz w:val="16"/>
              </w:rPr>
              <w:t xml:space="preserve"> OR 'portal hypertension'/</w:t>
            </w:r>
            <w:proofErr w:type="spellStart"/>
            <w:r w:rsidRPr="006A4B12">
              <w:rPr>
                <w:rFonts w:ascii="Times New Roman" w:hAnsi="Times New Roman" w:cs="Times New Roman"/>
                <w:sz w:val="16"/>
              </w:rPr>
              <w:t>exp</w:t>
            </w:r>
            <w:proofErr w:type="spellEnd"/>
            <w:r w:rsidRPr="006A4B12">
              <w:rPr>
                <w:rFonts w:ascii="Times New Roman" w:hAnsi="Times New Roman" w:cs="Times New Roman"/>
                <w:sz w:val="16"/>
              </w:rPr>
              <w:t xml:space="preserve"> OR 'leukemia'/</w:t>
            </w:r>
            <w:proofErr w:type="spellStart"/>
            <w:r w:rsidRPr="006A4B12">
              <w:rPr>
                <w:rFonts w:ascii="Times New Roman" w:hAnsi="Times New Roman" w:cs="Times New Roman"/>
                <w:sz w:val="16"/>
              </w:rPr>
              <w:t>exp</w:t>
            </w:r>
            <w:proofErr w:type="spellEnd"/>
            <w:r w:rsidRPr="006A4B12">
              <w:rPr>
                <w:rFonts w:ascii="Times New Roman" w:hAnsi="Times New Roman" w:cs="Times New Roman"/>
                <w:sz w:val="16"/>
              </w:rPr>
              <w:t xml:space="preserve"> OR 'liver cell carcinoma'/</w:t>
            </w:r>
            <w:proofErr w:type="spellStart"/>
            <w:r w:rsidRPr="006A4B12">
              <w:rPr>
                <w:rFonts w:ascii="Times New Roman" w:hAnsi="Times New Roman" w:cs="Times New Roman"/>
                <w:sz w:val="16"/>
              </w:rPr>
              <w:t>exp</w:t>
            </w:r>
            <w:proofErr w:type="spellEnd"/>
            <w:r w:rsidRPr="006A4B12">
              <w:rPr>
                <w:rFonts w:ascii="Times New Roman" w:hAnsi="Times New Roman" w:cs="Times New Roman"/>
                <w:sz w:val="16"/>
              </w:rPr>
              <w:t xml:space="preserve"> OR (((</w:t>
            </w:r>
            <w:proofErr w:type="spellStart"/>
            <w:r w:rsidRPr="006A4B12">
              <w:rPr>
                <w:rFonts w:ascii="Times New Roman" w:hAnsi="Times New Roman" w:cs="Times New Roman"/>
                <w:sz w:val="16"/>
              </w:rPr>
              <w:t>pulmonar</w:t>
            </w:r>
            <w:proofErr w:type="spellEnd"/>
            <w:r w:rsidRPr="006A4B12">
              <w:rPr>
                <w:rFonts w:ascii="Times New Roman" w:hAnsi="Times New Roman" w:cs="Times New Roman"/>
                <w:sz w:val="16"/>
              </w:rPr>
              <w:t xml:space="preserve">* OR intracranial* OR portal) NEAR/3 </w:t>
            </w:r>
            <w:proofErr w:type="spellStart"/>
            <w:r w:rsidRPr="006A4B12">
              <w:rPr>
                <w:rFonts w:ascii="Times New Roman" w:hAnsi="Times New Roman" w:cs="Times New Roman"/>
                <w:sz w:val="16"/>
              </w:rPr>
              <w:t>hypertensi</w:t>
            </w:r>
            <w:proofErr w:type="spellEnd"/>
            <w:r w:rsidRPr="006A4B12">
              <w:rPr>
                <w:rFonts w:ascii="Times New Roman" w:hAnsi="Times New Roman" w:cs="Times New Roman"/>
                <w:sz w:val="16"/>
              </w:rPr>
              <w:t xml:space="preserve">*) OR </w:t>
            </w:r>
            <w:proofErr w:type="spellStart"/>
            <w:r w:rsidRPr="006A4B12">
              <w:rPr>
                <w:rFonts w:ascii="Times New Roman" w:hAnsi="Times New Roman" w:cs="Times New Roman"/>
                <w:sz w:val="16"/>
              </w:rPr>
              <w:t>leukemi</w:t>
            </w:r>
            <w:proofErr w:type="spellEnd"/>
            <w:r w:rsidRPr="006A4B12">
              <w:rPr>
                <w:rFonts w:ascii="Times New Roman" w:hAnsi="Times New Roman" w:cs="Times New Roman"/>
                <w:sz w:val="16"/>
              </w:rPr>
              <w:t xml:space="preserve">* OR </w:t>
            </w:r>
            <w:proofErr w:type="spellStart"/>
            <w:r w:rsidRPr="006A4B12">
              <w:rPr>
                <w:rFonts w:ascii="Times New Roman" w:hAnsi="Times New Roman" w:cs="Times New Roman"/>
                <w:sz w:val="16"/>
              </w:rPr>
              <w:t>leukaemi</w:t>
            </w:r>
            <w:proofErr w:type="spellEnd"/>
            <w:r w:rsidRPr="006A4B12">
              <w:rPr>
                <w:rFonts w:ascii="Times New Roman" w:hAnsi="Times New Roman" w:cs="Times New Roman"/>
                <w:sz w:val="16"/>
              </w:rPr>
              <w:t xml:space="preserve">* OR </w:t>
            </w:r>
            <w:proofErr w:type="spellStart"/>
            <w:r w:rsidRPr="006A4B12">
              <w:rPr>
                <w:rFonts w:ascii="Times New Roman" w:hAnsi="Times New Roman" w:cs="Times New Roman"/>
                <w:sz w:val="16"/>
              </w:rPr>
              <w:t>encephalopath</w:t>
            </w:r>
            <w:proofErr w:type="spellEnd"/>
            <w:r w:rsidRPr="006A4B12">
              <w:rPr>
                <w:rFonts w:ascii="Times New Roman" w:hAnsi="Times New Roman" w:cs="Times New Roman"/>
                <w:sz w:val="16"/>
              </w:rPr>
              <w:t xml:space="preserve">* OR ((liver-cell* OR </w:t>
            </w:r>
            <w:proofErr w:type="spellStart"/>
            <w:r w:rsidRPr="006A4B12">
              <w:rPr>
                <w:rFonts w:ascii="Times New Roman" w:hAnsi="Times New Roman" w:cs="Times New Roman"/>
                <w:sz w:val="16"/>
              </w:rPr>
              <w:t>Hepatocell</w:t>
            </w:r>
            <w:proofErr w:type="spellEnd"/>
            <w:r w:rsidRPr="006A4B12">
              <w:rPr>
                <w:rFonts w:ascii="Times New Roman" w:hAnsi="Times New Roman" w:cs="Times New Roman"/>
                <w:sz w:val="16"/>
              </w:rPr>
              <w:t>*) NEAR/3 carcinoma)):</w:t>
            </w:r>
            <w:proofErr w:type="spellStart"/>
            <w:r w:rsidRPr="006A4B12">
              <w:rPr>
                <w:rFonts w:ascii="Times New Roman" w:hAnsi="Times New Roman" w:cs="Times New Roman"/>
                <w:sz w:val="16"/>
              </w:rPr>
              <w:t>ab,ti</w:t>
            </w:r>
            <w:proofErr w:type="spellEnd"/>
            <w:r w:rsidRPr="006A4B12">
              <w:rPr>
                <w:rFonts w:ascii="Times New Roman" w:hAnsi="Times New Roman" w:cs="Times New Roman"/>
                <w:sz w:val="16"/>
              </w:rPr>
              <w:t>)</w:t>
            </w:r>
          </w:p>
          <w:p w:rsidR="00C73BC8" w:rsidRPr="006A4B12" w:rsidRDefault="00C73BC8" w:rsidP="001301A1">
            <w:pPr>
              <w:rPr>
                <w:rFonts w:ascii="Times New Roman" w:hAnsi="Times New Roman" w:cs="Times New Roman"/>
                <w:sz w:val="16"/>
              </w:rPr>
            </w:pPr>
          </w:p>
        </w:tc>
      </w:tr>
      <w:tr w:rsidR="00C73BC8" w:rsidRPr="006A4B12" w:rsidTr="001301A1">
        <w:trPr>
          <w:trHeight w:val="927"/>
        </w:trPr>
        <w:tc>
          <w:tcPr>
            <w:tcW w:w="1419" w:type="dxa"/>
            <w:tcBorders>
              <w:top w:val="dotted" w:sz="4" w:space="0" w:color="auto"/>
              <w:left w:val="single" w:sz="12" w:space="0" w:color="auto"/>
              <w:bottom w:val="single" w:sz="12" w:space="0" w:color="auto"/>
              <w:right w:val="nil"/>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MEDLINE</w:t>
            </w:r>
          </w:p>
        </w:tc>
        <w:tc>
          <w:tcPr>
            <w:tcW w:w="11447" w:type="dxa"/>
            <w:gridSpan w:val="7"/>
            <w:tcBorders>
              <w:top w:val="dotted" w:sz="4" w:space="0" w:color="auto"/>
              <w:left w:val="nil"/>
              <w:bottom w:val="single" w:sz="12" w:space="0" w:color="auto"/>
              <w:right w:val="single" w:sz="12" w:space="0" w:color="auto"/>
            </w:tcBorders>
            <w:shd w:val="clear" w:color="auto" w:fill="auto"/>
            <w:vAlign w:val="center"/>
          </w:tcPr>
          <w:p w:rsidR="00C73BC8" w:rsidRPr="006A4B12" w:rsidRDefault="00C73BC8" w:rsidP="001301A1">
            <w:pPr>
              <w:rPr>
                <w:rFonts w:ascii="Times New Roman" w:hAnsi="Times New Roman" w:cs="Times New Roman"/>
                <w:sz w:val="16"/>
              </w:rPr>
            </w:pPr>
          </w:p>
          <w:p w:rsidR="00C73BC8" w:rsidRPr="006A4B12" w:rsidRDefault="00C73BC8" w:rsidP="001301A1">
            <w:pPr>
              <w:rPr>
                <w:rFonts w:ascii="Times New Roman" w:hAnsi="Times New Roman" w:cs="Times New Roman"/>
                <w:sz w:val="16"/>
              </w:rPr>
            </w:pPr>
            <w:r w:rsidRPr="006A4B12">
              <w:rPr>
                <w:rFonts w:ascii="Times New Roman" w:hAnsi="Times New Roman" w:cs="Times New Roman"/>
                <w:sz w:val="16"/>
              </w:rPr>
              <w:t>(</w:t>
            </w:r>
            <w:proofErr w:type="spellStart"/>
            <w:r w:rsidRPr="006A4B12">
              <w:rPr>
                <w:rFonts w:ascii="Times New Roman" w:hAnsi="Times New Roman" w:cs="Times New Roman"/>
                <w:sz w:val="16"/>
              </w:rPr>
              <w:t>exp</w:t>
            </w:r>
            <w:proofErr w:type="spellEnd"/>
            <w:r w:rsidRPr="006A4B12">
              <w:rPr>
                <w:rFonts w:ascii="Times New Roman" w:hAnsi="Times New Roman" w:cs="Times New Roman"/>
                <w:sz w:val="16"/>
              </w:rPr>
              <w:t xml:space="preserve"> "hypertension"/ OR </w:t>
            </w:r>
            <w:proofErr w:type="spellStart"/>
            <w:r w:rsidRPr="006A4B12">
              <w:rPr>
                <w:rFonts w:ascii="Times New Roman" w:hAnsi="Times New Roman" w:cs="Times New Roman"/>
                <w:sz w:val="16"/>
              </w:rPr>
              <w:t>exp</w:t>
            </w:r>
            <w:proofErr w:type="spellEnd"/>
            <w:r w:rsidRPr="006A4B12">
              <w:rPr>
                <w:rFonts w:ascii="Times New Roman" w:hAnsi="Times New Roman" w:cs="Times New Roman"/>
                <w:sz w:val="16"/>
              </w:rPr>
              <w:t xml:space="preserve"> "prehypertension"/ OR (</w:t>
            </w:r>
            <w:proofErr w:type="spellStart"/>
            <w:r w:rsidRPr="006A4B12">
              <w:rPr>
                <w:rFonts w:ascii="Times New Roman" w:hAnsi="Times New Roman" w:cs="Times New Roman"/>
                <w:sz w:val="16"/>
              </w:rPr>
              <w:t>hypertensi</w:t>
            </w:r>
            <w:proofErr w:type="spellEnd"/>
            <w:r w:rsidRPr="006A4B12">
              <w:rPr>
                <w:rFonts w:ascii="Times New Roman" w:hAnsi="Times New Roman" w:cs="Times New Roman"/>
                <w:sz w:val="16"/>
              </w:rPr>
              <w:t xml:space="preserve">* OR </w:t>
            </w:r>
            <w:proofErr w:type="spellStart"/>
            <w:r w:rsidRPr="006A4B12">
              <w:rPr>
                <w:rFonts w:ascii="Times New Roman" w:hAnsi="Times New Roman" w:cs="Times New Roman"/>
                <w:sz w:val="16"/>
              </w:rPr>
              <w:t>prehypertensi</w:t>
            </w:r>
            <w:proofErr w:type="spellEnd"/>
            <w:r w:rsidRPr="006A4B12">
              <w:rPr>
                <w:rFonts w:ascii="Times New Roman" w:hAnsi="Times New Roman" w:cs="Times New Roman"/>
                <w:sz w:val="16"/>
              </w:rPr>
              <w:t xml:space="preserve">* OR ((high OR elevated OR increased) ADJ6 ("blood pressure" OR "blood pressures" OR </w:t>
            </w:r>
            <w:proofErr w:type="spellStart"/>
            <w:r w:rsidRPr="006A4B12">
              <w:rPr>
                <w:rFonts w:ascii="Times New Roman" w:hAnsi="Times New Roman" w:cs="Times New Roman"/>
                <w:sz w:val="16"/>
              </w:rPr>
              <w:t>bloodpressure</w:t>
            </w:r>
            <w:proofErr w:type="spellEnd"/>
            <w:r w:rsidRPr="006A4B12">
              <w:rPr>
                <w:rFonts w:ascii="Times New Roman" w:hAnsi="Times New Roman" w:cs="Times New Roman"/>
                <w:sz w:val="16"/>
              </w:rPr>
              <w:t>))).</w:t>
            </w:r>
            <w:proofErr w:type="spellStart"/>
            <w:r w:rsidRPr="006A4B12">
              <w:rPr>
                <w:rFonts w:ascii="Times New Roman" w:hAnsi="Times New Roman" w:cs="Times New Roman"/>
                <w:sz w:val="16"/>
              </w:rPr>
              <w:t>ab,ti,kf</w:t>
            </w:r>
            <w:proofErr w:type="spellEnd"/>
            <w:r w:rsidRPr="006A4B12">
              <w:rPr>
                <w:rFonts w:ascii="Times New Roman" w:hAnsi="Times New Roman" w:cs="Times New Roman"/>
                <w:sz w:val="16"/>
              </w:rPr>
              <w:t xml:space="preserve">.) AND ("prediction and forecasting"/ OR </w:t>
            </w:r>
            <w:proofErr w:type="spellStart"/>
            <w:r w:rsidRPr="006A4B12">
              <w:rPr>
                <w:rFonts w:ascii="Times New Roman" w:hAnsi="Times New Roman" w:cs="Times New Roman"/>
                <w:sz w:val="16"/>
              </w:rPr>
              <w:t>exp</w:t>
            </w:r>
            <w:proofErr w:type="spellEnd"/>
            <w:r w:rsidRPr="006A4B12">
              <w:rPr>
                <w:rFonts w:ascii="Times New Roman" w:hAnsi="Times New Roman" w:cs="Times New Roman"/>
                <w:sz w:val="16"/>
              </w:rPr>
              <w:t xml:space="preserve"> "sensitivity and specificity"/ OR </w:t>
            </w:r>
            <w:proofErr w:type="spellStart"/>
            <w:r w:rsidRPr="006A4B12">
              <w:rPr>
                <w:rFonts w:ascii="Times New Roman" w:hAnsi="Times New Roman" w:cs="Times New Roman"/>
                <w:sz w:val="16"/>
              </w:rPr>
              <w:t>exp</w:t>
            </w:r>
            <w:proofErr w:type="spellEnd"/>
            <w:r w:rsidRPr="006A4B12">
              <w:rPr>
                <w:rFonts w:ascii="Times New Roman" w:hAnsi="Times New Roman" w:cs="Times New Roman"/>
                <w:sz w:val="16"/>
              </w:rPr>
              <w:t xml:space="preserve"> "algorithms"/ OR "validation studies"/ OR "risk assessment"/ OR (predict* OR </w:t>
            </w:r>
            <w:proofErr w:type="spellStart"/>
            <w:r w:rsidRPr="006A4B12">
              <w:rPr>
                <w:rFonts w:ascii="Times New Roman" w:hAnsi="Times New Roman" w:cs="Times New Roman"/>
                <w:sz w:val="16"/>
              </w:rPr>
              <w:t>prognos</w:t>
            </w:r>
            <w:proofErr w:type="spellEnd"/>
            <w:r w:rsidRPr="006A4B12">
              <w:rPr>
                <w:rFonts w:ascii="Times New Roman" w:hAnsi="Times New Roman" w:cs="Times New Roman"/>
                <w:sz w:val="16"/>
              </w:rPr>
              <w:t xml:space="preserve">* OR </w:t>
            </w:r>
            <w:proofErr w:type="spellStart"/>
            <w:r w:rsidRPr="006A4B12">
              <w:rPr>
                <w:rFonts w:ascii="Times New Roman" w:hAnsi="Times New Roman" w:cs="Times New Roman"/>
                <w:sz w:val="16"/>
              </w:rPr>
              <w:t>validat</w:t>
            </w:r>
            <w:proofErr w:type="spellEnd"/>
            <w:r w:rsidRPr="006A4B12">
              <w:rPr>
                <w:rFonts w:ascii="Times New Roman" w:hAnsi="Times New Roman" w:cs="Times New Roman"/>
                <w:sz w:val="16"/>
              </w:rPr>
              <w:t xml:space="preserve">* OR "ROC curve" OR "Receiver Operating Characteristic" OR algorithm* OR </w:t>
            </w:r>
            <w:proofErr w:type="spellStart"/>
            <w:r w:rsidRPr="006A4B12">
              <w:rPr>
                <w:rFonts w:ascii="Times New Roman" w:hAnsi="Times New Roman" w:cs="Times New Roman"/>
                <w:sz w:val="16"/>
              </w:rPr>
              <w:t>probabilit</w:t>
            </w:r>
            <w:proofErr w:type="spellEnd"/>
            <w:r w:rsidRPr="006A4B12">
              <w:rPr>
                <w:rFonts w:ascii="Times New Roman" w:hAnsi="Times New Roman" w:cs="Times New Roman"/>
                <w:sz w:val="16"/>
              </w:rPr>
              <w:t>* OR C-index OR C-indices OR ((risk*) ADJ6 (</w:t>
            </w:r>
            <w:proofErr w:type="spellStart"/>
            <w:r w:rsidRPr="006A4B12">
              <w:rPr>
                <w:rFonts w:ascii="Times New Roman" w:hAnsi="Times New Roman" w:cs="Times New Roman"/>
                <w:sz w:val="16"/>
              </w:rPr>
              <w:t>estimat</w:t>
            </w:r>
            <w:proofErr w:type="spellEnd"/>
            <w:r w:rsidRPr="006A4B12">
              <w:rPr>
                <w:rFonts w:ascii="Times New Roman" w:hAnsi="Times New Roman" w:cs="Times New Roman"/>
                <w:sz w:val="16"/>
              </w:rPr>
              <w:t xml:space="preserve">* OR model* OR score* OR </w:t>
            </w:r>
            <w:proofErr w:type="spellStart"/>
            <w:r w:rsidRPr="006A4B12">
              <w:rPr>
                <w:rFonts w:ascii="Times New Roman" w:hAnsi="Times New Roman" w:cs="Times New Roman"/>
                <w:sz w:val="16"/>
              </w:rPr>
              <w:t>profil</w:t>
            </w:r>
            <w:proofErr w:type="spellEnd"/>
            <w:r w:rsidRPr="006A4B12">
              <w:rPr>
                <w:rFonts w:ascii="Times New Roman" w:hAnsi="Times New Roman" w:cs="Times New Roman"/>
                <w:sz w:val="16"/>
              </w:rPr>
              <w:t xml:space="preserve">* OR index OR indices OR instrument* OR tool OR </w:t>
            </w:r>
            <w:proofErr w:type="spellStart"/>
            <w:r w:rsidRPr="006A4B12">
              <w:rPr>
                <w:rFonts w:ascii="Times New Roman" w:hAnsi="Times New Roman" w:cs="Times New Roman"/>
                <w:sz w:val="16"/>
              </w:rPr>
              <w:t>stratif</w:t>
            </w:r>
            <w:proofErr w:type="spellEnd"/>
            <w:r w:rsidRPr="006A4B12">
              <w:rPr>
                <w:rFonts w:ascii="Times New Roman" w:hAnsi="Times New Roman" w:cs="Times New Roman"/>
                <w:sz w:val="16"/>
              </w:rPr>
              <w:t xml:space="preserve">* OR test* OR </w:t>
            </w:r>
            <w:proofErr w:type="spellStart"/>
            <w:r w:rsidRPr="006A4B12">
              <w:rPr>
                <w:rFonts w:ascii="Times New Roman" w:hAnsi="Times New Roman" w:cs="Times New Roman"/>
                <w:sz w:val="16"/>
              </w:rPr>
              <w:t>classif</w:t>
            </w:r>
            <w:proofErr w:type="spellEnd"/>
            <w:r w:rsidRPr="006A4B12">
              <w:rPr>
                <w:rFonts w:ascii="Times New Roman" w:hAnsi="Times New Roman" w:cs="Times New Roman"/>
                <w:sz w:val="16"/>
              </w:rPr>
              <w:t xml:space="preserve">* OR assessment* OR assessor* OR chart* OR equation* OR appraisal OR calculator* OR engine* OR table* OR </w:t>
            </w:r>
            <w:proofErr w:type="spellStart"/>
            <w:r w:rsidRPr="006A4B12">
              <w:rPr>
                <w:rFonts w:ascii="Times New Roman" w:hAnsi="Times New Roman" w:cs="Times New Roman"/>
                <w:sz w:val="16"/>
              </w:rPr>
              <w:t>treshold</w:t>
            </w:r>
            <w:proofErr w:type="spellEnd"/>
            <w:r w:rsidRPr="006A4B12">
              <w:rPr>
                <w:rFonts w:ascii="Times New Roman" w:hAnsi="Times New Roman" w:cs="Times New Roman"/>
                <w:sz w:val="16"/>
              </w:rPr>
              <w:t xml:space="preserve">* OR discrimination OR </w:t>
            </w:r>
            <w:proofErr w:type="spellStart"/>
            <w:r w:rsidRPr="006A4B12">
              <w:rPr>
                <w:rFonts w:ascii="Times New Roman" w:hAnsi="Times New Roman" w:cs="Times New Roman"/>
                <w:sz w:val="16"/>
              </w:rPr>
              <w:t>scor</w:t>
            </w:r>
            <w:proofErr w:type="spellEnd"/>
            <w:r w:rsidRPr="006A4B12">
              <w:rPr>
                <w:rFonts w:ascii="Times New Roman" w:hAnsi="Times New Roman" w:cs="Times New Roman"/>
                <w:sz w:val="16"/>
              </w:rPr>
              <w:t>* OR function*)) OR ((scoring) ADJ3 (system*))).</w:t>
            </w:r>
            <w:proofErr w:type="spellStart"/>
            <w:r w:rsidRPr="006A4B12">
              <w:rPr>
                <w:rFonts w:ascii="Times New Roman" w:hAnsi="Times New Roman" w:cs="Times New Roman"/>
                <w:sz w:val="16"/>
              </w:rPr>
              <w:t>ab,ti,kf</w:t>
            </w:r>
            <w:proofErr w:type="spellEnd"/>
            <w:r w:rsidRPr="006A4B12">
              <w:rPr>
                <w:rFonts w:ascii="Times New Roman" w:hAnsi="Times New Roman" w:cs="Times New Roman"/>
                <w:sz w:val="16"/>
              </w:rPr>
              <w:t xml:space="preserve">.) AND ("childhood"/ OR "adolescence"/ OR child/ OR adolescent/ OR (child* OR infant* OR newborn* OR </w:t>
            </w:r>
            <w:proofErr w:type="spellStart"/>
            <w:r w:rsidRPr="006A4B12">
              <w:rPr>
                <w:rFonts w:ascii="Times New Roman" w:hAnsi="Times New Roman" w:cs="Times New Roman"/>
                <w:sz w:val="16"/>
              </w:rPr>
              <w:t>neonat</w:t>
            </w:r>
            <w:proofErr w:type="spellEnd"/>
            <w:r w:rsidRPr="006A4B12">
              <w:rPr>
                <w:rFonts w:ascii="Times New Roman" w:hAnsi="Times New Roman" w:cs="Times New Roman"/>
                <w:sz w:val="16"/>
              </w:rPr>
              <w:t xml:space="preserve">* OR toddler* OR baby OR babies OR kid OR kids OR </w:t>
            </w:r>
            <w:proofErr w:type="spellStart"/>
            <w:r w:rsidRPr="006A4B12">
              <w:rPr>
                <w:rFonts w:ascii="Times New Roman" w:hAnsi="Times New Roman" w:cs="Times New Roman"/>
                <w:sz w:val="16"/>
              </w:rPr>
              <w:t>adolescen</w:t>
            </w:r>
            <w:proofErr w:type="spellEnd"/>
            <w:r w:rsidRPr="006A4B12">
              <w:rPr>
                <w:rFonts w:ascii="Times New Roman" w:hAnsi="Times New Roman" w:cs="Times New Roman"/>
                <w:sz w:val="16"/>
              </w:rPr>
              <w:t>* OR teenage* OR boy* OR girl* OR ((new*) ADJ (born*)) OR ((earl* OR young*) ADJ (age*))).</w:t>
            </w:r>
            <w:proofErr w:type="spellStart"/>
            <w:r w:rsidRPr="006A4B12">
              <w:rPr>
                <w:rFonts w:ascii="Times New Roman" w:hAnsi="Times New Roman" w:cs="Times New Roman"/>
                <w:sz w:val="16"/>
              </w:rPr>
              <w:t>ab,ti,kf</w:t>
            </w:r>
            <w:proofErr w:type="spellEnd"/>
            <w:r w:rsidRPr="006A4B12">
              <w:rPr>
                <w:rFonts w:ascii="Times New Roman" w:hAnsi="Times New Roman" w:cs="Times New Roman"/>
                <w:sz w:val="16"/>
              </w:rPr>
              <w:t>.) AND english.la. NOT ((letter OR news OR comment OR editorial OR congresses OR abstracts).pt. OR review/ OR "case report"/ OR "case study"/ OR (review* OR case-report* OR case-</w:t>
            </w:r>
            <w:proofErr w:type="spellStart"/>
            <w:r w:rsidRPr="006A4B12">
              <w:rPr>
                <w:rFonts w:ascii="Times New Roman" w:hAnsi="Times New Roman" w:cs="Times New Roman"/>
                <w:sz w:val="16"/>
              </w:rPr>
              <w:t>serie</w:t>
            </w:r>
            <w:proofErr w:type="spellEnd"/>
            <w:r w:rsidRPr="006A4B12">
              <w:rPr>
                <w:rFonts w:ascii="Times New Roman" w:hAnsi="Times New Roman" w:cs="Times New Roman"/>
                <w:sz w:val="16"/>
              </w:rPr>
              <w:t>* OR case-stud*).</w:t>
            </w:r>
            <w:proofErr w:type="spellStart"/>
            <w:r w:rsidRPr="006A4B12">
              <w:rPr>
                <w:rFonts w:ascii="Times New Roman" w:hAnsi="Times New Roman" w:cs="Times New Roman"/>
                <w:sz w:val="16"/>
              </w:rPr>
              <w:t>ti</w:t>
            </w:r>
            <w:proofErr w:type="spellEnd"/>
            <w:r w:rsidRPr="006A4B12">
              <w:rPr>
                <w:rFonts w:ascii="Times New Roman" w:hAnsi="Times New Roman" w:cs="Times New Roman"/>
                <w:sz w:val="16"/>
              </w:rPr>
              <w:t>.) NOT (</w:t>
            </w:r>
            <w:proofErr w:type="spellStart"/>
            <w:r w:rsidRPr="006A4B12">
              <w:rPr>
                <w:rFonts w:ascii="Times New Roman" w:hAnsi="Times New Roman" w:cs="Times New Roman"/>
                <w:sz w:val="16"/>
              </w:rPr>
              <w:t>exp</w:t>
            </w:r>
            <w:proofErr w:type="spellEnd"/>
            <w:r w:rsidRPr="006A4B12">
              <w:rPr>
                <w:rFonts w:ascii="Times New Roman" w:hAnsi="Times New Roman" w:cs="Times New Roman"/>
                <w:sz w:val="16"/>
              </w:rPr>
              <w:t xml:space="preserve"> "Hypertension, Pulmonary"/ OR </w:t>
            </w:r>
            <w:proofErr w:type="spellStart"/>
            <w:r w:rsidRPr="006A4B12">
              <w:rPr>
                <w:rFonts w:ascii="Times New Roman" w:hAnsi="Times New Roman" w:cs="Times New Roman"/>
                <w:sz w:val="16"/>
              </w:rPr>
              <w:t>exp</w:t>
            </w:r>
            <w:proofErr w:type="spellEnd"/>
            <w:r w:rsidRPr="006A4B12">
              <w:rPr>
                <w:rFonts w:ascii="Times New Roman" w:hAnsi="Times New Roman" w:cs="Times New Roman"/>
                <w:sz w:val="16"/>
              </w:rPr>
              <w:t xml:space="preserve"> "Intracranial Hypertension"/ OR </w:t>
            </w:r>
            <w:proofErr w:type="spellStart"/>
            <w:r w:rsidRPr="006A4B12">
              <w:rPr>
                <w:rFonts w:ascii="Times New Roman" w:hAnsi="Times New Roman" w:cs="Times New Roman"/>
                <w:sz w:val="16"/>
              </w:rPr>
              <w:t>exp</w:t>
            </w:r>
            <w:proofErr w:type="spellEnd"/>
            <w:r w:rsidRPr="006A4B12">
              <w:rPr>
                <w:rFonts w:ascii="Times New Roman" w:hAnsi="Times New Roman" w:cs="Times New Roman"/>
                <w:sz w:val="16"/>
              </w:rPr>
              <w:t xml:space="preserve"> "Hypertension, Portal"/ OR </w:t>
            </w:r>
            <w:proofErr w:type="spellStart"/>
            <w:r w:rsidRPr="006A4B12">
              <w:rPr>
                <w:rFonts w:ascii="Times New Roman" w:hAnsi="Times New Roman" w:cs="Times New Roman"/>
                <w:sz w:val="16"/>
              </w:rPr>
              <w:t>exp</w:t>
            </w:r>
            <w:proofErr w:type="spellEnd"/>
            <w:r w:rsidRPr="006A4B12">
              <w:rPr>
                <w:rFonts w:ascii="Times New Roman" w:hAnsi="Times New Roman" w:cs="Times New Roman"/>
                <w:sz w:val="16"/>
              </w:rPr>
              <w:t xml:space="preserve"> "leukemia"/ OR "Carcinoma, Hepatocellular"/ OR (((</w:t>
            </w:r>
            <w:proofErr w:type="spellStart"/>
            <w:r w:rsidRPr="006A4B12">
              <w:rPr>
                <w:rFonts w:ascii="Times New Roman" w:hAnsi="Times New Roman" w:cs="Times New Roman"/>
                <w:sz w:val="16"/>
              </w:rPr>
              <w:t>pulmonar</w:t>
            </w:r>
            <w:proofErr w:type="spellEnd"/>
            <w:r w:rsidRPr="006A4B12">
              <w:rPr>
                <w:rFonts w:ascii="Times New Roman" w:hAnsi="Times New Roman" w:cs="Times New Roman"/>
                <w:sz w:val="16"/>
              </w:rPr>
              <w:t xml:space="preserve">* OR intracranial* OR portal) ADJ3 </w:t>
            </w:r>
            <w:proofErr w:type="spellStart"/>
            <w:r w:rsidRPr="006A4B12">
              <w:rPr>
                <w:rFonts w:ascii="Times New Roman" w:hAnsi="Times New Roman" w:cs="Times New Roman"/>
                <w:sz w:val="16"/>
              </w:rPr>
              <w:t>hypertensi</w:t>
            </w:r>
            <w:proofErr w:type="spellEnd"/>
            <w:r w:rsidRPr="006A4B12">
              <w:rPr>
                <w:rFonts w:ascii="Times New Roman" w:hAnsi="Times New Roman" w:cs="Times New Roman"/>
                <w:sz w:val="16"/>
              </w:rPr>
              <w:t xml:space="preserve">*) OR </w:t>
            </w:r>
            <w:proofErr w:type="spellStart"/>
            <w:r w:rsidRPr="006A4B12">
              <w:rPr>
                <w:rFonts w:ascii="Times New Roman" w:hAnsi="Times New Roman" w:cs="Times New Roman"/>
                <w:sz w:val="16"/>
              </w:rPr>
              <w:t>leukemi</w:t>
            </w:r>
            <w:proofErr w:type="spellEnd"/>
            <w:r w:rsidRPr="006A4B12">
              <w:rPr>
                <w:rFonts w:ascii="Times New Roman" w:hAnsi="Times New Roman" w:cs="Times New Roman"/>
                <w:sz w:val="16"/>
              </w:rPr>
              <w:t xml:space="preserve">* OR </w:t>
            </w:r>
            <w:proofErr w:type="spellStart"/>
            <w:r w:rsidRPr="006A4B12">
              <w:rPr>
                <w:rFonts w:ascii="Times New Roman" w:hAnsi="Times New Roman" w:cs="Times New Roman"/>
                <w:sz w:val="16"/>
              </w:rPr>
              <w:t>leukaemi</w:t>
            </w:r>
            <w:proofErr w:type="spellEnd"/>
            <w:r w:rsidRPr="006A4B12">
              <w:rPr>
                <w:rFonts w:ascii="Times New Roman" w:hAnsi="Times New Roman" w:cs="Times New Roman"/>
                <w:sz w:val="16"/>
              </w:rPr>
              <w:t xml:space="preserve">* OR </w:t>
            </w:r>
            <w:proofErr w:type="spellStart"/>
            <w:r w:rsidRPr="006A4B12">
              <w:rPr>
                <w:rFonts w:ascii="Times New Roman" w:hAnsi="Times New Roman" w:cs="Times New Roman"/>
                <w:sz w:val="16"/>
              </w:rPr>
              <w:t>encephalopath</w:t>
            </w:r>
            <w:proofErr w:type="spellEnd"/>
            <w:r w:rsidRPr="006A4B12">
              <w:rPr>
                <w:rFonts w:ascii="Times New Roman" w:hAnsi="Times New Roman" w:cs="Times New Roman"/>
                <w:sz w:val="16"/>
              </w:rPr>
              <w:t xml:space="preserve">* OR ((liver-cell* OR </w:t>
            </w:r>
            <w:proofErr w:type="spellStart"/>
            <w:r w:rsidRPr="006A4B12">
              <w:rPr>
                <w:rFonts w:ascii="Times New Roman" w:hAnsi="Times New Roman" w:cs="Times New Roman"/>
                <w:sz w:val="16"/>
              </w:rPr>
              <w:t>Hepatocell</w:t>
            </w:r>
            <w:proofErr w:type="spellEnd"/>
            <w:r w:rsidRPr="006A4B12">
              <w:rPr>
                <w:rFonts w:ascii="Times New Roman" w:hAnsi="Times New Roman" w:cs="Times New Roman"/>
                <w:sz w:val="16"/>
              </w:rPr>
              <w:t>*) ADJ3 carcinoma)).</w:t>
            </w:r>
            <w:proofErr w:type="spellStart"/>
            <w:r w:rsidRPr="006A4B12">
              <w:rPr>
                <w:rFonts w:ascii="Times New Roman" w:hAnsi="Times New Roman" w:cs="Times New Roman"/>
                <w:sz w:val="16"/>
              </w:rPr>
              <w:t>ab,ti,kf</w:t>
            </w:r>
            <w:proofErr w:type="spellEnd"/>
            <w:r w:rsidRPr="006A4B12">
              <w:rPr>
                <w:rFonts w:ascii="Times New Roman" w:hAnsi="Times New Roman" w:cs="Times New Roman"/>
                <w:sz w:val="16"/>
              </w:rPr>
              <w:t>.)</w:t>
            </w:r>
          </w:p>
          <w:p w:rsidR="00C73BC8" w:rsidRPr="006A4B12" w:rsidRDefault="00C73BC8" w:rsidP="001301A1">
            <w:pPr>
              <w:rPr>
                <w:rFonts w:ascii="Times New Roman" w:hAnsi="Times New Roman" w:cs="Times New Roman"/>
                <w:sz w:val="16"/>
              </w:rPr>
            </w:pPr>
          </w:p>
        </w:tc>
      </w:tr>
    </w:tbl>
    <w:p w:rsidR="00C73BC8" w:rsidRPr="006A4B12" w:rsidRDefault="00C73BC8" w:rsidP="00C73BC8">
      <w:pPr>
        <w:spacing w:after="0"/>
        <w:rPr>
          <w:rFonts w:ascii="Times New Roman" w:hAnsi="Times New Roman" w:cs="Times New Roman"/>
          <w:sz w:val="20"/>
        </w:rPr>
      </w:pPr>
    </w:p>
    <w:p w:rsidR="00C73BC8" w:rsidRPr="006A4B12" w:rsidRDefault="00C73BC8" w:rsidP="00C73BC8">
      <w:pPr>
        <w:spacing w:after="0"/>
        <w:rPr>
          <w:rFonts w:ascii="Times New Roman" w:hAnsi="Times New Roman" w:cs="Times New Roman"/>
          <w:sz w:val="16"/>
        </w:rPr>
      </w:pPr>
      <w:r w:rsidRPr="006A4B12">
        <w:rPr>
          <w:rFonts w:ascii="Times New Roman" w:hAnsi="Times New Roman" w:cs="Times New Roman"/>
          <w:sz w:val="16"/>
        </w:rPr>
        <w:br w:type="page"/>
      </w:r>
    </w:p>
    <w:p w:rsidR="00BF2457" w:rsidRDefault="00BF2457">
      <w:pPr>
        <w:rPr>
          <w:rFonts w:ascii="Times New Roman" w:hAnsi="Times New Roman" w:cs="Times New Roman"/>
        </w:rPr>
      </w:pPr>
      <w:r>
        <w:rPr>
          <w:rFonts w:ascii="Times New Roman" w:hAnsi="Times New Roman" w:cs="Times New Roman"/>
          <w:b/>
        </w:rPr>
        <w:lastRenderedPageBreak/>
        <w:t xml:space="preserve">Supplemental Table 2. </w:t>
      </w:r>
      <w:r>
        <w:rPr>
          <w:rFonts w:ascii="Times New Roman" w:hAnsi="Times New Roman" w:cs="Times New Roman"/>
        </w:rPr>
        <w:t>Criteria for scoring the risk of bias, adapted from  Smit et al.</w:t>
      </w:r>
      <w:r>
        <w:rPr>
          <w:rFonts w:ascii="Times New Roman" w:hAnsi="Times New Roman" w:cs="Times New Roman"/>
        </w:rPr>
        <w:fldChar w:fldCharType="begin">
          <w:fldData xml:space="preserve">PEVuZE5vdGU+PENpdGU+PEF1dGhvcj5TbWl0PC9BdXRob3I+PFllYXI+MjAxNTwvWWVhcj48UmVj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PEVuZE5vdGU+PENpdGU+PEF1dGhvcj5TbWl0PC9BdXRob3I+PFllYXI+MjAxNTwvWWVhcj48UmVj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and based on items in the CHARMS checklist</w:t>
      </w:r>
      <w:r>
        <w:rPr>
          <w:rFonts w:ascii="Times New Roman" w:hAnsi="Times New Roman" w:cs="Times New Roman"/>
        </w:rPr>
        <w:fldChar w:fldCharType="begin"/>
      </w:r>
      <w:r>
        <w:rPr>
          <w:rFonts w:ascii="Times New Roman" w:hAnsi="Times New Roman" w:cs="Times New Roman"/>
        </w:rPr>
        <w:instrText xml:space="preserve"> ADDIN EN.CITE &lt;EndNote&gt;&lt;Cite&gt;&lt;Author&gt;Moons&lt;/Author&gt;&lt;Year&gt;2014&lt;/Year&gt;&lt;RecNum&gt;109&lt;/RecNum&gt;&lt;DisplayText&gt;[2]&lt;/DisplayText&gt;&lt;record&gt;&lt;rec-number&gt;109&lt;/rec-number&gt;&lt;foreign-keys&gt;&lt;key app="EN" db-id="5xe29rxz1fs2e6eas51p09x9p0zpz0s29dzr" timestamp="1448024446"&gt;109&lt;/key&gt;&lt;/foreign-keys&gt;&lt;ref-type name="Journal Article"&gt;17&lt;/ref-type&gt;&lt;contributors&gt;&lt;authors&gt;&lt;author&gt;Moons, K. G.&lt;/author&gt;&lt;author&gt;de Groot, J. A.&lt;/author&gt;&lt;author&gt;Bouwmeester, W.&lt;/author&gt;&lt;author&gt;Vergouwe, Y.&lt;/author&gt;&lt;author&gt;Mallett, S.&lt;/author&gt;&lt;author&gt;Altman, D. G.&lt;/author&gt;&lt;author&gt;Reitsma, J. B.&lt;/author&gt;&lt;author&gt;Collins, G. S.&lt;/author&gt;&lt;/authors&gt;&lt;/contributors&gt;&lt;auth-address&gt;Julius Center for Health Sciences and Primary Care, UMC Utrecht, Utrecht, The Netherlands.&amp;#xD;Department of Primary Care Health Sciences, New Radcliffe House, University of Oxford, Oxford, United Kingdom.&amp;#xD;Centre for Statistics in Medicine, University of Oxford, Botnar Research Centre, Windmill Road, Oxford, United Kingdom.&lt;/auth-address&gt;&lt;titles&gt;&lt;title&gt;Critical appraisal and data extraction for systematic reviews of prediction modelling studies: the CHARMS checklist&lt;/title&gt;&lt;secondary-title&gt;PLoS Med&lt;/secondary-title&gt;&lt;/titles&gt;&lt;periodical&gt;&lt;full-title&gt;PLoS Med&lt;/full-title&gt;&lt;/periodical&gt;&lt;pages&gt;e1001744&lt;/pages&gt;&lt;volume&gt;11&lt;/volume&gt;&lt;number&gt;10&lt;/number&gt;&lt;edition&gt;2014/10/15&lt;/edition&gt;&lt;keywords&gt;&lt;keyword&gt;Decision Support Techniques&lt;/keyword&gt;&lt;keyword&gt;Humans&lt;/keyword&gt;&lt;keyword&gt;*Models, Theoretical&lt;/keyword&gt;&lt;/keywords&gt;&lt;dates&gt;&lt;year&gt;2014&lt;/year&gt;&lt;pub-dates&gt;&lt;date&gt;Oct&lt;/date&gt;&lt;/pub-dates&gt;&lt;/dates&gt;&lt;isbn&gt;1549-1676 (Electronic)&amp;#xD;1549-1277 (Linking)&lt;/isbn&gt;&lt;accession-num&gt;25314315&lt;/accession-num&gt;&lt;urls&gt;&lt;related-urls&gt;&lt;url&gt;http://www.ncbi.nlm.nih.gov/pubmed/25314315&lt;/url&gt;&lt;/related-urls&gt;&lt;/urls&gt;&lt;custom2&gt;4196729&lt;/custom2&gt;&lt;electronic-resource-num&gt;10.1371/journal.pmed.1001744&amp;#xD;PMEDICINE-D-14-00436 [pii]&lt;/electronic-resource-num&gt;&lt;research-notes&gt;Systematische review&lt;/research-notes&gt;&lt;language&gt;eng&lt;/language&gt;&lt;/record&gt;&lt;/Cite&gt;&lt;/EndNote&gt;</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tbl>
      <w:tblPr>
        <w:tblStyle w:val="TableGrid"/>
        <w:tblW w:w="4882" w:type="pct"/>
        <w:tblLayout w:type="fixed"/>
        <w:tblLook w:val="04A0" w:firstRow="1" w:lastRow="0" w:firstColumn="1" w:lastColumn="0" w:noHBand="0" w:noVBand="1"/>
      </w:tblPr>
      <w:tblGrid>
        <w:gridCol w:w="1186"/>
        <w:gridCol w:w="1227"/>
        <w:gridCol w:w="1061"/>
        <w:gridCol w:w="10410"/>
      </w:tblGrid>
      <w:tr w:rsidR="00BF2457" w:rsidRPr="002F3A45" w:rsidTr="004578E0">
        <w:trPr>
          <w:trHeight w:val="502"/>
        </w:trPr>
        <w:tc>
          <w:tcPr>
            <w:tcW w:w="427"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BF2457" w:rsidRPr="00591C1B" w:rsidRDefault="00BF2457" w:rsidP="004578E0">
            <w:pPr>
              <w:rPr>
                <w:rFonts w:ascii="Times New Roman" w:hAnsi="Times New Roman" w:cs="Times New Roman"/>
                <w:b/>
                <w:sz w:val="16"/>
                <w:szCs w:val="20"/>
              </w:rPr>
            </w:pPr>
            <w:r w:rsidRPr="00591C1B">
              <w:rPr>
                <w:rFonts w:ascii="Times New Roman" w:hAnsi="Times New Roman" w:cs="Times New Roman"/>
                <w:b/>
                <w:sz w:val="16"/>
                <w:szCs w:val="20"/>
              </w:rPr>
              <w:t>Type of bias</w:t>
            </w:r>
          </w:p>
        </w:tc>
        <w:tc>
          <w:tcPr>
            <w:tcW w:w="442"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2457" w:rsidRPr="00591C1B" w:rsidRDefault="00BF2457" w:rsidP="004578E0">
            <w:pPr>
              <w:rPr>
                <w:rFonts w:ascii="Times New Roman" w:hAnsi="Times New Roman" w:cs="Times New Roman"/>
                <w:b/>
                <w:sz w:val="16"/>
                <w:szCs w:val="20"/>
              </w:rPr>
            </w:pPr>
            <w:r w:rsidRPr="00591C1B">
              <w:rPr>
                <w:rFonts w:ascii="Times New Roman" w:hAnsi="Times New Roman" w:cs="Times New Roman"/>
                <w:b/>
                <w:sz w:val="16"/>
                <w:szCs w:val="20"/>
              </w:rPr>
              <w:t>Item</w:t>
            </w:r>
          </w:p>
        </w:tc>
        <w:tc>
          <w:tcPr>
            <w:tcW w:w="382"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2457" w:rsidRPr="00591C1B" w:rsidRDefault="00BF2457" w:rsidP="004578E0">
            <w:pPr>
              <w:rPr>
                <w:rFonts w:ascii="Times New Roman" w:hAnsi="Times New Roman" w:cs="Times New Roman"/>
                <w:b/>
                <w:sz w:val="16"/>
                <w:szCs w:val="20"/>
              </w:rPr>
            </w:pPr>
            <w:r w:rsidRPr="00591C1B">
              <w:rPr>
                <w:rFonts w:ascii="Times New Roman" w:hAnsi="Times New Roman" w:cs="Times New Roman"/>
                <w:b/>
                <w:sz w:val="16"/>
                <w:szCs w:val="20"/>
              </w:rPr>
              <w:t xml:space="preserve">Risk of bias </w:t>
            </w:r>
          </w:p>
        </w:tc>
        <w:tc>
          <w:tcPr>
            <w:tcW w:w="3749"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BF2457" w:rsidRPr="00591C1B" w:rsidRDefault="00BF2457" w:rsidP="004578E0">
            <w:pPr>
              <w:rPr>
                <w:rFonts w:ascii="Times New Roman" w:hAnsi="Times New Roman" w:cs="Times New Roman"/>
                <w:b/>
                <w:sz w:val="16"/>
                <w:szCs w:val="20"/>
              </w:rPr>
            </w:pPr>
            <w:r w:rsidRPr="00591C1B">
              <w:rPr>
                <w:rFonts w:ascii="Times New Roman" w:hAnsi="Times New Roman" w:cs="Times New Roman"/>
                <w:b/>
                <w:sz w:val="16"/>
                <w:szCs w:val="20"/>
              </w:rPr>
              <w:t>Description of criteria for risk of bias categories</w:t>
            </w:r>
          </w:p>
        </w:tc>
      </w:tr>
      <w:tr w:rsidR="00BF2457" w:rsidRPr="002F3A45" w:rsidTr="004578E0">
        <w:trPr>
          <w:trHeight w:val="1110"/>
        </w:trPr>
        <w:tc>
          <w:tcPr>
            <w:tcW w:w="427" w:type="pct"/>
            <w:vMerge w:val="restart"/>
            <w:tcBorders>
              <w:top w:val="single" w:sz="12" w:space="0" w:color="auto"/>
              <w:left w:val="single" w:sz="12" w:space="0" w:color="auto"/>
              <w:right w:val="single" w:sz="4" w:space="0" w:color="auto"/>
            </w:tcBorders>
            <w:vAlign w:val="center"/>
          </w:tcPr>
          <w:p w:rsidR="00BF2457" w:rsidRPr="00591C1B" w:rsidRDefault="00BF2457" w:rsidP="004578E0">
            <w:pPr>
              <w:rPr>
                <w:rFonts w:ascii="Times New Roman" w:hAnsi="Times New Roman" w:cs="Times New Roman"/>
                <w:sz w:val="16"/>
                <w:szCs w:val="20"/>
              </w:rPr>
            </w:pPr>
            <w:r w:rsidRPr="00591C1B">
              <w:rPr>
                <w:rFonts w:ascii="Times New Roman" w:hAnsi="Times New Roman" w:cs="Times New Roman"/>
                <w:sz w:val="16"/>
                <w:szCs w:val="20"/>
              </w:rPr>
              <w:t>Selection bias</w:t>
            </w:r>
          </w:p>
        </w:tc>
        <w:tc>
          <w:tcPr>
            <w:tcW w:w="442" w:type="pct"/>
            <w:vMerge w:val="restart"/>
            <w:tcBorders>
              <w:top w:val="single" w:sz="12" w:space="0" w:color="auto"/>
              <w:left w:val="single" w:sz="4" w:space="0" w:color="auto"/>
              <w:right w:val="single" w:sz="4" w:space="0" w:color="auto"/>
            </w:tcBorders>
            <w:shd w:val="clear" w:color="auto" w:fill="auto"/>
            <w:vAlign w:val="center"/>
          </w:tcPr>
          <w:p w:rsidR="00BF2457" w:rsidRPr="00591C1B" w:rsidRDefault="00BF2457" w:rsidP="004578E0">
            <w:pPr>
              <w:rPr>
                <w:rFonts w:ascii="Times New Roman" w:hAnsi="Times New Roman" w:cs="Times New Roman"/>
                <w:sz w:val="16"/>
                <w:szCs w:val="20"/>
              </w:rPr>
            </w:pPr>
            <w:r w:rsidRPr="00591C1B">
              <w:rPr>
                <w:rFonts w:ascii="Times New Roman" w:hAnsi="Times New Roman" w:cs="Times New Roman"/>
                <w:sz w:val="16"/>
                <w:szCs w:val="20"/>
              </w:rPr>
              <w:t>Selection of participants</w:t>
            </w:r>
          </w:p>
        </w:tc>
        <w:tc>
          <w:tcPr>
            <w:tcW w:w="382" w:type="pct"/>
            <w:tcBorders>
              <w:top w:val="single" w:sz="12" w:space="0" w:color="auto"/>
              <w:left w:val="single" w:sz="4" w:space="0" w:color="auto"/>
              <w:bottom w:val="single" w:sz="4" w:space="0" w:color="auto"/>
              <w:right w:val="single" w:sz="4" w:space="0" w:color="auto"/>
            </w:tcBorders>
            <w:shd w:val="clear" w:color="auto" w:fill="auto"/>
            <w:vAlign w:val="center"/>
          </w:tcPr>
          <w:p w:rsidR="00BF2457" w:rsidRPr="00591C1B" w:rsidRDefault="00BF2457" w:rsidP="004578E0">
            <w:pPr>
              <w:rPr>
                <w:rFonts w:ascii="Times New Roman" w:hAnsi="Times New Roman" w:cs="Times New Roman"/>
                <w:sz w:val="16"/>
                <w:szCs w:val="20"/>
              </w:rPr>
            </w:pPr>
            <w:r w:rsidRPr="00591C1B">
              <w:rPr>
                <w:rFonts w:ascii="Times New Roman" w:hAnsi="Times New Roman" w:cs="Times New Roman"/>
                <w:sz w:val="16"/>
                <w:szCs w:val="20"/>
              </w:rPr>
              <w:t>Low</w:t>
            </w:r>
          </w:p>
        </w:tc>
        <w:tc>
          <w:tcPr>
            <w:tcW w:w="3749" w:type="pct"/>
            <w:tcBorders>
              <w:top w:val="single" w:sz="12" w:space="0" w:color="auto"/>
              <w:left w:val="single" w:sz="4" w:space="0" w:color="auto"/>
              <w:bottom w:val="nil"/>
              <w:right w:val="single" w:sz="12" w:space="0" w:color="auto"/>
            </w:tcBorders>
            <w:vAlign w:val="center"/>
          </w:tcPr>
          <w:p w:rsidR="00BF2457" w:rsidRPr="00591C1B" w:rsidRDefault="00BF2457" w:rsidP="004578E0">
            <w:pPr>
              <w:rPr>
                <w:rFonts w:ascii="Times New Roman" w:hAnsi="Times New Roman" w:cs="Times New Roman"/>
                <w:sz w:val="16"/>
                <w:szCs w:val="20"/>
              </w:rPr>
            </w:pPr>
            <w:r w:rsidRPr="00591C1B">
              <w:rPr>
                <w:rFonts w:ascii="Times New Roman" w:hAnsi="Times New Roman" w:cs="Times New Roman"/>
                <w:sz w:val="16"/>
                <w:szCs w:val="20"/>
              </w:rPr>
              <w:t>Satisfying all of the criteria below:</w:t>
            </w:r>
          </w:p>
          <w:p w:rsidR="00BF2457" w:rsidRPr="00591C1B" w:rsidRDefault="00BF2457" w:rsidP="00BF2457">
            <w:pPr>
              <w:pStyle w:val="ListParagraph"/>
              <w:numPr>
                <w:ilvl w:val="0"/>
                <w:numId w:val="1"/>
              </w:numPr>
              <w:rPr>
                <w:rFonts w:ascii="Times New Roman" w:hAnsi="Times New Roman" w:cs="Times New Roman"/>
                <w:sz w:val="16"/>
                <w:szCs w:val="20"/>
              </w:rPr>
            </w:pPr>
            <w:r w:rsidRPr="00591C1B">
              <w:rPr>
                <w:rFonts w:ascii="Times New Roman" w:hAnsi="Times New Roman" w:cs="Times New Roman"/>
                <w:sz w:val="16"/>
                <w:szCs w:val="20"/>
              </w:rPr>
              <w:t>Adequate description of recruitment and selection of the study population, AND</w:t>
            </w:r>
          </w:p>
          <w:p w:rsidR="00BF2457" w:rsidRPr="00591C1B" w:rsidRDefault="00BF2457" w:rsidP="00BF2457">
            <w:pPr>
              <w:pStyle w:val="ListParagraph"/>
              <w:numPr>
                <w:ilvl w:val="0"/>
                <w:numId w:val="1"/>
              </w:numPr>
              <w:rPr>
                <w:rFonts w:ascii="Times New Roman" w:hAnsi="Times New Roman" w:cs="Times New Roman"/>
                <w:sz w:val="16"/>
                <w:szCs w:val="20"/>
              </w:rPr>
            </w:pPr>
            <w:r w:rsidRPr="00591C1B">
              <w:rPr>
                <w:rFonts w:ascii="Times New Roman" w:hAnsi="Times New Roman" w:cs="Times New Roman"/>
                <w:sz w:val="16"/>
                <w:szCs w:val="20"/>
              </w:rPr>
              <w:t>Adequate description of in- and exclusion criteria AND</w:t>
            </w:r>
          </w:p>
          <w:p w:rsidR="00BF2457" w:rsidRPr="00591C1B" w:rsidRDefault="00BF2457" w:rsidP="00BF2457">
            <w:pPr>
              <w:pStyle w:val="ListParagraph"/>
              <w:numPr>
                <w:ilvl w:val="0"/>
                <w:numId w:val="1"/>
              </w:numPr>
              <w:rPr>
                <w:rFonts w:ascii="Times New Roman" w:hAnsi="Times New Roman" w:cs="Times New Roman"/>
                <w:sz w:val="16"/>
                <w:szCs w:val="20"/>
              </w:rPr>
            </w:pPr>
            <w:r w:rsidRPr="00591C1B">
              <w:rPr>
                <w:rFonts w:ascii="Times New Roman" w:hAnsi="Times New Roman" w:cs="Times New Roman"/>
                <w:sz w:val="16"/>
                <w:szCs w:val="20"/>
              </w:rPr>
              <w:t>Participants enrolled with similar health status AND</w:t>
            </w:r>
          </w:p>
          <w:p w:rsidR="00BF2457" w:rsidRPr="00591C1B" w:rsidRDefault="00BF2457" w:rsidP="00BF2457">
            <w:pPr>
              <w:pStyle w:val="ListParagraph"/>
              <w:numPr>
                <w:ilvl w:val="0"/>
                <w:numId w:val="1"/>
              </w:numPr>
              <w:rPr>
                <w:rFonts w:ascii="Times New Roman" w:hAnsi="Times New Roman" w:cs="Times New Roman"/>
                <w:sz w:val="16"/>
                <w:szCs w:val="20"/>
              </w:rPr>
            </w:pPr>
            <w:r w:rsidRPr="00591C1B">
              <w:rPr>
                <w:rFonts w:ascii="Times New Roman" w:hAnsi="Times New Roman" w:cs="Times New Roman"/>
                <w:sz w:val="16"/>
                <w:szCs w:val="20"/>
              </w:rPr>
              <w:t>Adequate description of the sample with regard to key characteristics and predictors, with no indications of selection bias</w:t>
            </w:r>
          </w:p>
        </w:tc>
      </w:tr>
      <w:tr w:rsidR="00BF2457" w:rsidRPr="002F3A45" w:rsidTr="004578E0">
        <w:trPr>
          <w:trHeight w:val="261"/>
        </w:trPr>
        <w:tc>
          <w:tcPr>
            <w:tcW w:w="427" w:type="pct"/>
            <w:vMerge/>
            <w:tcBorders>
              <w:left w:val="single" w:sz="12" w:space="0" w:color="auto"/>
              <w:right w:val="single" w:sz="4" w:space="0" w:color="auto"/>
            </w:tcBorders>
            <w:vAlign w:val="center"/>
          </w:tcPr>
          <w:p w:rsidR="00BF2457" w:rsidRPr="00591C1B" w:rsidRDefault="00BF2457" w:rsidP="004578E0">
            <w:pPr>
              <w:rPr>
                <w:rFonts w:ascii="Times New Roman" w:hAnsi="Times New Roman" w:cs="Times New Roman"/>
                <w:sz w:val="16"/>
                <w:szCs w:val="20"/>
              </w:rPr>
            </w:pPr>
          </w:p>
        </w:tc>
        <w:tc>
          <w:tcPr>
            <w:tcW w:w="442" w:type="pct"/>
            <w:vMerge/>
            <w:tcBorders>
              <w:left w:val="single" w:sz="4" w:space="0" w:color="auto"/>
              <w:right w:val="single" w:sz="4" w:space="0" w:color="auto"/>
            </w:tcBorders>
            <w:shd w:val="clear" w:color="auto" w:fill="auto"/>
            <w:vAlign w:val="center"/>
          </w:tcPr>
          <w:p w:rsidR="00BF2457" w:rsidRPr="00591C1B" w:rsidRDefault="00BF2457" w:rsidP="004578E0">
            <w:pPr>
              <w:rPr>
                <w:rFonts w:ascii="Times New Roman" w:hAnsi="Times New Roman" w:cs="Times New Roman"/>
                <w:sz w:val="16"/>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F2457" w:rsidRPr="00591C1B" w:rsidRDefault="00BF2457" w:rsidP="004578E0">
            <w:pPr>
              <w:rPr>
                <w:rFonts w:ascii="Times New Roman" w:hAnsi="Times New Roman" w:cs="Times New Roman"/>
                <w:sz w:val="16"/>
                <w:szCs w:val="20"/>
              </w:rPr>
            </w:pPr>
            <w:r w:rsidRPr="00591C1B">
              <w:rPr>
                <w:rFonts w:ascii="Times New Roman" w:hAnsi="Times New Roman" w:cs="Times New Roman"/>
                <w:sz w:val="16"/>
                <w:szCs w:val="20"/>
              </w:rPr>
              <w:t>Moderate</w:t>
            </w:r>
          </w:p>
        </w:tc>
        <w:tc>
          <w:tcPr>
            <w:tcW w:w="3749" w:type="pct"/>
            <w:tcBorders>
              <w:top w:val="single" w:sz="4" w:space="0" w:color="auto"/>
              <w:left w:val="single" w:sz="4" w:space="0" w:color="auto"/>
              <w:bottom w:val="single" w:sz="4" w:space="0" w:color="auto"/>
              <w:right w:val="single" w:sz="12" w:space="0" w:color="auto"/>
            </w:tcBorders>
            <w:vAlign w:val="center"/>
          </w:tcPr>
          <w:p w:rsidR="00BF2457" w:rsidRPr="00591C1B" w:rsidRDefault="00BF2457" w:rsidP="004578E0">
            <w:pPr>
              <w:rPr>
                <w:rFonts w:ascii="Times New Roman" w:hAnsi="Times New Roman" w:cs="Times New Roman"/>
                <w:sz w:val="16"/>
                <w:szCs w:val="20"/>
              </w:rPr>
            </w:pPr>
            <w:r w:rsidRPr="00591C1B">
              <w:rPr>
                <w:rFonts w:ascii="Times New Roman" w:hAnsi="Times New Roman" w:cs="Times New Roman"/>
                <w:sz w:val="16"/>
                <w:szCs w:val="20"/>
              </w:rPr>
              <w:t>Not satisfying one of the above criteria</w:t>
            </w:r>
          </w:p>
        </w:tc>
      </w:tr>
      <w:tr w:rsidR="00BF2457" w:rsidRPr="002F3A45" w:rsidTr="004578E0">
        <w:trPr>
          <w:trHeight w:val="261"/>
        </w:trPr>
        <w:tc>
          <w:tcPr>
            <w:tcW w:w="427" w:type="pct"/>
            <w:vMerge/>
            <w:tcBorders>
              <w:left w:val="single" w:sz="12" w:space="0" w:color="auto"/>
              <w:right w:val="single" w:sz="4" w:space="0" w:color="auto"/>
            </w:tcBorders>
            <w:vAlign w:val="center"/>
          </w:tcPr>
          <w:p w:rsidR="00BF2457" w:rsidRPr="00591C1B" w:rsidRDefault="00BF2457" w:rsidP="004578E0">
            <w:pPr>
              <w:rPr>
                <w:rFonts w:ascii="Times New Roman" w:hAnsi="Times New Roman" w:cs="Times New Roman"/>
                <w:sz w:val="16"/>
                <w:szCs w:val="20"/>
              </w:rPr>
            </w:pPr>
          </w:p>
        </w:tc>
        <w:tc>
          <w:tcPr>
            <w:tcW w:w="442" w:type="pct"/>
            <w:vMerge/>
            <w:tcBorders>
              <w:left w:val="single" w:sz="4" w:space="0" w:color="auto"/>
              <w:right w:val="single" w:sz="4" w:space="0" w:color="auto"/>
            </w:tcBorders>
            <w:shd w:val="clear" w:color="auto" w:fill="auto"/>
            <w:vAlign w:val="center"/>
          </w:tcPr>
          <w:p w:rsidR="00BF2457" w:rsidRPr="00591C1B" w:rsidRDefault="00BF2457" w:rsidP="004578E0">
            <w:pPr>
              <w:rPr>
                <w:rFonts w:ascii="Times New Roman" w:hAnsi="Times New Roman" w:cs="Times New Roman"/>
                <w:sz w:val="16"/>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F2457" w:rsidRPr="00591C1B" w:rsidRDefault="00BF2457" w:rsidP="004578E0">
            <w:pPr>
              <w:rPr>
                <w:rFonts w:ascii="Times New Roman" w:hAnsi="Times New Roman" w:cs="Times New Roman"/>
                <w:sz w:val="16"/>
                <w:szCs w:val="20"/>
              </w:rPr>
            </w:pPr>
            <w:r w:rsidRPr="00591C1B">
              <w:rPr>
                <w:rFonts w:ascii="Times New Roman" w:hAnsi="Times New Roman" w:cs="Times New Roman"/>
                <w:sz w:val="16"/>
                <w:szCs w:val="20"/>
              </w:rPr>
              <w:t>High</w:t>
            </w:r>
          </w:p>
        </w:tc>
        <w:tc>
          <w:tcPr>
            <w:tcW w:w="3749" w:type="pct"/>
            <w:tcBorders>
              <w:top w:val="single" w:sz="4" w:space="0" w:color="auto"/>
              <w:left w:val="single" w:sz="4" w:space="0" w:color="auto"/>
              <w:bottom w:val="single" w:sz="4" w:space="0" w:color="auto"/>
              <w:right w:val="single" w:sz="12" w:space="0" w:color="auto"/>
            </w:tcBorders>
            <w:vAlign w:val="center"/>
          </w:tcPr>
          <w:p w:rsidR="00BF2457" w:rsidRPr="00591C1B" w:rsidRDefault="00BF2457" w:rsidP="004578E0">
            <w:pPr>
              <w:rPr>
                <w:rFonts w:ascii="Times New Roman" w:hAnsi="Times New Roman" w:cs="Times New Roman"/>
                <w:sz w:val="16"/>
                <w:szCs w:val="20"/>
              </w:rPr>
            </w:pPr>
            <w:r w:rsidRPr="00591C1B">
              <w:rPr>
                <w:rFonts w:ascii="Times New Roman" w:hAnsi="Times New Roman" w:cs="Times New Roman"/>
                <w:sz w:val="16"/>
                <w:szCs w:val="20"/>
              </w:rPr>
              <w:t xml:space="preserve">Not satisfying two or more of the above criteria </w:t>
            </w:r>
          </w:p>
        </w:tc>
      </w:tr>
      <w:tr w:rsidR="00BF2457" w:rsidRPr="002F3A45" w:rsidTr="004578E0">
        <w:trPr>
          <w:trHeight w:val="260"/>
        </w:trPr>
        <w:tc>
          <w:tcPr>
            <w:tcW w:w="427" w:type="pct"/>
            <w:vMerge/>
            <w:tcBorders>
              <w:left w:val="single" w:sz="12" w:space="0" w:color="auto"/>
              <w:right w:val="single" w:sz="4" w:space="0" w:color="auto"/>
            </w:tcBorders>
            <w:vAlign w:val="center"/>
          </w:tcPr>
          <w:p w:rsidR="00BF2457" w:rsidRPr="00591C1B" w:rsidRDefault="00BF2457" w:rsidP="004578E0">
            <w:pPr>
              <w:rPr>
                <w:rFonts w:ascii="Times New Roman" w:hAnsi="Times New Roman" w:cs="Times New Roman"/>
                <w:sz w:val="16"/>
                <w:szCs w:val="20"/>
              </w:rPr>
            </w:pPr>
          </w:p>
        </w:tc>
        <w:tc>
          <w:tcPr>
            <w:tcW w:w="442" w:type="pct"/>
            <w:vMerge w:val="restart"/>
            <w:tcBorders>
              <w:top w:val="single" w:sz="4" w:space="0" w:color="auto"/>
              <w:left w:val="single" w:sz="4" w:space="0" w:color="auto"/>
              <w:right w:val="single" w:sz="4" w:space="0" w:color="auto"/>
            </w:tcBorders>
            <w:shd w:val="clear" w:color="auto" w:fill="auto"/>
            <w:vAlign w:val="center"/>
          </w:tcPr>
          <w:p w:rsidR="00BF2457" w:rsidRPr="00591C1B" w:rsidRDefault="00BF2457" w:rsidP="004578E0">
            <w:pPr>
              <w:rPr>
                <w:rFonts w:ascii="Times New Roman" w:hAnsi="Times New Roman" w:cs="Times New Roman"/>
                <w:sz w:val="16"/>
                <w:szCs w:val="20"/>
              </w:rPr>
            </w:pPr>
            <w:r w:rsidRPr="00591C1B">
              <w:rPr>
                <w:rFonts w:ascii="Times New Roman" w:hAnsi="Times New Roman" w:cs="Times New Roman"/>
                <w:sz w:val="16"/>
                <w:szCs w:val="20"/>
              </w:rPr>
              <w:t>Sample attrition</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F2457" w:rsidRPr="00591C1B" w:rsidRDefault="00BF2457" w:rsidP="004578E0">
            <w:pPr>
              <w:rPr>
                <w:rFonts w:ascii="Times New Roman" w:hAnsi="Times New Roman" w:cs="Times New Roman"/>
                <w:b/>
                <w:sz w:val="16"/>
                <w:szCs w:val="20"/>
              </w:rPr>
            </w:pPr>
            <w:r w:rsidRPr="00591C1B">
              <w:rPr>
                <w:rFonts w:ascii="Times New Roman" w:hAnsi="Times New Roman" w:cs="Times New Roman"/>
                <w:sz w:val="16"/>
                <w:szCs w:val="20"/>
              </w:rPr>
              <w:t>Low</w:t>
            </w:r>
          </w:p>
        </w:tc>
        <w:tc>
          <w:tcPr>
            <w:tcW w:w="3749" w:type="pct"/>
            <w:tcBorders>
              <w:top w:val="single" w:sz="4" w:space="0" w:color="auto"/>
              <w:left w:val="single" w:sz="4" w:space="0" w:color="auto"/>
              <w:bottom w:val="single" w:sz="4" w:space="0" w:color="auto"/>
              <w:right w:val="single" w:sz="12" w:space="0" w:color="auto"/>
            </w:tcBorders>
            <w:vAlign w:val="center"/>
          </w:tcPr>
          <w:p w:rsidR="00BF2457" w:rsidRPr="00591C1B" w:rsidRDefault="00BF2457" w:rsidP="004578E0">
            <w:pPr>
              <w:rPr>
                <w:rFonts w:ascii="Times New Roman" w:hAnsi="Times New Roman" w:cs="Times New Roman"/>
                <w:sz w:val="16"/>
                <w:szCs w:val="20"/>
              </w:rPr>
            </w:pPr>
            <w:r w:rsidRPr="00591C1B">
              <w:rPr>
                <w:rFonts w:ascii="Times New Roman" w:hAnsi="Times New Roman" w:cs="Times New Roman"/>
                <w:sz w:val="16"/>
                <w:szCs w:val="20"/>
              </w:rPr>
              <w:t>Satisfying all of the criteria below:</w:t>
            </w:r>
          </w:p>
          <w:p w:rsidR="00BF2457" w:rsidRPr="00591C1B" w:rsidRDefault="00BF2457" w:rsidP="00BF2457">
            <w:pPr>
              <w:pStyle w:val="ListParagraph"/>
              <w:numPr>
                <w:ilvl w:val="0"/>
                <w:numId w:val="2"/>
              </w:numPr>
              <w:rPr>
                <w:rFonts w:ascii="Times New Roman" w:hAnsi="Times New Roman" w:cs="Times New Roman"/>
                <w:sz w:val="16"/>
                <w:szCs w:val="20"/>
              </w:rPr>
            </w:pPr>
            <w:r w:rsidRPr="00591C1B">
              <w:rPr>
                <w:rFonts w:ascii="Times New Roman" w:hAnsi="Times New Roman" w:cs="Times New Roman"/>
                <w:sz w:val="16"/>
                <w:szCs w:val="20"/>
              </w:rPr>
              <w:t>Loss</w:t>
            </w:r>
            <w:r w:rsidR="004A5B26">
              <w:rPr>
                <w:rFonts w:ascii="Times New Roman" w:hAnsi="Times New Roman" w:cs="Times New Roman"/>
                <w:sz w:val="16"/>
                <w:szCs w:val="20"/>
              </w:rPr>
              <w:t xml:space="preserve"> to follow </w:t>
            </w:r>
            <w:r w:rsidRPr="00591C1B">
              <w:rPr>
                <w:rFonts w:ascii="Times New Roman" w:hAnsi="Times New Roman" w:cs="Times New Roman"/>
                <w:sz w:val="16"/>
                <w:szCs w:val="20"/>
              </w:rPr>
              <w:t>up adequately reported AND</w:t>
            </w:r>
          </w:p>
          <w:p w:rsidR="00BF2457" w:rsidRPr="00591C1B" w:rsidRDefault="00BF2457" w:rsidP="00BF2457">
            <w:pPr>
              <w:pStyle w:val="ListParagraph"/>
              <w:numPr>
                <w:ilvl w:val="0"/>
                <w:numId w:val="2"/>
              </w:numPr>
              <w:rPr>
                <w:rFonts w:ascii="Times New Roman" w:hAnsi="Times New Roman" w:cs="Times New Roman"/>
                <w:sz w:val="16"/>
                <w:szCs w:val="20"/>
              </w:rPr>
            </w:pPr>
            <w:r w:rsidRPr="00591C1B">
              <w:rPr>
                <w:rFonts w:ascii="Times New Roman" w:hAnsi="Times New Roman" w:cs="Times New Roman"/>
                <w:sz w:val="16"/>
                <w:szCs w:val="20"/>
              </w:rPr>
              <w:t xml:space="preserve">No </w:t>
            </w:r>
            <w:r w:rsidR="004A5B26">
              <w:rPr>
                <w:rFonts w:ascii="Times New Roman" w:hAnsi="Times New Roman" w:cs="Times New Roman"/>
                <w:sz w:val="16"/>
                <w:szCs w:val="20"/>
              </w:rPr>
              <w:t xml:space="preserve">loss to follow up OR loss to follow </w:t>
            </w:r>
            <w:r w:rsidRPr="00591C1B">
              <w:rPr>
                <w:rFonts w:ascii="Times New Roman" w:hAnsi="Times New Roman" w:cs="Times New Roman"/>
                <w:sz w:val="16"/>
                <w:szCs w:val="20"/>
              </w:rPr>
              <w:t>up &lt; 20% with comparison on key characteristics and no important differences</w:t>
            </w:r>
          </w:p>
        </w:tc>
      </w:tr>
      <w:tr w:rsidR="00BF2457" w:rsidRPr="002F3A45" w:rsidTr="004578E0">
        <w:trPr>
          <w:trHeight w:val="258"/>
        </w:trPr>
        <w:tc>
          <w:tcPr>
            <w:tcW w:w="427" w:type="pct"/>
            <w:vMerge/>
            <w:tcBorders>
              <w:left w:val="single" w:sz="12" w:space="0" w:color="auto"/>
              <w:right w:val="single" w:sz="4" w:space="0" w:color="auto"/>
            </w:tcBorders>
            <w:vAlign w:val="center"/>
          </w:tcPr>
          <w:p w:rsidR="00BF2457" w:rsidRPr="00591C1B" w:rsidRDefault="00BF2457" w:rsidP="004578E0">
            <w:pPr>
              <w:rPr>
                <w:rFonts w:ascii="Times New Roman" w:hAnsi="Times New Roman" w:cs="Times New Roman"/>
                <w:sz w:val="16"/>
                <w:szCs w:val="20"/>
              </w:rPr>
            </w:pPr>
          </w:p>
        </w:tc>
        <w:tc>
          <w:tcPr>
            <w:tcW w:w="442" w:type="pct"/>
            <w:vMerge/>
            <w:tcBorders>
              <w:left w:val="single" w:sz="4" w:space="0" w:color="auto"/>
              <w:right w:val="single" w:sz="4" w:space="0" w:color="auto"/>
            </w:tcBorders>
            <w:shd w:val="clear" w:color="auto" w:fill="auto"/>
            <w:vAlign w:val="center"/>
          </w:tcPr>
          <w:p w:rsidR="00BF2457" w:rsidRPr="00591C1B" w:rsidRDefault="00BF2457" w:rsidP="004578E0">
            <w:pPr>
              <w:rPr>
                <w:rFonts w:ascii="Times New Roman" w:hAnsi="Times New Roman" w:cs="Times New Roman"/>
                <w:sz w:val="16"/>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F2457" w:rsidRPr="00591C1B" w:rsidRDefault="00BF2457" w:rsidP="004578E0">
            <w:pPr>
              <w:rPr>
                <w:rFonts w:ascii="Times New Roman" w:hAnsi="Times New Roman" w:cs="Times New Roman"/>
                <w:b/>
                <w:sz w:val="16"/>
                <w:szCs w:val="20"/>
              </w:rPr>
            </w:pPr>
            <w:r w:rsidRPr="00591C1B">
              <w:rPr>
                <w:rFonts w:ascii="Times New Roman" w:hAnsi="Times New Roman" w:cs="Times New Roman"/>
                <w:sz w:val="16"/>
                <w:szCs w:val="20"/>
              </w:rPr>
              <w:t>Moderate</w:t>
            </w:r>
          </w:p>
        </w:tc>
        <w:tc>
          <w:tcPr>
            <w:tcW w:w="3749" w:type="pct"/>
            <w:tcBorders>
              <w:top w:val="single" w:sz="4" w:space="0" w:color="auto"/>
              <w:left w:val="single" w:sz="4" w:space="0" w:color="auto"/>
              <w:bottom w:val="single" w:sz="4" w:space="0" w:color="auto"/>
              <w:right w:val="single" w:sz="12" w:space="0" w:color="auto"/>
            </w:tcBorders>
            <w:vAlign w:val="center"/>
          </w:tcPr>
          <w:p w:rsidR="00BF2457" w:rsidRPr="00591C1B" w:rsidRDefault="00BF2457" w:rsidP="004578E0">
            <w:pPr>
              <w:rPr>
                <w:rFonts w:ascii="Times New Roman" w:hAnsi="Times New Roman" w:cs="Times New Roman"/>
                <w:sz w:val="16"/>
                <w:szCs w:val="20"/>
              </w:rPr>
            </w:pPr>
            <w:r w:rsidRPr="00591C1B">
              <w:rPr>
                <w:rFonts w:ascii="Times New Roman" w:hAnsi="Times New Roman" w:cs="Times New Roman"/>
                <w:sz w:val="16"/>
                <w:szCs w:val="20"/>
              </w:rPr>
              <w:t>Not satisfying one of the above criteria</w:t>
            </w:r>
          </w:p>
        </w:tc>
      </w:tr>
      <w:tr w:rsidR="00BF2457" w:rsidRPr="002F3A45" w:rsidTr="004578E0">
        <w:trPr>
          <w:trHeight w:val="258"/>
        </w:trPr>
        <w:tc>
          <w:tcPr>
            <w:tcW w:w="427" w:type="pct"/>
            <w:vMerge/>
            <w:tcBorders>
              <w:left w:val="single" w:sz="12" w:space="0" w:color="auto"/>
              <w:bottom w:val="single" w:sz="4" w:space="0" w:color="auto"/>
              <w:right w:val="single" w:sz="4" w:space="0" w:color="auto"/>
            </w:tcBorders>
            <w:vAlign w:val="center"/>
          </w:tcPr>
          <w:p w:rsidR="00BF2457" w:rsidRPr="00591C1B" w:rsidRDefault="00BF2457" w:rsidP="004578E0">
            <w:pPr>
              <w:rPr>
                <w:rFonts w:ascii="Times New Roman" w:hAnsi="Times New Roman" w:cs="Times New Roman"/>
                <w:sz w:val="16"/>
                <w:szCs w:val="20"/>
              </w:rPr>
            </w:pPr>
          </w:p>
        </w:tc>
        <w:tc>
          <w:tcPr>
            <w:tcW w:w="442" w:type="pct"/>
            <w:vMerge/>
            <w:tcBorders>
              <w:left w:val="single" w:sz="4" w:space="0" w:color="auto"/>
              <w:bottom w:val="single" w:sz="4" w:space="0" w:color="auto"/>
              <w:right w:val="single" w:sz="4" w:space="0" w:color="auto"/>
            </w:tcBorders>
            <w:shd w:val="clear" w:color="auto" w:fill="auto"/>
            <w:vAlign w:val="center"/>
          </w:tcPr>
          <w:p w:rsidR="00BF2457" w:rsidRPr="00591C1B" w:rsidRDefault="00BF2457" w:rsidP="004578E0">
            <w:pPr>
              <w:rPr>
                <w:rFonts w:ascii="Times New Roman" w:hAnsi="Times New Roman" w:cs="Times New Roman"/>
                <w:sz w:val="16"/>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F2457" w:rsidRPr="00591C1B" w:rsidRDefault="00BF2457" w:rsidP="004578E0">
            <w:pPr>
              <w:rPr>
                <w:rFonts w:ascii="Times New Roman" w:hAnsi="Times New Roman" w:cs="Times New Roman"/>
                <w:b/>
                <w:sz w:val="16"/>
                <w:szCs w:val="20"/>
              </w:rPr>
            </w:pPr>
            <w:r w:rsidRPr="00591C1B">
              <w:rPr>
                <w:rFonts w:ascii="Times New Roman" w:hAnsi="Times New Roman" w:cs="Times New Roman"/>
                <w:sz w:val="16"/>
                <w:szCs w:val="20"/>
              </w:rPr>
              <w:t>High</w:t>
            </w:r>
          </w:p>
        </w:tc>
        <w:tc>
          <w:tcPr>
            <w:tcW w:w="3749" w:type="pct"/>
            <w:tcBorders>
              <w:top w:val="single" w:sz="4" w:space="0" w:color="auto"/>
              <w:left w:val="single" w:sz="4" w:space="0" w:color="auto"/>
              <w:bottom w:val="single" w:sz="4" w:space="0" w:color="auto"/>
              <w:right w:val="single" w:sz="12" w:space="0" w:color="auto"/>
            </w:tcBorders>
            <w:vAlign w:val="center"/>
          </w:tcPr>
          <w:p w:rsidR="00BF2457" w:rsidRPr="00591C1B" w:rsidRDefault="00BF2457" w:rsidP="004578E0">
            <w:pPr>
              <w:rPr>
                <w:rFonts w:ascii="Times New Roman" w:hAnsi="Times New Roman" w:cs="Times New Roman"/>
                <w:sz w:val="16"/>
                <w:szCs w:val="20"/>
              </w:rPr>
            </w:pPr>
            <w:r w:rsidRPr="00591C1B">
              <w:rPr>
                <w:rFonts w:ascii="Times New Roman" w:hAnsi="Times New Roman" w:cs="Times New Roman"/>
                <w:sz w:val="16"/>
                <w:szCs w:val="20"/>
              </w:rPr>
              <w:t>Not satisfying both of the above criteria</w:t>
            </w:r>
          </w:p>
        </w:tc>
      </w:tr>
      <w:tr w:rsidR="00BF2457" w:rsidRPr="002F3A45" w:rsidTr="004578E0">
        <w:trPr>
          <w:trHeight w:val="260"/>
        </w:trPr>
        <w:tc>
          <w:tcPr>
            <w:tcW w:w="427" w:type="pct"/>
            <w:vMerge w:val="restart"/>
            <w:tcBorders>
              <w:top w:val="single" w:sz="4" w:space="0" w:color="auto"/>
              <w:left w:val="single" w:sz="12" w:space="0" w:color="auto"/>
              <w:right w:val="single" w:sz="4" w:space="0" w:color="auto"/>
            </w:tcBorders>
            <w:vAlign w:val="center"/>
          </w:tcPr>
          <w:p w:rsidR="00BF2457" w:rsidRPr="00591C1B" w:rsidRDefault="00BF2457" w:rsidP="004578E0">
            <w:pPr>
              <w:rPr>
                <w:rFonts w:ascii="Times New Roman" w:hAnsi="Times New Roman" w:cs="Times New Roman"/>
                <w:sz w:val="16"/>
                <w:szCs w:val="20"/>
              </w:rPr>
            </w:pPr>
            <w:r w:rsidRPr="00591C1B">
              <w:rPr>
                <w:rFonts w:ascii="Times New Roman" w:hAnsi="Times New Roman" w:cs="Times New Roman"/>
                <w:sz w:val="16"/>
                <w:szCs w:val="20"/>
              </w:rPr>
              <w:t>Information bias</w:t>
            </w:r>
          </w:p>
        </w:tc>
        <w:tc>
          <w:tcPr>
            <w:tcW w:w="442" w:type="pct"/>
            <w:vMerge w:val="restart"/>
            <w:tcBorders>
              <w:top w:val="single" w:sz="4" w:space="0" w:color="auto"/>
              <w:left w:val="single" w:sz="4" w:space="0" w:color="auto"/>
              <w:right w:val="single" w:sz="4" w:space="0" w:color="auto"/>
            </w:tcBorders>
            <w:shd w:val="clear" w:color="auto" w:fill="auto"/>
            <w:vAlign w:val="center"/>
          </w:tcPr>
          <w:p w:rsidR="00BF2457" w:rsidRPr="00591C1B" w:rsidRDefault="00BF2457" w:rsidP="004578E0">
            <w:pPr>
              <w:rPr>
                <w:rFonts w:ascii="Times New Roman" w:hAnsi="Times New Roman" w:cs="Times New Roman"/>
                <w:sz w:val="16"/>
                <w:szCs w:val="20"/>
              </w:rPr>
            </w:pPr>
            <w:r w:rsidRPr="00591C1B">
              <w:rPr>
                <w:rFonts w:ascii="Times New Roman" w:hAnsi="Times New Roman" w:cs="Times New Roman"/>
                <w:sz w:val="16"/>
                <w:szCs w:val="20"/>
              </w:rPr>
              <w:t>Predictors</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F2457" w:rsidRPr="00591C1B" w:rsidRDefault="00BF2457" w:rsidP="004578E0">
            <w:pPr>
              <w:rPr>
                <w:rFonts w:ascii="Times New Roman" w:hAnsi="Times New Roman" w:cs="Times New Roman"/>
                <w:b/>
                <w:sz w:val="16"/>
                <w:szCs w:val="20"/>
              </w:rPr>
            </w:pPr>
            <w:r w:rsidRPr="00591C1B">
              <w:rPr>
                <w:rFonts w:ascii="Times New Roman" w:hAnsi="Times New Roman" w:cs="Times New Roman"/>
                <w:sz w:val="16"/>
                <w:szCs w:val="20"/>
              </w:rPr>
              <w:t>Low</w:t>
            </w:r>
          </w:p>
        </w:tc>
        <w:tc>
          <w:tcPr>
            <w:tcW w:w="3749" w:type="pct"/>
            <w:tcBorders>
              <w:top w:val="single" w:sz="4" w:space="0" w:color="auto"/>
              <w:left w:val="single" w:sz="4" w:space="0" w:color="auto"/>
              <w:bottom w:val="single" w:sz="4" w:space="0" w:color="auto"/>
              <w:right w:val="single" w:sz="12" w:space="0" w:color="auto"/>
            </w:tcBorders>
            <w:vAlign w:val="center"/>
          </w:tcPr>
          <w:p w:rsidR="00BF2457" w:rsidRPr="00591C1B" w:rsidRDefault="00BF2457" w:rsidP="004578E0">
            <w:pPr>
              <w:pStyle w:val="ListParagraph"/>
              <w:ind w:left="0"/>
              <w:rPr>
                <w:rFonts w:ascii="Times New Roman" w:hAnsi="Times New Roman" w:cs="Times New Roman"/>
                <w:sz w:val="16"/>
                <w:szCs w:val="20"/>
              </w:rPr>
            </w:pPr>
            <w:r w:rsidRPr="00591C1B">
              <w:rPr>
                <w:rFonts w:ascii="Times New Roman" w:hAnsi="Times New Roman" w:cs="Times New Roman"/>
                <w:sz w:val="16"/>
                <w:szCs w:val="20"/>
              </w:rPr>
              <w:t>Satisfying all of the criteria below:</w:t>
            </w:r>
          </w:p>
          <w:p w:rsidR="00BF2457" w:rsidRPr="00591C1B" w:rsidRDefault="00BF2457" w:rsidP="00BF2457">
            <w:pPr>
              <w:pStyle w:val="ListParagraph"/>
              <w:numPr>
                <w:ilvl w:val="0"/>
                <w:numId w:val="3"/>
              </w:numPr>
              <w:rPr>
                <w:rFonts w:ascii="Times New Roman" w:hAnsi="Times New Roman" w:cs="Times New Roman"/>
                <w:sz w:val="16"/>
                <w:szCs w:val="20"/>
              </w:rPr>
            </w:pPr>
            <w:r w:rsidRPr="00591C1B">
              <w:rPr>
                <w:rFonts w:ascii="Times New Roman" w:hAnsi="Times New Roman" w:cs="Times New Roman"/>
                <w:sz w:val="16"/>
                <w:szCs w:val="20"/>
              </w:rPr>
              <w:t>Clear definition of predictors and measurement of predictors</w:t>
            </w:r>
          </w:p>
          <w:p w:rsidR="00BF2457" w:rsidRPr="00591C1B" w:rsidRDefault="00BF2457" w:rsidP="00BF2457">
            <w:pPr>
              <w:pStyle w:val="ListParagraph"/>
              <w:numPr>
                <w:ilvl w:val="0"/>
                <w:numId w:val="3"/>
              </w:numPr>
              <w:rPr>
                <w:rFonts w:ascii="Times New Roman" w:hAnsi="Times New Roman" w:cs="Times New Roman"/>
                <w:sz w:val="16"/>
                <w:szCs w:val="20"/>
              </w:rPr>
            </w:pPr>
            <w:r w:rsidRPr="00591C1B">
              <w:rPr>
                <w:rFonts w:ascii="Times New Roman" w:hAnsi="Times New Roman" w:cs="Times New Roman"/>
                <w:sz w:val="16"/>
                <w:szCs w:val="20"/>
              </w:rPr>
              <w:t>Valid and reproducible measurement of predictors</w:t>
            </w:r>
          </w:p>
          <w:p w:rsidR="00BF2457" w:rsidRPr="00591C1B" w:rsidRDefault="00BF2457" w:rsidP="00BF2457">
            <w:pPr>
              <w:pStyle w:val="ListParagraph"/>
              <w:numPr>
                <w:ilvl w:val="0"/>
                <w:numId w:val="3"/>
              </w:numPr>
              <w:rPr>
                <w:rFonts w:ascii="Times New Roman" w:hAnsi="Times New Roman" w:cs="Times New Roman"/>
                <w:sz w:val="16"/>
                <w:szCs w:val="20"/>
              </w:rPr>
            </w:pPr>
            <w:r w:rsidRPr="00591C1B">
              <w:rPr>
                <w:rFonts w:ascii="Times New Roman" w:hAnsi="Times New Roman" w:cs="Times New Roman"/>
                <w:sz w:val="16"/>
                <w:szCs w:val="20"/>
              </w:rPr>
              <w:t>Measurement of predictors blinded for the outcome (if applicable)</w:t>
            </w:r>
          </w:p>
          <w:p w:rsidR="00BF2457" w:rsidRPr="00591C1B" w:rsidRDefault="00BF2457" w:rsidP="00BF2457">
            <w:pPr>
              <w:pStyle w:val="ListParagraph"/>
              <w:numPr>
                <w:ilvl w:val="0"/>
                <w:numId w:val="3"/>
              </w:numPr>
              <w:rPr>
                <w:rFonts w:ascii="Times New Roman" w:hAnsi="Times New Roman" w:cs="Times New Roman"/>
                <w:sz w:val="16"/>
                <w:szCs w:val="20"/>
              </w:rPr>
            </w:pPr>
            <w:r w:rsidRPr="00591C1B">
              <w:rPr>
                <w:rFonts w:ascii="Times New Roman" w:hAnsi="Times New Roman" w:cs="Times New Roman"/>
                <w:sz w:val="16"/>
                <w:szCs w:val="20"/>
              </w:rPr>
              <w:t>Assessment (including timing) of predictors similar in all participants</w:t>
            </w:r>
          </w:p>
          <w:p w:rsidR="00BF2457" w:rsidRPr="00591C1B" w:rsidRDefault="00BF2457" w:rsidP="00BF2457">
            <w:pPr>
              <w:pStyle w:val="ListParagraph"/>
              <w:numPr>
                <w:ilvl w:val="0"/>
                <w:numId w:val="3"/>
              </w:numPr>
              <w:rPr>
                <w:rFonts w:ascii="Times New Roman" w:hAnsi="Times New Roman" w:cs="Times New Roman"/>
                <w:sz w:val="16"/>
                <w:szCs w:val="20"/>
              </w:rPr>
            </w:pPr>
            <w:r w:rsidRPr="00591C1B">
              <w:rPr>
                <w:rFonts w:ascii="Times New Roman" w:hAnsi="Times New Roman" w:cs="Times New Roman"/>
                <w:sz w:val="16"/>
                <w:szCs w:val="20"/>
              </w:rPr>
              <w:t>All predictors available at intended time point of use of the model</w:t>
            </w:r>
          </w:p>
        </w:tc>
      </w:tr>
      <w:tr w:rsidR="00BF2457" w:rsidRPr="002F3A45" w:rsidTr="004578E0">
        <w:trPr>
          <w:trHeight w:val="258"/>
        </w:trPr>
        <w:tc>
          <w:tcPr>
            <w:tcW w:w="427" w:type="pct"/>
            <w:vMerge/>
            <w:tcBorders>
              <w:left w:val="single" w:sz="12" w:space="0" w:color="auto"/>
              <w:right w:val="single" w:sz="4" w:space="0" w:color="auto"/>
            </w:tcBorders>
            <w:vAlign w:val="center"/>
          </w:tcPr>
          <w:p w:rsidR="00BF2457" w:rsidRPr="00591C1B" w:rsidRDefault="00BF2457" w:rsidP="004578E0">
            <w:pPr>
              <w:rPr>
                <w:rFonts w:ascii="Times New Roman" w:hAnsi="Times New Roman" w:cs="Times New Roman"/>
                <w:sz w:val="16"/>
                <w:szCs w:val="20"/>
              </w:rPr>
            </w:pPr>
          </w:p>
        </w:tc>
        <w:tc>
          <w:tcPr>
            <w:tcW w:w="442" w:type="pct"/>
            <w:vMerge/>
            <w:tcBorders>
              <w:left w:val="single" w:sz="4" w:space="0" w:color="auto"/>
              <w:right w:val="single" w:sz="4" w:space="0" w:color="auto"/>
            </w:tcBorders>
            <w:shd w:val="clear" w:color="auto" w:fill="auto"/>
            <w:vAlign w:val="center"/>
          </w:tcPr>
          <w:p w:rsidR="00BF2457" w:rsidRPr="00591C1B" w:rsidRDefault="00BF2457" w:rsidP="004578E0">
            <w:pPr>
              <w:rPr>
                <w:rFonts w:ascii="Times New Roman" w:hAnsi="Times New Roman" w:cs="Times New Roman"/>
                <w:sz w:val="16"/>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F2457" w:rsidRPr="00591C1B" w:rsidRDefault="00BF2457" w:rsidP="004578E0">
            <w:pPr>
              <w:rPr>
                <w:rFonts w:ascii="Times New Roman" w:hAnsi="Times New Roman" w:cs="Times New Roman"/>
                <w:b/>
                <w:sz w:val="16"/>
                <w:szCs w:val="20"/>
              </w:rPr>
            </w:pPr>
            <w:r w:rsidRPr="00591C1B">
              <w:rPr>
                <w:rFonts w:ascii="Times New Roman" w:hAnsi="Times New Roman" w:cs="Times New Roman"/>
                <w:sz w:val="16"/>
                <w:szCs w:val="20"/>
              </w:rPr>
              <w:t>Moderate</w:t>
            </w:r>
          </w:p>
        </w:tc>
        <w:tc>
          <w:tcPr>
            <w:tcW w:w="3749" w:type="pct"/>
            <w:tcBorders>
              <w:top w:val="single" w:sz="4" w:space="0" w:color="auto"/>
              <w:left w:val="single" w:sz="4" w:space="0" w:color="auto"/>
              <w:bottom w:val="single" w:sz="4" w:space="0" w:color="auto"/>
              <w:right w:val="single" w:sz="12" w:space="0" w:color="auto"/>
            </w:tcBorders>
            <w:vAlign w:val="center"/>
          </w:tcPr>
          <w:p w:rsidR="00BF2457" w:rsidRPr="00591C1B" w:rsidRDefault="00BF2457" w:rsidP="004578E0">
            <w:pPr>
              <w:rPr>
                <w:rFonts w:ascii="Times New Roman" w:hAnsi="Times New Roman" w:cs="Times New Roman"/>
                <w:sz w:val="16"/>
                <w:szCs w:val="20"/>
              </w:rPr>
            </w:pPr>
            <w:r w:rsidRPr="00591C1B">
              <w:rPr>
                <w:rFonts w:ascii="Times New Roman" w:hAnsi="Times New Roman" w:cs="Times New Roman"/>
                <w:sz w:val="16"/>
                <w:szCs w:val="20"/>
              </w:rPr>
              <w:t>Not satisfying one of the above criteria</w:t>
            </w:r>
          </w:p>
        </w:tc>
      </w:tr>
      <w:tr w:rsidR="00BF2457" w:rsidRPr="002F3A45" w:rsidTr="004578E0">
        <w:trPr>
          <w:trHeight w:val="258"/>
        </w:trPr>
        <w:tc>
          <w:tcPr>
            <w:tcW w:w="427" w:type="pct"/>
            <w:vMerge/>
            <w:tcBorders>
              <w:left w:val="single" w:sz="12" w:space="0" w:color="auto"/>
              <w:right w:val="single" w:sz="4" w:space="0" w:color="auto"/>
            </w:tcBorders>
            <w:vAlign w:val="center"/>
          </w:tcPr>
          <w:p w:rsidR="00BF2457" w:rsidRPr="00591C1B" w:rsidRDefault="00BF2457" w:rsidP="004578E0">
            <w:pPr>
              <w:rPr>
                <w:rFonts w:ascii="Times New Roman" w:hAnsi="Times New Roman" w:cs="Times New Roman"/>
                <w:sz w:val="16"/>
                <w:szCs w:val="20"/>
              </w:rPr>
            </w:pPr>
          </w:p>
        </w:tc>
        <w:tc>
          <w:tcPr>
            <w:tcW w:w="442" w:type="pct"/>
            <w:vMerge/>
            <w:tcBorders>
              <w:left w:val="single" w:sz="4" w:space="0" w:color="auto"/>
              <w:bottom w:val="single" w:sz="4" w:space="0" w:color="auto"/>
              <w:right w:val="single" w:sz="4" w:space="0" w:color="auto"/>
            </w:tcBorders>
            <w:shd w:val="clear" w:color="auto" w:fill="auto"/>
            <w:vAlign w:val="center"/>
          </w:tcPr>
          <w:p w:rsidR="00BF2457" w:rsidRPr="00591C1B" w:rsidRDefault="00BF2457" w:rsidP="004578E0">
            <w:pPr>
              <w:rPr>
                <w:rFonts w:ascii="Times New Roman" w:hAnsi="Times New Roman" w:cs="Times New Roman"/>
                <w:sz w:val="16"/>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F2457" w:rsidRPr="00591C1B" w:rsidRDefault="00BF2457" w:rsidP="004578E0">
            <w:pPr>
              <w:rPr>
                <w:rFonts w:ascii="Times New Roman" w:hAnsi="Times New Roman" w:cs="Times New Roman"/>
                <w:b/>
                <w:sz w:val="16"/>
                <w:szCs w:val="20"/>
              </w:rPr>
            </w:pPr>
            <w:r w:rsidRPr="00591C1B">
              <w:rPr>
                <w:rFonts w:ascii="Times New Roman" w:hAnsi="Times New Roman" w:cs="Times New Roman"/>
                <w:sz w:val="16"/>
                <w:szCs w:val="20"/>
              </w:rPr>
              <w:t>High</w:t>
            </w:r>
          </w:p>
        </w:tc>
        <w:tc>
          <w:tcPr>
            <w:tcW w:w="3749" w:type="pct"/>
            <w:tcBorders>
              <w:top w:val="single" w:sz="4" w:space="0" w:color="auto"/>
              <w:left w:val="single" w:sz="4" w:space="0" w:color="auto"/>
              <w:bottom w:val="single" w:sz="4" w:space="0" w:color="auto"/>
              <w:right w:val="single" w:sz="12" w:space="0" w:color="auto"/>
            </w:tcBorders>
            <w:vAlign w:val="center"/>
          </w:tcPr>
          <w:p w:rsidR="00BF2457" w:rsidRPr="00591C1B" w:rsidRDefault="00BF2457" w:rsidP="004578E0">
            <w:pPr>
              <w:rPr>
                <w:rFonts w:ascii="Times New Roman" w:hAnsi="Times New Roman" w:cs="Times New Roman"/>
                <w:sz w:val="16"/>
                <w:szCs w:val="20"/>
              </w:rPr>
            </w:pPr>
            <w:r w:rsidRPr="00591C1B">
              <w:rPr>
                <w:rFonts w:ascii="Times New Roman" w:hAnsi="Times New Roman" w:cs="Times New Roman"/>
                <w:sz w:val="16"/>
                <w:szCs w:val="20"/>
              </w:rPr>
              <w:t>Not satisfying two or more of the above criteria</w:t>
            </w:r>
          </w:p>
        </w:tc>
      </w:tr>
      <w:tr w:rsidR="00BF2457" w:rsidRPr="002F3A45" w:rsidTr="004578E0">
        <w:trPr>
          <w:trHeight w:val="258"/>
        </w:trPr>
        <w:tc>
          <w:tcPr>
            <w:tcW w:w="427" w:type="pct"/>
            <w:vMerge/>
            <w:tcBorders>
              <w:left w:val="single" w:sz="12" w:space="0" w:color="auto"/>
              <w:right w:val="single" w:sz="4" w:space="0" w:color="auto"/>
            </w:tcBorders>
            <w:vAlign w:val="center"/>
          </w:tcPr>
          <w:p w:rsidR="00BF2457" w:rsidRPr="00591C1B" w:rsidRDefault="00BF2457" w:rsidP="004578E0">
            <w:pPr>
              <w:rPr>
                <w:rFonts w:ascii="Times New Roman" w:hAnsi="Times New Roman" w:cs="Times New Roman"/>
                <w:sz w:val="16"/>
                <w:szCs w:val="20"/>
              </w:rPr>
            </w:pPr>
          </w:p>
        </w:tc>
        <w:tc>
          <w:tcPr>
            <w:tcW w:w="442" w:type="pct"/>
            <w:vMerge w:val="restart"/>
            <w:tcBorders>
              <w:top w:val="single" w:sz="4" w:space="0" w:color="auto"/>
              <w:left w:val="single" w:sz="4" w:space="0" w:color="auto"/>
              <w:right w:val="single" w:sz="4" w:space="0" w:color="auto"/>
            </w:tcBorders>
            <w:shd w:val="clear" w:color="auto" w:fill="auto"/>
            <w:vAlign w:val="center"/>
          </w:tcPr>
          <w:p w:rsidR="00BF2457" w:rsidRPr="00591C1B" w:rsidRDefault="00BF2457" w:rsidP="004578E0">
            <w:pPr>
              <w:rPr>
                <w:rFonts w:ascii="Times New Roman" w:hAnsi="Times New Roman" w:cs="Times New Roman"/>
                <w:sz w:val="16"/>
                <w:szCs w:val="20"/>
              </w:rPr>
            </w:pPr>
            <w:r w:rsidRPr="00591C1B">
              <w:rPr>
                <w:rFonts w:ascii="Times New Roman" w:hAnsi="Times New Roman" w:cs="Times New Roman"/>
                <w:sz w:val="16"/>
                <w:szCs w:val="20"/>
              </w:rPr>
              <w:t>Outcome</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F2457" w:rsidRPr="00591C1B" w:rsidRDefault="00BF2457" w:rsidP="004578E0">
            <w:pPr>
              <w:rPr>
                <w:rFonts w:ascii="Times New Roman" w:hAnsi="Times New Roman" w:cs="Times New Roman"/>
                <w:sz w:val="16"/>
                <w:szCs w:val="20"/>
              </w:rPr>
            </w:pPr>
            <w:r w:rsidRPr="00591C1B">
              <w:rPr>
                <w:rFonts w:ascii="Times New Roman" w:hAnsi="Times New Roman" w:cs="Times New Roman"/>
                <w:sz w:val="16"/>
                <w:szCs w:val="20"/>
              </w:rPr>
              <w:t>Low</w:t>
            </w:r>
          </w:p>
        </w:tc>
        <w:tc>
          <w:tcPr>
            <w:tcW w:w="3749" w:type="pct"/>
            <w:tcBorders>
              <w:top w:val="single" w:sz="4" w:space="0" w:color="auto"/>
              <w:left w:val="single" w:sz="4" w:space="0" w:color="auto"/>
              <w:bottom w:val="single" w:sz="4" w:space="0" w:color="auto"/>
              <w:right w:val="single" w:sz="12" w:space="0" w:color="auto"/>
            </w:tcBorders>
            <w:vAlign w:val="center"/>
          </w:tcPr>
          <w:p w:rsidR="00BF2457" w:rsidRPr="00591C1B" w:rsidRDefault="00BF2457" w:rsidP="004578E0">
            <w:pPr>
              <w:rPr>
                <w:rFonts w:ascii="Times New Roman" w:hAnsi="Times New Roman" w:cs="Times New Roman"/>
                <w:sz w:val="16"/>
                <w:szCs w:val="20"/>
              </w:rPr>
            </w:pPr>
            <w:r w:rsidRPr="00591C1B">
              <w:rPr>
                <w:rFonts w:ascii="Times New Roman" w:hAnsi="Times New Roman" w:cs="Times New Roman"/>
                <w:sz w:val="16"/>
                <w:szCs w:val="20"/>
              </w:rPr>
              <w:t>Satisfying all of the criteria below:</w:t>
            </w:r>
          </w:p>
          <w:p w:rsidR="00BF2457" w:rsidRPr="00591C1B" w:rsidRDefault="00BF2457" w:rsidP="00BF2457">
            <w:pPr>
              <w:pStyle w:val="ListParagraph"/>
              <w:numPr>
                <w:ilvl w:val="0"/>
                <w:numId w:val="4"/>
              </w:numPr>
              <w:rPr>
                <w:rFonts w:ascii="Times New Roman" w:hAnsi="Times New Roman" w:cs="Times New Roman"/>
                <w:sz w:val="16"/>
                <w:szCs w:val="20"/>
              </w:rPr>
            </w:pPr>
            <w:r w:rsidRPr="00591C1B">
              <w:rPr>
                <w:rFonts w:ascii="Times New Roman" w:hAnsi="Times New Roman" w:cs="Times New Roman"/>
                <w:sz w:val="16"/>
                <w:szCs w:val="20"/>
              </w:rPr>
              <w:t>Clear definition of outcome and measurement of outcome</w:t>
            </w:r>
          </w:p>
          <w:p w:rsidR="00BF2457" w:rsidRPr="00591C1B" w:rsidRDefault="00BF2457" w:rsidP="00BF2457">
            <w:pPr>
              <w:pStyle w:val="ListParagraph"/>
              <w:numPr>
                <w:ilvl w:val="0"/>
                <w:numId w:val="4"/>
              </w:numPr>
              <w:rPr>
                <w:rFonts w:ascii="Times New Roman" w:hAnsi="Times New Roman" w:cs="Times New Roman"/>
                <w:sz w:val="16"/>
                <w:szCs w:val="20"/>
              </w:rPr>
            </w:pPr>
            <w:r w:rsidRPr="00591C1B">
              <w:rPr>
                <w:rFonts w:ascii="Times New Roman" w:hAnsi="Times New Roman" w:cs="Times New Roman"/>
                <w:sz w:val="16"/>
                <w:szCs w:val="20"/>
              </w:rPr>
              <w:t>Valid and reproducible measurement of outcome</w:t>
            </w:r>
          </w:p>
          <w:p w:rsidR="00BF2457" w:rsidRPr="00591C1B" w:rsidRDefault="00BF2457" w:rsidP="00BF2457">
            <w:pPr>
              <w:pStyle w:val="ListParagraph"/>
              <w:numPr>
                <w:ilvl w:val="0"/>
                <w:numId w:val="4"/>
              </w:numPr>
              <w:rPr>
                <w:rFonts w:ascii="Times New Roman" w:hAnsi="Times New Roman" w:cs="Times New Roman"/>
                <w:sz w:val="16"/>
                <w:szCs w:val="20"/>
              </w:rPr>
            </w:pPr>
            <w:r w:rsidRPr="00591C1B">
              <w:rPr>
                <w:rFonts w:ascii="Times New Roman" w:hAnsi="Times New Roman" w:cs="Times New Roman"/>
                <w:sz w:val="16"/>
                <w:szCs w:val="20"/>
              </w:rPr>
              <w:t xml:space="preserve">Measurement of outcome blinded for predictors </w:t>
            </w:r>
          </w:p>
          <w:p w:rsidR="00BF2457" w:rsidRPr="00591C1B" w:rsidRDefault="00BF2457" w:rsidP="00BF2457">
            <w:pPr>
              <w:pStyle w:val="ListParagraph"/>
              <w:numPr>
                <w:ilvl w:val="0"/>
                <w:numId w:val="4"/>
              </w:numPr>
              <w:rPr>
                <w:rFonts w:ascii="Times New Roman" w:hAnsi="Times New Roman" w:cs="Times New Roman"/>
                <w:sz w:val="16"/>
                <w:szCs w:val="20"/>
              </w:rPr>
            </w:pPr>
            <w:r w:rsidRPr="00591C1B">
              <w:rPr>
                <w:rFonts w:ascii="Times New Roman" w:hAnsi="Times New Roman" w:cs="Times New Roman"/>
                <w:sz w:val="16"/>
                <w:szCs w:val="20"/>
              </w:rPr>
              <w:t>Assessment (including timing) of outcome similar in all participants</w:t>
            </w:r>
          </w:p>
        </w:tc>
      </w:tr>
      <w:tr w:rsidR="00BF2457" w:rsidRPr="002F3A45" w:rsidTr="004578E0">
        <w:trPr>
          <w:trHeight w:val="258"/>
        </w:trPr>
        <w:tc>
          <w:tcPr>
            <w:tcW w:w="427" w:type="pct"/>
            <w:vMerge/>
            <w:tcBorders>
              <w:left w:val="single" w:sz="12" w:space="0" w:color="auto"/>
              <w:right w:val="single" w:sz="4" w:space="0" w:color="auto"/>
            </w:tcBorders>
            <w:vAlign w:val="center"/>
          </w:tcPr>
          <w:p w:rsidR="00BF2457" w:rsidRPr="00591C1B" w:rsidRDefault="00BF2457" w:rsidP="004578E0">
            <w:pPr>
              <w:rPr>
                <w:rFonts w:ascii="Times New Roman" w:hAnsi="Times New Roman" w:cs="Times New Roman"/>
                <w:sz w:val="16"/>
                <w:szCs w:val="20"/>
              </w:rPr>
            </w:pPr>
          </w:p>
        </w:tc>
        <w:tc>
          <w:tcPr>
            <w:tcW w:w="442" w:type="pct"/>
            <w:vMerge/>
            <w:tcBorders>
              <w:left w:val="single" w:sz="4" w:space="0" w:color="auto"/>
              <w:right w:val="single" w:sz="4" w:space="0" w:color="auto"/>
            </w:tcBorders>
            <w:shd w:val="clear" w:color="auto" w:fill="auto"/>
            <w:vAlign w:val="center"/>
          </w:tcPr>
          <w:p w:rsidR="00BF2457" w:rsidRPr="00591C1B" w:rsidRDefault="00BF2457" w:rsidP="004578E0">
            <w:pPr>
              <w:rPr>
                <w:rFonts w:ascii="Times New Roman" w:hAnsi="Times New Roman" w:cs="Times New Roman"/>
                <w:sz w:val="16"/>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F2457" w:rsidRPr="00591C1B" w:rsidRDefault="00BF2457" w:rsidP="004578E0">
            <w:pPr>
              <w:rPr>
                <w:rFonts w:ascii="Times New Roman" w:hAnsi="Times New Roman" w:cs="Times New Roman"/>
                <w:sz w:val="16"/>
                <w:szCs w:val="20"/>
              </w:rPr>
            </w:pPr>
            <w:r w:rsidRPr="00591C1B">
              <w:rPr>
                <w:rFonts w:ascii="Times New Roman" w:hAnsi="Times New Roman" w:cs="Times New Roman"/>
                <w:sz w:val="16"/>
                <w:szCs w:val="20"/>
              </w:rPr>
              <w:t>Moderate</w:t>
            </w:r>
          </w:p>
        </w:tc>
        <w:tc>
          <w:tcPr>
            <w:tcW w:w="3749" w:type="pct"/>
            <w:tcBorders>
              <w:top w:val="single" w:sz="4" w:space="0" w:color="auto"/>
              <w:left w:val="single" w:sz="4" w:space="0" w:color="auto"/>
              <w:bottom w:val="single" w:sz="4" w:space="0" w:color="auto"/>
              <w:right w:val="single" w:sz="12" w:space="0" w:color="auto"/>
            </w:tcBorders>
            <w:vAlign w:val="center"/>
          </w:tcPr>
          <w:p w:rsidR="00BF2457" w:rsidRPr="00591C1B" w:rsidRDefault="00BF2457" w:rsidP="004578E0">
            <w:pPr>
              <w:rPr>
                <w:rFonts w:ascii="Times New Roman" w:hAnsi="Times New Roman" w:cs="Times New Roman"/>
                <w:sz w:val="16"/>
                <w:szCs w:val="20"/>
              </w:rPr>
            </w:pPr>
            <w:r w:rsidRPr="00591C1B">
              <w:rPr>
                <w:rFonts w:ascii="Times New Roman" w:hAnsi="Times New Roman" w:cs="Times New Roman"/>
                <w:sz w:val="16"/>
                <w:szCs w:val="20"/>
              </w:rPr>
              <w:t>Not satisfying one of the above criteria</w:t>
            </w:r>
          </w:p>
        </w:tc>
      </w:tr>
      <w:tr w:rsidR="00BF2457" w:rsidRPr="002F3A45" w:rsidTr="004578E0">
        <w:trPr>
          <w:trHeight w:val="258"/>
        </w:trPr>
        <w:tc>
          <w:tcPr>
            <w:tcW w:w="427" w:type="pct"/>
            <w:vMerge/>
            <w:tcBorders>
              <w:left w:val="single" w:sz="12" w:space="0" w:color="auto"/>
              <w:bottom w:val="single" w:sz="4" w:space="0" w:color="auto"/>
              <w:right w:val="single" w:sz="4" w:space="0" w:color="auto"/>
            </w:tcBorders>
            <w:vAlign w:val="center"/>
          </w:tcPr>
          <w:p w:rsidR="00BF2457" w:rsidRPr="00591C1B" w:rsidRDefault="00BF2457" w:rsidP="004578E0">
            <w:pPr>
              <w:rPr>
                <w:rFonts w:ascii="Times New Roman" w:hAnsi="Times New Roman" w:cs="Times New Roman"/>
                <w:sz w:val="16"/>
                <w:szCs w:val="20"/>
              </w:rPr>
            </w:pPr>
          </w:p>
        </w:tc>
        <w:tc>
          <w:tcPr>
            <w:tcW w:w="442" w:type="pct"/>
            <w:vMerge/>
            <w:tcBorders>
              <w:left w:val="single" w:sz="4" w:space="0" w:color="auto"/>
              <w:bottom w:val="single" w:sz="4" w:space="0" w:color="auto"/>
              <w:right w:val="single" w:sz="4" w:space="0" w:color="auto"/>
            </w:tcBorders>
            <w:shd w:val="clear" w:color="auto" w:fill="auto"/>
            <w:vAlign w:val="center"/>
          </w:tcPr>
          <w:p w:rsidR="00BF2457" w:rsidRPr="00591C1B" w:rsidRDefault="00BF2457" w:rsidP="004578E0">
            <w:pPr>
              <w:rPr>
                <w:rFonts w:ascii="Times New Roman" w:hAnsi="Times New Roman" w:cs="Times New Roman"/>
                <w:sz w:val="16"/>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F2457" w:rsidRPr="00591C1B" w:rsidRDefault="00BF2457" w:rsidP="004578E0">
            <w:pPr>
              <w:rPr>
                <w:rFonts w:ascii="Times New Roman" w:hAnsi="Times New Roman" w:cs="Times New Roman"/>
                <w:sz w:val="16"/>
                <w:szCs w:val="20"/>
              </w:rPr>
            </w:pPr>
            <w:r w:rsidRPr="00591C1B">
              <w:rPr>
                <w:rFonts w:ascii="Times New Roman" w:hAnsi="Times New Roman" w:cs="Times New Roman"/>
                <w:sz w:val="16"/>
                <w:szCs w:val="20"/>
              </w:rPr>
              <w:t>High</w:t>
            </w:r>
          </w:p>
        </w:tc>
        <w:tc>
          <w:tcPr>
            <w:tcW w:w="3749" w:type="pct"/>
            <w:tcBorders>
              <w:top w:val="single" w:sz="4" w:space="0" w:color="auto"/>
              <w:left w:val="single" w:sz="4" w:space="0" w:color="auto"/>
              <w:bottom w:val="single" w:sz="4" w:space="0" w:color="auto"/>
              <w:right w:val="single" w:sz="12" w:space="0" w:color="auto"/>
            </w:tcBorders>
            <w:vAlign w:val="center"/>
          </w:tcPr>
          <w:p w:rsidR="00BF2457" w:rsidRPr="00591C1B" w:rsidRDefault="00BF2457" w:rsidP="004578E0">
            <w:pPr>
              <w:rPr>
                <w:rFonts w:ascii="Times New Roman" w:hAnsi="Times New Roman" w:cs="Times New Roman"/>
                <w:sz w:val="16"/>
                <w:szCs w:val="20"/>
              </w:rPr>
            </w:pPr>
            <w:r w:rsidRPr="00591C1B">
              <w:rPr>
                <w:rFonts w:ascii="Times New Roman" w:hAnsi="Times New Roman" w:cs="Times New Roman"/>
                <w:sz w:val="16"/>
                <w:szCs w:val="20"/>
              </w:rPr>
              <w:t>Not satisfying two or more of the above criteria</w:t>
            </w:r>
          </w:p>
        </w:tc>
      </w:tr>
      <w:tr w:rsidR="00BF2457" w:rsidRPr="002F3A45" w:rsidTr="004578E0">
        <w:trPr>
          <w:trHeight w:val="260"/>
        </w:trPr>
        <w:tc>
          <w:tcPr>
            <w:tcW w:w="427" w:type="pct"/>
            <w:vMerge w:val="restart"/>
            <w:tcBorders>
              <w:top w:val="single" w:sz="4" w:space="0" w:color="auto"/>
              <w:left w:val="single" w:sz="12" w:space="0" w:color="auto"/>
              <w:right w:val="single" w:sz="4" w:space="0" w:color="auto"/>
            </w:tcBorders>
            <w:vAlign w:val="center"/>
          </w:tcPr>
          <w:p w:rsidR="00BF2457" w:rsidRPr="00591C1B" w:rsidRDefault="00BF2457" w:rsidP="004578E0">
            <w:pPr>
              <w:rPr>
                <w:rFonts w:ascii="Times New Roman" w:hAnsi="Times New Roman" w:cs="Times New Roman"/>
                <w:sz w:val="16"/>
                <w:szCs w:val="20"/>
              </w:rPr>
            </w:pPr>
            <w:r w:rsidRPr="00591C1B">
              <w:rPr>
                <w:rFonts w:ascii="Times New Roman" w:hAnsi="Times New Roman" w:cs="Times New Roman"/>
                <w:sz w:val="16"/>
                <w:szCs w:val="20"/>
              </w:rPr>
              <w:t>Other</w:t>
            </w:r>
          </w:p>
        </w:tc>
        <w:tc>
          <w:tcPr>
            <w:tcW w:w="442" w:type="pct"/>
            <w:vMerge w:val="restart"/>
            <w:tcBorders>
              <w:top w:val="single" w:sz="4" w:space="0" w:color="auto"/>
              <w:left w:val="single" w:sz="4" w:space="0" w:color="auto"/>
              <w:right w:val="single" w:sz="4" w:space="0" w:color="auto"/>
            </w:tcBorders>
            <w:shd w:val="clear" w:color="auto" w:fill="auto"/>
            <w:vAlign w:val="center"/>
          </w:tcPr>
          <w:p w:rsidR="00BF2457" w:rsidRPr="00591C1B" w:rsidRDefault="00BF2457" w:rsidP="004578E0">
            <w:pPr>
              <w:rPr>
                <w:rFonts w:ascii="Times New Roman" w:hAnsi="Times New Roman" w:cs="Times New Roman"/>
                <w:sz w:val="16"/>
                <w:szCs w:val="20"/>
              </w:rPr>
            </w:pPr>
            <w:r w:rsidRPr="00591C1B">
              <w:rPr>
                <w:rFonts w:ascii="Times New Roman" w:hAnsi="Times New Roman" w:cs="Times New Roman"/>
                <w:sz w:val="16"/>
                <w:szCs w:val="20"/>
              </w:rPr>
              <w:t>Analysis</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F2457" w:rsidRPr="00591C1B" w:rsidRDefault="00BF2457" w:rsidP="004578E0">
            <w:pPr>
              <w:rPr>
                <w:rFonts w:ascii="Times New Roman" w:hAnsi="Times New Roman" w:cs="Times New Roman"/>
                <w:b/>
                <w:sz w:val="16"/>
                <w:szCs w:val="20"/>
              </w:rPr>
            </w:pPr>
            <w:r w:rsidRPr="00591C1B">
              <w:rPr>
                <w:rFonts w:ascii="Times New Roman" w:hAnsi="Times New Roman" w:cs="Times New Roman"/>
                <w:sz w:val="16"/>
                <w:szCs w:val="20"/>
              </w:rPr>
              <w:t>Low</w:t>
            </w:r>
          </w:p>
        </w:tc>
        <w:tc>
          <w:tcPr>
            <w:tcW w:w="3749" w:type="pct"/>
            <w:tcBorders>
              <w:top w:val="single" w:sz="4" w:space="0" w:color="auto"/>
              <w:left w:val="single" w:sz="4" w:space="0" w:color="auto"/>
              <w:bottom w:val="single" w:sz="4" w:space="0" w:color="auto"/>
              <w:right w:val="single" w:sz="12" w:space="0" w:color="auto"/>
            </w:tcBorders>
            <w:vAlign w:val="center"/>
          </w:tcPr>
          <w:p w:rsidR="00BF2457" w:rsidRPr="00591C1B" w:rsidRDefault="00BF2457" w:rsidP="004578E0">
            <w:pPr>
              <w:rPr>
                <w:rFonts w:ascii="Times New Roman" w:hAnsi="Times New Roman" w:cs="Times New Roman"/>
                <w:sz w:val="16"/>
                <w:szCs w:val="20"/>
              </w:rPr>
            </w:pPr>
            <w:r w:rsidRPr="00591C1B">
              <w:rPr>
                <w:rFonts w:ascii="Times New Roman" w:hAnsi="Times New Roman" w:cs="Times New Roman"/>
                <w:sz w:val="16"/>
                <w:szCs w:val="20"/>
              </w:rPr>
              <w:t>Satisfying all, or all but one of the criteria below:</w:t>
            </w:r>
          </w:p>
          <w:p w:rsidR="00BF2457" w:rsidRPr="00591C1B" w:rsidRDefault="00BF2457" w:rsidP="00BF2457">
            <w:pPr>
              <w:pStyle w:val="ListParagraph"/>
              <w:numPr>
                <w:ilvl w:val="0"/>
                <w:numId w:val="5"/>
              </w:numPr>
              <w:rPr>
                <w:rFonts w:ascii="Times New Roman" w:hAnsi="Times New Roman" w:cs="Times New Roman"/>
                <w:sz w:val="16"/>
                <w:szCs w:val="20"/>
              </w:rPr>
            </w:pPr>
            <w:r w:rsidRPr="00591C1B">
              <w:rPr>
                <w:rFonts w:ascii="Times New Roman" w:hAnsi="Times New Roman" w:cs="Times New Roman"/>
                <w:sz w:val="16"/>
                <w:szCs w:val="20"/>
              </w:rPr>
              <w:t>Adequate description of analysis, enough to judge the quality of the other criteria</w:t>
            </w:r>
          </w:p>
          <w:p w:rsidR="00BF2457" w:rsidRPr="00591C1B" w:rsidRDefault="00BF2457" w:rsidP="00BF2457">
            <w:pPr>
              <w:pStyle w:val="ListParagraph"/>
              <w:numPr>
                <w:ilvl w:val="0"/>
                <w:numId w:val="5"/>
              </w:numPr>
              <w:rPr>
                <w:rFonts w:ascii="Times New Roman" w:hAnsi="Times New Roman" w:cs="Times New Roman"/>
                <w:sz w:val="16"/>
                <w:szCs w:val="20"/>
              </w:rPr>
            </w:pPr>
            <w:r w:rsidRPr="00591C1B">
              <w:rPr>
                <w:rFonts w:ascii="Times New Roman" w:hAnsi="Times New Roman" w:cs="Times New Roman"/>
                <w:sz w:val="16"/>
                <w:szCs w:val="20"/>
              </w:rPr>
              <w:t>Adequate handling of continuous predictors</w:t>
            </w:r>
          </w:p>
          <w:p w:rsidR="00BF2457" w:rsidRPr="00591C1B" w:rsidRDefault="00BF2457" w:rsidP="00BF2457">
            <w:pPr>
              <w:pStyle w:val="ListParagraph"/>
              <w:numPr>
                <w:ilvl w:val="0"/>
                <w:numId w:val="5"/>
              </w:numPr>
              <w:rPr>
                <w:rFonts w:ascii="Times New Roman" w:hAnsi="Times New Roman" w:cs="Times New Roman"/>
                <w:sz w:val="16"/>
                <w:szCs w:val="20"/>
              </w:rPr>
            </w:pPr>
            <w:r w:rsidRPr="00591C1B">
              <w:rPr>
                <w:rFonts w:ascii="Times New Roman" w:hAnsi="Times New Roman" w:cs="Times New Roman"/>
                <w:sz w:val="16"/>
                <w:szCs w:val="20"/>
              </w:rPr>
              <w:t>Adequate handling of missing values</w:t>
            </w:r>
          </w:p>
          <w:p w:rsidR="00BF2457" w:rsidRPr="00591C1B" w:rsidRDefault="00BF2457" w:rsidP="00BF2457">
            <w:pPr>
              <w:pStyle w:val="ListParagraph"/>
              <w:numPr>
                <w:ilvl w:val="0"/>
                <w:numId w:val="5"/>
              </w:numPr>
              <w:rPr>
                <w:rFonts w:ascii="Times New Roman" w:hAnsi="Times New Roman" w:cs="Times New Roman"/>
                <w:sz w:val="16"/>
                <w:szCs w:val="20"/>
              </w:rPr>
            </w:pPr>
            <w:r w:rsidRPr="00591C1B">
              <w:rPr>
                <w:rFonts w:ascii="Times New Roman" w:hAnsi="Times New Roman" w:cs="Times New Roman"/>
                <w:sz w:val="16"/>
                <w:szCs w:val="20"/>
              </w:rPr>
              <w:t>Adequate selection method</w:t>
            </w:r>
          </w:p>
          <w:p w:rsidR="00BF2457" w:rsidRPr="00591C1B" w:rsidRDefault="00BF2457" w:rsidP="00BF2457">
            <w:pPr>
              <w:pStyle w:val="ListParagraph"/>
              <w:numPr>
                <w:ilvl w:val="0"/>
                <w:numId w:val="5"/>
              </w:numPr>
              <w:rPr>
                <w:rFonts w:ascii="Times New Roman" w:hAnsi="Times New Roman" w:cs="Times New Roman"/>
                <w:sz w:val="16"/>
                <w:szCs w:val="20"/>
              </w:rPr>
            </w:pPr>
            <w:r w:rsidRPr="00591C1B">
              <w:rPr>
                <w:rFonts w:ascii="Times New Roman" w:hAnsi="Times New Roman" w:cs="Times New Roman"/>
                <w:sz w:val="16"/>
                <w:szCs w:val="20"/>
              </w:rPr>
              <w:t>Events-per-variable reasonable</w:t>
            </w:r>
          </w:p>
          <w:p w:rsidR="00BF2457" w:rsidRPr="00591C1B" w:rsidRDefault="00BF2457" w:rsidP="00BF2457">
            <w:pPr>
              <w:pStyle w:val="ListParagraph"/>
              <w:numPr>
                <w:ilvl w:val="0"/>
                <w:numId w:val="5"/>
              </w:numPr>
              <w:rPr>
                <w:rFonts w:ascii="Times New Roman" w:hAnsi="Times New Roman" w:cs="Times New Roman"/>
                <w:sz w:val="16"/>
                <w:szCs w:val="20"/>
              </w:rPr>
            </w:pPr>
            <w:r w:rsidRPr="00591C1B">
              <w:rPr>
                <w:rFonts w:ascii="Times New Roman" w:hAnsi="Times New Roman" w:cs="Times New Roman"/>
                <w:sz w:val="16"/>
                <w:szCs w:val="20"/>
              </w:rPr>
              <w:t>Accounted for overfitting/optimism</w:t>
            </w:r>
          </w:p>
          <w:p w:rsidR="00BF2457" w:rsidRPr="00591C1B" w:rsidRDefault="00BF2457" w:rsidP="00BF2457">
            <w:pPr>
              <w:pStyle w:val="ListParagraph"/>
              <w:numPr>
                <w:ilvl w:val="0"/>
                <w:numId w:val="5"/>
              </w:numPr>
              <w:rPr>
                <w:rFonts w:ascii="Times New Roman" w:hAnsi="Times New Roman" w:cs="Times New Roman"/>
                <w:sz w:val="16"/>
                <w:szCs w:val="20"/>
              </w:rPr>
            </w:pPr>
            <w:r w:rsidRPr="00591C1B">
              <w:rPr>
                <w:rFonts w:ascii="Times New Roman" w:hAnsi="Times New Roman" w:cs="Times New Roman"/>
                <w:sz w:val="16"/>
                <w:szCs w:val="20"/>
              </w:rPr>
              <w:t>Assessment of model performance: explained variation and/or calibration and/or discrimination (with a-priori defined cut-off)</w:t>
            </w:r>
          </w:p>
        </w:tc>
      </w:tr>
      <w:tr w:rsidR="00BF2457" w:rsidRPr="002F3A45" w:rsidTr="004578E0">
        <w:trPr>
          <w:trHeight w:val="258"/>
        </w:trPr>
        <w:tc>
          <w:tcPr>
            <w:tcW w:w="427" w:type="pct"/>
            <w:vMerge/>
            <w:tcBorders>
              <w:left w:val="single" w:sz="12" w:space="0" w:color="auto"/>
              <w:right w:val="single" w:sz="4" w:space="0" w:color="auto"/>
            </w:tcBorders>
          </w:tcPr>
          <w:p w:rsidR="00BF2457" w:rsidRPr="00591C1B" w:rsidRDefault="00BF2457" w:rsidP="004578E0">
            <w:pPr>
              <w:rPr>
                <w:rFonts w:ascii="Times New Roman" w:hAnsi="Times New Roman" w:cs="Times New Roman"/>
                <w:sz w:val="16"/>
                <w:szCs w:val="20"/>
              </w:rPr>
            </w:pPr>
          </w:p>
        </w:tc>
        <w:tc>
          <w:tcPr>
            <w:tcW w:w="442" w:type="pct"/>
            <w:vMerge/>
            <w:tcBorders>
              <w:left w:val="single" w:sz="4" w:space="0" w:color="auto"/>
              <w:right w:val="single" w:sz="4" w:space="0" w:color="auto"/>
            </w:tcBorders>
            <w:shd w:val="clear" w:color="auto" w:fill="auto"/>
            <w:vAlign w:val="center"/>
          </w:tcPr>
          <w:p w:rsidR="00BF2457" w:rsidRPr="00591C1B" w:rsidRDefault="00BF2457" w:rsidP="004578E0">
            <w:pPr>
              <w:rPr>
                <w:rFonts w:ascii="Times New Roman" w:hAnsi="Times New Roman" w:cs="Times New Roman"/>
                <w:sz w:val="16"/>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F2457" w:rsidRPr="00591C1B" w:rsidRDefault="00BF2457" w:rsidP="004578E0">
            <w:pPr>
              <w:rPr>
                <w:rFonts w:ascii="Times New Roman" w:hAnsi="Times New Roman" w:cs="Times New Roman"/>
                <w:b/>
                <w:sz w:val="16"/>
                <w:szCs w:val="20"/>
              </w:rPr>
            </w:pPr>
            <w:r w:rsidRPr="00591C1B">
              <w:rPr>
                <w:rFonts w:ascii="Times New Roman" w:hAnsi="Times New Roman" w:cs="Times New Roman"/>
                <w:sz w:val="16"/>
                <w:szCs w:val="20"/>
              </w:rPr>
              <w:t>Moderate</w:t>
            </w:r>
          </w:p>
        </w:tc>
        <w:tc>
          <w:tcPr>
            <w:tcW w:w="3749" w:type="pct"/>
            <w:tcBorders>
              <w:top w:val="single" w:sz="4" w:space="0" w:color="auto"/>
              <w:left w:val="single" w:sz="4" w:space="0" w:color="auto"/>
              <w:bottom w:val="single" w:sz="4" w:space="0" w:color="auto"/>
              <w:right w:val="single" w:sz="12" w:space="0" w:color="auto"/>
            </w:tcBorders>
            <w:vAlign w:val="center"/>
          </w:tcPr>
          <w:p w:rsidR="00BF2457" w:rsidRPr="00591C1B" w:rsidRDefault="00BF2457" w:rsidP="004578E0">
            <w:pPr>
              <w:rPr>
                <w:rFonts w:ascii="Times New Roman" w:hAnsi="Times New Roman" w:cs="Times New Roman"/>
                <w:sz w:val="16"/>
                <w:szCs w:val="20"/>
              </w:rPr>
            </w:pPr>
            <w:r w:rsidRPr="00591C1B">
              <w:rPr>
                <w:rFonts w:ascii="Times New Roman" w:hAnsi="Times New Roman" w:cs="Times New Roman"/>
                <w:sz w:val="16"/>
                <w:szCs w:val="20"/>
              </w:rPr>
              <w:t>Not satisfying two of the above criteria</w:t>
            </w:r>
          </w:p>
        </w:tc>
      </w:tr>
      <w:tr w:rsidR="00BF2457" w:rsidRPr="002F3A45" w:rsidTr="004578E0">
        <w:trPr>
          <w:trHeight w:val="258"/>
        </w:trPr>
        <w:tc>
          <w:tcPr>
            <w:tcW w:w="427" w:type="pct"/>
            <w:vMerge/>
            <w:tcBorders>
              <w:left w:val="single" w:sz="12" w:space="0" w:color="auto"/>
              <w:bottom w:val="single" w:sz="12" w:space="0" w:color="auto"/>
              <w:right w:val="single" w:sz="4" w:space="0" w:color="auto"/>
            </w:tcBorders>
          </w:tcPr>
          <w:p w:rsidR="00BF2457" w:rsidRPr="00591C1B" w:rsidRDefault="00BF2457" w:rsidP="004578E0">
            <w:pPr>
              <w:rPr>
                <w:rFonts w:ascii="Times New Roman" w:hAnsi="Times New Roman" w:cs="Times New Roman"/>
                <w:sz w:val="16"/>
                <w:szCs w:val="20"/>
              </w:rPr>
            </w:pPr>
          </w:p>
        </w:tc>
        <w:tc>
          <w:tcPr>
            <w:tcW w:w="442" w:type="pct"/>
            <w:vMerge/>
            <w:tcBorders>
              <w:left w:val="single" w:sz="4" w:space="0" w:color="auto"/>
              <w:bottom w:val="single" w:sz="12" w:space="0" w:color="auto"/>
              <w:right w:val="single" w:sz="4" w:space="0" w:color="auto"/>
            </w:tcBorders>
            <w:shd w:val="clear" w:color="auto" w:fill="auto"/>
            <w:vAlign w:val="center"/>
          </w:tcPr>
          <w:p w:rsidR="00BF2457" w:rsidRPr="00591C1B" w:rsidRDefault="00BF2457" w:rsidP="004578E0">
            <w:pPr>
              <w:rPr>
                <w:rFonts w:ascii="Times New Roman" w:hAnsi="Times New Roman" w:cs="Times New Roman"/>
                <w:sz w:val="16"/>
                <w:szCs w:val="20"/>
              </w:rPr>
            </w:pPr>
          </w:p>
        </w:tc>
        <w:tc>
          <w:tcPr>
            <w:tcW w:w="382" w:type="pct"/>
            <w:tcBorders>
              <w:top w:val="single" w:sz="4" w:space="0" w:color="auto"/>
              <w:left w:val="single" w:sz="4" w:space="0" w:color="auto"/>
              <w:bottom w:val="single" w:sz="12" w:space="0" w:color="auto"/>
              <w:right w:val="single" w:sz="4" w:space="0" w:color="auto"/>
            </w:tcBorders>
            <w:shd w:val="clear" w:color="auto" w:fill="auto"/>
            <w:vAlign w:val="center"/>
          </w:tcPr>
          <w:p w:rsidR="00BF2457" w:rsidRPr="00591C1B" w:rsidRDefault="00BF2457" w:rsidP="004578E0">
            <w:pPr>
              <w:rPr>
                <w:rFonts w:ascii="Times New Roman" w:hAnsi="Times New Roman" w:cs="Times New Roman"/>
                <w:b/>
                <w:sz w:val="16"/>
                <w:szCs w:val="20"/>
              </w:rPr>
            </w:pPr>
            <w:r w:rsidRPr="00591C1B">
              <w:rPr>
                <w:rFonts w:ascii="Times New Roman" w:hAnsi="Times New Roman" w:cs="Times New Roman"/>
                <w:sz w:val="16"/>
                <w:szCs w:val="20"/>
              </w:rPr>
              <w:t>High</w:t>
            </w:r>
          </w:p>
        </w:tc>
        <w:tc>
          <w:tcPr>
            <w:tcW w:w="3749" w:type="pct"/>
            <w:tcBorders>
              <w:top w:val="single" w:sz="4" w:space="0" w:color="auto"/>
              <w:left w:val="single" w:sz="4" w:space="0" w:color="auto"/>
              <w:bottom w:val="single" w:sz="12" w:space="0" w:color="auto"/>
              <w:right w:val="single" w:sz="12" w:space="0" w:color="auto"/>
            </w:tcBorders>
            <w:vAlign w:val="center"/>
          </w:tcPr>
          <w:p w:rsidR="00BF2457" w:rsidRPr="00591C1B" w:rsidRDefault="00BF2457" w:rsidP="004578E0">
            <w:pPr>
              <w:rPr>
                <w:rFonts w:ascii="Times New Roman" w:hAnsi="Times New Roman" w:cs="Times New Roman"/>
                <w:sz w:val="16"/>
                <w:szCs w:val="20"/>
              </w:rPr>
            </w:pPr>
            <w:r w:rsidRPr="00591C1B">
              <w:rPr>
                <w:rFonts w:ascii="Times New Roman" w:hAnsi="Times New Roman" w:cs="Times New Roman"/>
                <w:sz w:val="16"/>
                <w:szCs w:val="20"/>
              </w:rPr>
              <w:t>Not satisfying three or more of the above criteria</w:t>
            </w:r>
          </w:p>
        </w:tc>
      </w:tr>
    </w:tbl>
    <w:p w:rsidR="00C73BC8" w:rsidRPr="006A4B12" w:rsidRDefault="00BF2457" w:rsidP="00C73BC8">
      <w:pPr>
        <w:spacing w:after="0"/>
        <w:rPr>
          <w:rFonts w:ascii="Times New Roman" w:hAnsi="Times New Roman" w:cs="Times New Roman"/>
        </w:rPr>
      </w:pPr>
      <w:r>
        <w:rPr>
          <w:rFonts w:ascii="Times New Roman" w:hAnsi="Times New Roman" w:cs="Times New Roman"/>
          <w:b/>
        </w:rPr>
        <w:lastRenderedPageBreak/>
        <w:t>Supplemental Table 3</w:t>
      </w:r>
      <w:r w:rsidR="00C73BC8" w:rsidRPr="006A4B12">
        <w:rPr>
          <w:rFonts w:ascii="Times New Roman" w:hAnsi="Times New Roman" w:cs="Times New Roman"/>
          <w:b/>
        </w:rPr>
        <w:t xml:space="preserve">. </w:t>
      </w:r>
      <w:r w:rsidR="00C73BC8" w:rsidRPr="006A4B12">
        <w:rPr>
          <w:rFonts w:ascii="Times New Roman" w:hAnsi="Times New Roman" w:cs="Times New Roman"/>
        </w:rPr>
        <w:t>Exact definitions of final predictors and outcomes in the included studies</w:t>
      </w:r>
    </w:p>
    <w:p w:rsidR="00C73BC8" w:rsidRPr="006A4B12" w:rsidRDefault="00C73BC8" w:rsidP="00C73BC8">
      <w:pPr>
        <w:spacing w:after="0"/>
        <w:rPr>
          <w:rFonts w:ascii="Times New Roman" w:hAnsi="Times New Roman" w:cs="Times New Roman"/>
          <w:sz w:val="20"/>
        </w:rPr>
      </w:pPr>
    </w:p>
    <w:tbl>
      <w:tblPr>
        <w:tblStyle w:val="TableGrid"/>
        <w:tblW w:w="5000" w:type="pct"/>
        <w:tblLayout w:type="fixed"/>
        <w:tblLook w:val="04A0" w:firstRow="1" w:lastRow="0" w:firstColumn="1" w:lastColumn="0" w:noHBand="0" w:noVBand="1"/>
      </w:tblPr>
      <w:tblGrid>
        <w:gridCol w:w="1192"/>
        <w:gridCol w:w="1069"/>
        <w:gridCol w:w="1527"/>
        <w:gridCol w:w="1530"/>
        <w:gridCol w:w="3060"/>
        <w:gridCol w:w="5842"/>
      </w:tblGrid>
      <w:tr w:rsidR="00C73BC8" w:rsidRPr="006A4B12" w:rsidTr="001301A1">
        <w:trPr>
          <w:cantSplit/>
          <w:trHeight w:val="502"/>
          <w:tblHeader/>
        </w:trPr>
        <w:tc>
          <w:tcPr>
            <w:tcW w:w="419"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C73BC8" w:rsidRPr="006A4B12" w:rsidRDefault="00C73BC8" w:rsidP="001301A1">
            <w:pPr>
              <w:rPr>
                <w:rFonts w:ascii="Times New Roman" w:hAnsi="Times New Roman" w:cs="Times New Roman"/>
                <w:b/>
                <w:sz w:val="16"/>
                <w:szCs w:val="20"/>
              </w:rPr>
            </w:pPr>
            <w:r w:rsidRPr="006A4B12">
              <w:rPr>
                <w:rFonts w:ascii="Times New Roman" w:hAnsi="Times New Roman" w:cs="Times New Roman"/>
                <w:b/>
                <w:sz w:val="16"/>
                <w:szCs w:val="20"/>
              </w:rPr>
              <w:t>Author (year)</w:t>
            </w:r>
          </w:p>
        </w:tc>
        <w:tc>
          <w:tcPr>
            <w:tcW w:w="376"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C73BC8" w:rsidRPr="006A4B12" w:rsidRDefault="00C73BC8" w:rsidP="001301A1">
            <w:pPr>
              <w:rPr>
                <w:rFonts w:ascii="Times New Roman" w:hAnsi="Times New Roman" w:cs="Times New Roman"/>
                <w:b/>
                <w:sz w:val="16"/>
                <w:szCs w:val="20"/>
              </w:rPr>
            </w:pPr>
            <w:r w:rsidRPr="006A4B12">
              <w:rPr>
                <w:rFonts w:ascii="Times New Roman" w:hAnsi="Times New Roman" w:cs="Times New Roman"/>
                <w:b/>
                <w:sz w:val="16"/>
                <w:szCs w:val="20"/>
              </w:rPr>
              <w:t>Type</w:t>
            </w:r>
          </w:p>
        </w:tc>
        <w:tc>
          <w:tcPr>
            <w:tcW w:w="537"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C73BC8" w:rsidRPr="006A4B12" w:rsidRDefault="00C73BC8" w:rsidP="001301A1">
            <w:pPr>
              <w:rPr>
                <w:rFonts w:ascii="Times New Roman" w:hAnsi="Times New Roman" w:cs="Times New Roman"/>
                <w:b/>
                <w:sz w:val="16"/>
                <w:szCs w:val="20"/>
              </w:rPr>
            </w:pPr>
            <w:r w:rsidRPr="006A4B12">
              <w:rPr>
                <w:rFonts w:ascii="Times New Roman" w:hAnsi="Times New Roman" w:cs="Times New Roman"/>
                <w:b/>
                <w:sz w:val="16"/>
                <w:szCs w:val="20"/>
              </w:rPr>
              <w:t>Variable</w:t>
            </w:r>
          </w:p>
        </w:tc>
        <w:tc>
          <w:tcPr>
            <w:tcW w:w="538"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C73BC8" w:rsidRPr="006A4B12" w:rsidRDefault="00C73BC8" w:rsidP="001301A1">
            <w:pPr>
              <w:rPr>
                <w:rFonts w:ascii="Times New Roman" w:hAnsi="Times New Roman" w:cs="Times New Roman"/>
                <w:b/>
                <w:sz w:val="16"/>
                <w:szCs w:val="20"/>
              </w:rPr>
            </w:pPr>
            <w:r w:rsidRPr="006A4B12">
              <w:rPr>
                <w:rFonts w:ascii="Times New Roman" w:hAnsi="Times New Roman" w:cs="Times New Roman"/>
                <w:b/>
                <w:sz w:val="16"/>
                <w:szCs w:val="20"/>
              </w:rPr>
              <w:t>Timing</w:t>
            </w:r>
          </w:p>
        </w:tc>
        <w:tc>
          <w:tcPr>
            <w:tcW w:w="1076"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C73BC8" w:rsidRPr="006A4B12" w:rsidRDefault="00C73BC8" w:rsidP="001301A1">
            <w:pPr>
              <w:rPr>
                <w:rFonts w:ascii="Times New Roman" w:hAnsi="Times New Roman" w:cs="Times New Roman"/>
                <w:b/>
                <w:sz w:val="16"/>
                <w:szCs w:val="20"/>
              </w:rPr>
            </w:pPr>
            <w:r w:rsidRPr="006A4B12">
              <w:rPr>
                <w:rFonts w:ascii="Times New Roman" w:hAnsi="Times New Roman" w:cs="Times New Roman"/>
                <w:b/>
                <w:sz w:val="16"/>
                <w:szCs w:val="20"/>
              </w:rPr>
              <w:t>Definition</w:t>
            </w:r>
          </w:p>
        </w:tc>
        <w:tc>
          <w:tcPr>
            <w:tcW w:w="2054"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C73BC8" w:rsidRPr="006A4B12" w:rsidRDefault="00C73BC8" w:rsidP="001301A1">
            <w:pPr>
              <w:rPr>
                <w:rFonts w:ascii="Times New Roman" w:hAnsi="Times New Roman" w:cs="Times New Roman"/>
                <w:b/>
                <w:sz w:val="16"/>
                <w:szCs w:val="20"/>
              </w:rPr>
            </w:pPr>
            <w:r w:rsidRPr="006A4B12">
              <w:rPr>
                <w:rFonts w:ascii="Times New Roman" w:hAnsi="Times New Roman" w:cs="Times New Roman"/>
                <w:b/>
                <w:sz w:val="16"/>
                <w:szCs w:val="20"/>
              </w:rPr>
              <w:t>Measurement</w:t>
            </w:r>
          </w:p>
        </w:tc>
      </w:tr>
      <w:tr w:rsidR="00C73BC8" w:rsidRPr="006A4B12" w:rsidTr="001301A1">
        <w:trPr>
          <w:cantSplit/>
          <w:trHeight w:val="260"/>
        </w:trPr>
        <w:tc>
          <w:tcPr>
            <w:tcW w:w="419" w:type="pct"/>
            <w:vMerge w:val="restart"/>
            <w:tcBorders>
              <w:top w:val="single" w:sz="12" w:space="0" w:color="auto"/>
              <w:left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p>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Ferrer et al. (2015)</w:t>
            </w:r>
          </w:p>
        </w:tc>
        <w:tc>
          <w:tcPr>
            <w:tcW w:w="376" w:type="pct"/>
            <w:vMerge w:val="restart"/>
            <w:tcBorders>
              <w:top w:val="single" w:sz="12" w:space="0" w:color="auto"/>
              <w:left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p>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Predictors</w:t>
            </w:r>
          </w:p>
        </w:tc>
        <w:tc>
          <w:tcPr>
            <w:tcW w:w="537" w:type="pct"/>
            <w:tcBorders>
              <w:top w:val="single" w:sz="12" w:space="0" w:color="auto"/>
              <w:left w:val="single" w:sz="4" w:space="0" w:color="auto"/>
              <w:bottom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b/>
                <w:sz w:val="16"/>
                <w:szCs w:val="20"/>
              </w:rPr>
            </w:pPr>
          </w:p>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Initial BP classification categorical)</w:t>
            </w:r>
          </w:p>
          <w:p w:rsidR="00C73BC8" w:rsidRPr="006A4B12" w:rsidRDefault="00C73BC8" w:rsidP="001301A1">
            <w:pPr>
              <w:rPr>
                <w:rFonts w:ascii="Times New Roman" w:hAnsi="Times New Roman" w:cs="Times New Roman"/>
                <w:sz w:val="16"/>
                <w:szCs w:val="20"/>
              </w:rPr>
            </w:pPr>
          </w:p>
        </w:tc>
        <w:tc>
          <w:tcPr>
            <w:tcW w:w="538" w:type="pct"/>
            <w:tcBorders>
              <w:top w:val="single" w:sz="12"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Age 12-15 years</w:t>
            </w:r>
          </w:p>
        </w:tc>
        <w:tc>
          <w:tcPr>
            <w:tcW w:w="1076" w:type="pct"/>
            <w:tcBorders>
              <w:top w:val="single" w:sz="12"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 xml:space="preserve">Abnormal BP: </w:t>
            </w:r>
            <w:proofErr w:type="spellStart"/>
            <w:r w:rsidRPr="006A4B12">
              <w:rPr>
                <w:rFonts w:ascii="Times New Roman" w:hAnsi="Times New Roman" w:cs="Times New Roman"/>
                <w:sz w:val="16"/>
                <w:szCs w:val="20"/>
              </w:rPr>
              <w:t>prehypertensive</w:t>
            </w:r>
            <w:proofErr w:type="spellEnd"/>
            <w:r w:rsidRPr="006A4B12">
              <w:rPr>
                <w:rFonts w:ascii="Times New Roman" w:hAnsi="Times New Roman" w:cs="Times New Roman"/>
                <w:sz w:val="16"/>
                <w:szCs w:val="20"/>
              </w:rPr>
              <w:t xml:space="preserve"> or hypertensive: SBP and/or DBP ≥ 90</w:t>
            </w:r>
            <w:r w:rsidRPr="006A4B12">
              <w:rPr>
                <w:rFonts w:ascii="Times New Roman" w:hAnsi="Times New Roman" w:cs="Times New Roman"/>
                <w:sz w:val="16"/>
                <w:szCs w:val="20"/>
                <w:vertAlign w:val="superscript"/>
              </w:rPr>
              <w:t>th</w:t>
            </w:r>
            <w:r w:rsidRPr="006A4B12">
              <w:rPr>
                <w:rFonts w:ascii="Times New Roman" w:hAnsi="Times New Roman" w:cs="Times New Roman"/>
                <w:sz w:val="16"/>
                <w:szCs w:val="20"/>
              </w:rPr>
              <w:t xml:space="preserve"> percentile or ≥ 120/80 mmHg as per the Fourth Report on Diagnosis, Evaluation and Treatment of High Blood Pressure in Children and Adolescents.</w:t>
            </w:r>
          </w:p>
        </w:tc>
        <w:tc>
          <w:tcPr>
            <w:tcW w:w="2054" w:type="pct"/>
            <w:tcBorders>
              <w:top w:val="single" w:sz="12" w:space="0" w:color="auto"/>
              <w:left w:val="single" w:sz="4" w:space="0" w:color="auto"/>
              <w:bottom w:val="single" w:sz="4" w:space="0" w:color="auto"/>
              <w:right w:val="single" w:sz="12"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 xml:space="preserve">SBP and DBP were taken after subjects had rested for 5 minutes, sitting upright, with the right arm positioned at heart level, without having smoked or taken medication that day. An aneroid blood pressure cuff and calibrated stethoscope (SMIC, China) were used. Repeated measurements were taken at 5-minute intervals. It is not reported how many measurements were taken, and whether an average was calculated and used. It is not reported whether </w:t>
            </w:r>
            <w:proofErr w:type="spellStart"/>
            <w:r w:rsidRPr="006A4B12">
              <w:rPr>
                <w:rFonts w:ascii="Times New Roman" w:hAnsi="Times New Roman" w:cs="Times New Roman"/>
                <w:sz w:val="16"/>
                <w:szCs w:val="20"/>
              </w:rPr>
              <w:t>Korotkoff</w:t>
            </w:r>
            <w:proofErr w:type="spellEnd"/>
            <w:r w:rsidRPr="006A4B12">
              <w:rPr>
                <w:rFonts w:ascii="Times New Roman" w:hAnsi="Times New Roman" w:cs="Times New Roman"/>
                <w:sz w:val="16"/>
                <w:szCs w:val="20"/>
              </w:rPr>
              <w:t xml:space="preserve"> IV or V was used for measuring DBP.</w:t>
            </w:r>
          </w:p>
        </w:tc>
      </w:tr>
      <w:tr w:rsidR="00C73BC8" w:rsidRPr="006A4B12" w:rsidTr="001301A1">
        <w:trPr>
          <w:cantSplit/>
          <w:trHeight w:val="260"/>
        </w:trPr>
        <w:tc>
          <w:tcPr>
            <w:tcW w:w="419" w:type="pct"/>
            <w:vMerge/>
            <w:tcBorders>
              <w:left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p>
        </w:tc>
        <w:tc>
          <w:tcPr>
            <w:tcW w:w="376" w:type="pct"/>
            <w:vMerge/>
            <w:tcBorders>
              <w:left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b/>
                <w:sz w:val="16"/>
                <w:szCs w:val="20"/>
              </w:rPr>
            </w:pPr>
            <w:r w:rsidRPr="006A4B12">
              <w:rPr>
                <w:rFonts w:ascii="Times New Roman" w:hAnsi="Times New Roman" w:cs="Times New Roman"/>
                <w:sz w:val="16"/>
                <w:szCs w:val="20"/>
              </w:rPr>
              <w:t>BMI (categorical)</w:t>
            </w:r>
          </w:p>
        </w:tc>
        <w:tc>
          <w:tcPr>
            <w:tcW w:w="538"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Age 12-15 years</w:t>
            </w:r>
          </w:p>
        </w:tc>
        <w:tc>
          <w:tcPr>
            <w:tcW w:w="1076"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 xml:space="preserve"> ≥ 90</w:t>
            </w:r>
            <w:r w:rsidRPr="006A4B12">
              <w:rPr>
                <w:rFonts w:ascii="Times New Roman" w:hAnsi="Times New Roman" w:cs="Times New Roman"/>
                <w:sz w:val="16"/>
                <w:szCs w:val="20"/>
                <w:vertAlign w:val="superscript"/>
              </w:rPr>
              <w:t>th</w:t>
            </w:r>
            <w:r w:rsidRPr="006A4B12">
              <w:rPr>
                <w:rFonts w:ascii="Times New Roman" w:hAnsi="Times New Roman" w:cs="Times New Roman"/>
                <w:sz w:val="16"/>
                <w:szCs w:val="20"/>
              </w:rPr>
              <w:t xml:space="preserve"> percentile for Cuban children and adolescents</w:t>
            </w:r>
          </w:p>
        </w:tc>
        <w:tc>
          <w:tcPr>
            <w:tcW w:w="2054" w:type="pct"/>
            <w:tcBorders>
              <w:top w:val="single" w:sz="4" w:space="0" w:color="auto"/>
              <w:left w:val="single" w:sz="4" w:space="0" w:color="auto"/>
              <w:bottom w:val="single" w:sz="4" w:space="0" w:color="auto"/>
              <w:right w:val="single" w:sz="12"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 xml:space="preserve">Anthropometric measures were taken three times on the same day, and included waist circumference, weight and height. The average was calculated. Equipment was calibrated and monitored. Research team members received training on study procedures. To calculate BMI, the </w:t>
            </w:r>
            <w:proofErr w:type="spellStart"/>
            <w:r w:rsidRPr="006A4B12">
              <w:rPr>
                <w:rFonts w:ascii="Times New Roman" w:hAnsi="Times New Roman" w:cs="Times New Roman"/>
                <w:sz w:val="16"/>
                <w:szCs w:val="20"/>
              </w:rPr>
              <w:t>Quetelet</w:t>
            </w:r>
            <w:proofErr w:type="spellEnd"/>
            <w:r w:rsidRPr="006A4B12">
              <w:rPr>
                <w:rFonts w:ascii="Times New Roman" w:hAnsi="Times New Roman" w:cs="Times New Roman"/>
                <w:sz w:val="16"/>
                <w:szCs w:val="20"/>
              </w:rPr>
              <w:t xml:space="preserve"> index was used (weight in kg/(height in m)</w:t>
            </w:r>
            <w:r w:rsidRPr="006A4B12">
              <w:rPr>
                <w:rFonts w:ascii="Times New Roman" w:hAnsi="Times New Roman" w:cs="Times New Roman"/>
                <w:sz w:val="16"/>
                <w:szCs w:val="20"/>
                <w:vertAlign w:val="superscript"/>
              </w:rPr>
              <w:t>2</w:t>
            </w:r>
            <w:r w:rsidRPr="006A4B12">
              <w:rPr>
                <w:rFonts w:ascii="Times New Roman" w:hAnsi="Times New Roman" w:cs="Times New Roman"/>
                <w:sz w:val="16"/>
                <w:szCs w:val="20"/>
              </w:rPr>
              <w:t xml:space="preserve">). </w:t>
            </w:r>
          </w:p>
        </w:tc>
      </w:tr>
      <w:tr w:rsidR="00C73BC8" w:rsidRPr="006A4B12" w:rsidTr="001301A1">
        <w:trPr>
          <w:cantSplit/>
          <w:trHeight w:val="260"/>
        </w:trPr>
        <w:tc>
          <w:tcPr>
            <w:tcW w:w="419" w:type="pct"/>
            <w:vMerge/>
            <w:tcBorders>
              <w:left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p>
        </w:tc>
        <w:tc>
          <w:tcPr>
            <w:tcW w:w="376" w:type="pct"/>
            <w:vMerge/>
            <w:tcBorders>
              <w:left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Waist circumference (categorical)</w:t>
            </w:r>
          </w:p>
        </w:tc>
        <w:tc>
          <w:tcPr>
            <w:tcW w:w="538"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Age 12-15 years</w:t>
            </w:r>
          </w:p>
        </w:tc>
        <w:tc>
          <w:tcPr>
            <w:tcW w:w="1076"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&gt; 90</w:t>
            </w:r>
            <w:r w:rsidRPr="006A4B12">
              <w:rPr>
                <w:rFonts w:ascii="Times New Roman" w:hAnsi="Times New Roman" w:cs="Times New Roman"/>
                <w:sz w:val="16"/>
                <w:szCs w:val="20"/>
                <w:vertAlign w:val="superscript"/>
              </w:rPr>
              <w:t>th</w:t>
            </w:r>
            <w:r w:rsidRPr="006A4B12">
              <w:rPr>
                <w:rFonts w:ascii="Times New Roman" w:hAnsi="Times New Roman" w:cs="Times New Roman"/>
                <w:sz w:val="16"/>
                <w:szCs w:val="20"/>
              </w:rPr>
              <w:t xml:space="preserve"> percentile according to CDC</w:t>
            </w:r>
          </w:p>
        </w:tc>
        <w:tc>
          <w:tcPr>
            <w:tcW w:w="2054" w:type="pct"/>
            <w:tcBorders>
              <w:top w:val="single" w:sz="4" w:space="0" w:color="auto"/>
              <w:left w:val="single" w:sz="4" w:space="0" w:color="auto"/>
              <w:bottom w:val="single" w:sz="4" w:space="0" w:color="auto"/>
              <w:right w:val="single" w:sz="12"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Anthropometric measures were taken three times on the same day, and included waist circumference, weight and height. The average was calculated. Equipment was calibrated and monitored. Research team members received training on study procedures.</w:t>
            </w:r>
          </w:p>
        </w:tc>
      </w:tr>
      <w:tr w:rsidR="00C73BC8" w:rsidRPr="006A4B12" w:rsidTr="001301A1">
        <w:trPr>
          <w:cantSplit/>
          <w:trHeight w:val="260"/>
        </w:trPr>
        <w:tc>
          <w:tcPr>
            <w:tcW w:w="419" w:type="pct"/>
            <w:vMerge/>
            <w:tcBorders>
              <w:left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p>
        </w:tc>
        <w:tc>
          <w:tcPr>
            <w:tcW w:w="376" w:type="pct"/>
            <w:vMerge/>
            <w:tcBorders>
              <w:left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SBP (continuous)</w:t>
            </w:r>
          </w:p>
          <w:p w:rsidR="00C73BC8" w:rsidRPr="006A4B12" w:rsidRDefault="00C73BC8" w:rsidP="001301A1">
            <w:pPr>
              <w:rPr>
                <w:rFonts w:ascii="Times New Roman" w:hAnsi="Times New Roman" w:cs="Times New Roman"/>
                <w:sz w:val="16"/>
                <w:szCs w:val="20"/>
              </w:rPr>
            </w:pPr>
          </w:p>
        </w:tc>
        <w:tc>
          <w:tcPr>
            <w:tcW w:w="538"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Age 12-15 years</w:t>
            </w:r>
          </w:p>
        </w:tc>
        <w:tc>
          <w:tcPr>
            <w:tcW w:w="1076"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mmHg</w:t>
            </w:r>
          </w:p>
        </w:tc>
        <w:tc>
          <w:tcPr>
            <w:tcW w:w="2054" w:type="pct"/>
            <w:tcBorders>
              <w:top w:val="single" w:sz="4" w:space="0" w:color="auto"/>
              <w:left w:val="single" w:sz="4" w:space="0" w:color="auto"/>
              <w:bottom w:val="single" w:sz="4" w:space="0" w:color="auto"/>
              <w:right w:val="single" w:sz="12"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SBP and DBP were taken after subjects had rested for 5 minutes, sitting upright, with the right arm positioned at heart level, without having smoked or taken medication that day. An aneroid blood pressure cuff and calibrated stethoscope (SMIC, China) were used. Repeated measurements were taken at 5-minute intervals. It is not reported how many measurements were taken, and whether an average was calculated and used.</w:t>
            </w:r>
          </w:p>
        </w:tc>
      </w:tr>
      <w:tr w:rsidR="00C73BC8" w:rsidRPr="006A4B12" w:rsidTr="001301A1">
        <w:trPr>
          <w:cantSplit/>
          <w:trHeight w:val="260"/>
        </w:trPr>
        <w:tc>
          <w:tcPr>
            <w:tcW w:w="419" w:type="pct"/>
            <w:vMerge/>
            <w:tcBorders>
              <w:left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p>
        </w:tc>
        <w:tc>
          <w:tcPr>
            <w:tcW w:w="376" w:type="pct"/>
            <w:vMerge/>
            <w:tcBorders>
              <w:left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DBP (continuous)</w:t>
            </w:r>
          </w:p>
          <w:p w:rsidR="00C73BC8" w:rsidRPr="006A4B12" w:rsidRDefault="00C73BC8" w:rsidP="001301A1">
            <w:pPr>
              <w:rPr>
                <w:rFonts w:ascii="Times New Roman" w:hAnsi="Times New Roman" w:cs="Times New Roman"/>
                <w:sz w:val="16"/>
                <w:szCs w:val="20"/>
              </w:rPr>
            </w:pPr>
          </w:p>
        </w:tc>
        <w:tc>
          <w:tcPr>
            <w:tcW w:w="538"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Age 12-15 years</w:t>
            </w:r>
          </w:p>
        </w:tc>
        <w:tc>
          <w:tcPr>
            <w:tcW w:w="1076"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mmHg</w:t>
            </w:r>
          </w:p>
        </w:tc>
        <w:tc>
          <w:tcPr>
            <w:tcW w:w="2054" w:type="pct"/>
            <w:tcBorders>
              <w:top w:val="single" w:sz="4" w:space="0" w:color="auto"/>
              <w:left w:val="single" w:sz="4" w:space="0" w:color="auto"/>
              <w:bottom w:val="single" w:sz="4" w:space="0" w:color="auto"/>
              <w:right w:val="single" w:sz="12"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 xml:space="preserve">SBP and DBP were taken after subjects had rested for 5 minutes, sitting upright, with the right arm positioned at heart level, without having smoked or taken medication that day. An aneroid blood pressure cuff and calibrated stethoscope (SMIC, China) were used. Repeated measurements were taken at 5-minute intervals. It is not reported how many measurements were taken, and whether an average was calculated and used. It is not reported whether </w:t>
            </w:r>
            <w:proofErr w:type="spellStart"/>
            <w:r w:rsidRPr="006A4B12">
              <w:rPr>
                <w:rFonts w:ascii="Times New Roman" w:hAnsi="Times New Roman" w:cs="Times New Roman"/>
                <w:sz w:val="16"/>
                <w:szCs w:val="20"/>
              </w:rPr>
              <w:t>Korotkoff</w:t>
            </w:r>
            <w:proofErr w:type="spellEnd"/>
            <w:r w:rsidRPr="006A4B12">
              <w:rPr>
                <w:rFonts w:ascii="Times New Roman" w:hAnsi="Times New Roman" w:cs="Times New Roman"/>
                <w:sz w:val="16"/>
                <w:szCs w:val="20"/>
              </w:rPr>
              <w:t xml:space="preserve"> IV or V was used for measuring DBP.</w:t>
            </w:r>
          </w:p>
        </w:tc>
      </w:tr>
      <w:tr w:rsidR="00C73BC8" w:rsidRPr="006A4B12" w:rsidTr="001301A1">
        <w:trPr>
          <w:cantSplit/>
          <w:trHeight w:val="70"/>
        </w:trPr>
        <w:tc>
          <w:tcPr>
            <w:tcW w:w="419" w:type="pct"/>
            <w:vMerge/>
            <w:tcBorders>
              <w:left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p>
        </w:tc>
        <w:tc>
          <w:tcPr>
            <w:tcW w:w="376" w:type="pct"/>
            <w:vMerge/>
            <w:tcBorders>
              <w:left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BMI (continuous)</w:t>
            </w:r>
          </w:p>
        </w:tc>
        <w:tc>
          <w:tcPr>
            <w:tcW w:w="538"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Age 12-15 years</w:t>
            </w:r>
          </w:p>
        </w:tc>
        <w:tc>
          <w:tcPr>
            <w:tcW w:w="1076"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kg/m</w:t>
            </w:r>
            <w:r w:rsidRPr="006A4B12">
              <w:rPr>
                <w:rFonts w:ascii="Times New Roman" w:hAnsi="Times New Roman" w:cs="Times New Roman"/>
                <w:sz w:val="16"/>
                <w:szCs w:val="20"/>
                <w:vertAlign w:val="superscript"/>
              </w:rPr>
              <w:t>2</w:t>
            </w:r>
          </w:p>
        </w:tc>
        <w:tc>
          <w:tcPr>
            <w:tcW w:w="2054" w:type="pct"/>
            <w:tcBorders>
              <w:top w:val="single" w:sz="4" w:space="0" w:color="auto"/>
              <w:left w:val="single" w:sz="4" w:space="0" w:color="auto"/>
              <w:bottom w:val="single" w:sz="4" w:space="0" w:color="auto"/>
              <w:right w:val="single" w:sz="12"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 xml:space="preserve">Anthropometric measures were taken three times on the same day, and included waist circumference, weight and height. The average was calculated. Equipment was calibrated and monitored. Research team members received training on study procedures. To calculate BMI, the </w:t>
            </w:r>
            <w:proofErr w:type="spellStart"/>
            <w:r w:rsidRPr="006A4B12">
              <w:rPr>
                <w:rFonts w:ascii="Times New Roman" w:hAnsi="Times New Roman" w:cs="Times New Roman"/>
                <w:sz w:val="16"/>
                <w:szCs w:val="20"/>
              </w:rPr>
              <w:t>Quetelet</w:t>
            </w:r>
            <w:proofErr w:type="spellEnd"/>
            <w:r w:rsidRPr="006A4B12">
              <w:rPr>
                <w:rFonts w:ascii="Times New Roman" w:hAnsi="Times New Roman" w:cs="Times New Roman"/>
                <w:sz w:val="16"/>
                <w:szCs w:val="20"/>
              </w:rPr>
              <w:t xml:space="preserve"> index was used (weight in kg/(height in m)</w:t>
            </w:r>
            <w:r w:rsidRPr="006A4B12">
              <w:rPr>
                <w:rFonts w:ascii="Times New Roman" w:hAnsi="Times New Roman" w:cs="Times New Roman"/>
                <w:sz w:val="16"/>
                <w:szCs w:val="20"/>
                <w:vertAlign w:val="superscript"/>
              </w:rPr>
              <w:t>2</w:t>
            </w:r>
            <w:r w:rsidRPr="006A4B12">
              <w:rPr>
                <w:rFonts w:ascii="Times New Roman" w:hAnsi="Times New Roman" w:cs="Times New Roman"/>
                <w:sz w:val="16"/>
                <w:szCs w:val="20"/>
              </w:rPr>
              <w:t xml:space="preserve">). </w:t>
            </w:r>
          </w:p>
        </w:tc>
      </w:tr>
      <w:tr w:rsidR="00C73BC8" w:rsidRPr="006A4B12" w:rsidTr="001301A1">
        <w:trPr>
          <w:cantSplit/>
          <w:trHeight w:val="260"/>
        </w:trPr>
        <w:tc>
          <w:tcPr>
            <w:tcW w:w="419" w:type="pct"/>
            <w:vMerge/>
            <w:tcBorders>
              <w:left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p>
        </w:tc>
        <w:tc>
          <w:tcPr>
            <w:tcW w:w="376" w:type="pct"/>
            <w:vMerge/>
            <w:tcBorders>
              <w:left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i/>
                <w:sz w:val="16"/>
                <w:szCs w:val="20"/>
              </w:rPr>
            </w:pP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Waist circumference (continuous)</w:t>
            </w:r>
          </w:p>
        </w:tc>
        <w:tc>
          <w:tcPr>
            <w:tcW w:w="538"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Age 12-15 years</w:t>
            </w:r>
          </w:p>
        </w:tc>
        <w:tc>
          <w:tcPr>
            <w:tcW w:w="1076"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cm</w:t>
            </w:r>
          </w:p>
        </w:tc>
        <w:tc>
          <w:tcPr>
            <w:tcW w:w="2054" w:type="pct"/>
            <w:tcBorders>
              <w:top w:val="single" w:sz="4" w:space="0" w:color="auto"/>
              <w:left w:val="single" w:sz="4" w:space="0" w:color="auto"/>
              <w:bottom w:val="single" w:sz="4" w:space="0" w:color="auto"/>
              <w:right w:val="single" w:sz="12"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Anthropometric measures were taken three times on the same day, and included waist circumference, weight and height. The average was calculated. Equipment was calibrated and monitored. Research team members received training on study procedures.</w:t>
            </w:r>
          </w:p>
        </w:tc>
      </w:tr>
      <w:tr w:rsidR="00C73BC8" w:rsidRPr="006A4B12" w:rsidTr="001301A1">
        <w:trPr>
          <w:cantSplit/>
          <w:trHeight w:val="260"/>
        </w:trPr>
        <w:tc>
          <w:tcPr>
            <w:tcW w:w="419" w:type="pct"/>
            <w:vMerge/>
            <w:tcBorders>
              <w:left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p>
        </w:tc>
        <w:tc>
          <w:tcPr>
            <w:tcW w:w="376" w:type="pct"/>
            <w:vMerge/>
            <w:tcBorders>
              <w:left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i/>
                <w:sz w:val="16"/>
                <w:szCs w:val="20"/>
              </w:rPr>
            </w:pP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Gender (categorical, stratified analysis)</w:t>
            </w:r>
          </w:p>
        </w:tc>
        <w:tc>
          <w:tcPr>
            <w:tcW w:w="538"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NA</w:t>
            </w:r>
          </w:p>
        </w:tc>
        <w:tc>
          <w:tcPr>
            <w:tcW w:w="1076"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male/female</w:t>
            </w:r>
          </w:p>
        </w:tc>
        <w:tc>
          <w:tcPr>
            <w:tcW w:w="2054" w:type="pct"/>
            <w:tcBorders>
              <w:top w:val="single" w:sz="4" w:space="0" w:color="auto"/>
              <w:left w:val="single" w:sz="4" w:space="0" w:color="auto"/>
              <w:bottom w:val="single" w:sz="4" w:space="0" w:color="auto"/>
              <w:right w:val="single" w:sz="12"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NA</w:t>
            </w:r>
          </w:p>
        </w:tc>
      </w:tr>
      <w:tr w:rsidR="00C73BC8" w:rsidRPr="006A4B12" w:rsidTr="001301A1">
        <w:trPr>
          <w:cantSplit/>
          <w:trHeight w:val="260"/>
        </w:trPr>
        <w:tc>
          <w:tcPr>
            <w:tcW w:w="419" w:type="pct"/>
            <w:vMerge/>
            <w:tcBorders>
              <w:left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p>
        </w:tc>
        <w:tc>
          <w:tcPr>
            <w:tcW w:w="376" w:type="pct"/>
            <w:tcBorders>
              <w:left w:val="single" w:sz="4" w:space="0" w:color="auto"/>
              <w:bottom w:val="single" w:sz="12"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Outcome</w:t>
            </w:r>
          </w:p>
        </w:tc>
        <w:tc>
          <w:tcPr>
            <w:tcW w:w="537" w:type="pct"/>
            <w:tcBorders>
              <w:top w:val="single" w:sz="4" w:space="0" w:color="auto"/>
              <w:left w:val="single" w:sz="4" w:space="0" w:color="auto"/>
              <w:bottom w:val="single" w:sz="12"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Abnormal BP</w:t>
            </w:r>
          </w:p>
        </w:tc>
        <w:tc>
          <w:tcPr>
            <w:tcW w:w="538" w:type="pct"/>
            <w:tcBorders>
              <w:top w:val="single" w:sz="4" w:space="0" w:color="auto"/>
              <w:left w:val="single" w:sz="4" w:space="0" w:color="auto"/>
              <w:bottom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Age 16-19 years</w:t>
            </w:r>
          </w:p>
        </w:tc>
        <w:tc>
          <w:tcPr>
            <w:tcW w:w="1076" w:type="pct"/>
            <w:tcBorders>
              <w:top w:val="single" w:sz="4" w:space="0" w:color="auto"/>
              <w:left w:val="single" w:sz="4" w:space="0" w:color="auto"/>
              <w:bottom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 xml:space="preserve">Abnormal BP: </w:t>
            </w:r>
            <w:proofErr w:type="spellStart"/>
            <w:r w:rsidRPr="006A4B12">
              <w:rPr>
                <w:rFonts w:ascii="Times New Roman" w:hAnsi="Times New Roman" w:cs="Times New Roman"/>
                <w:sz w:val="16"/>
                <w:szCs w:val="20"/>
              </w:rPr>
              <w:t>prehypertensive</w:t>
            </w:r>
            <w:proofErr w:type="spellEnd"/>
            <w:r w:rsidRPr="006A4B12">
              <w:rPr>
                <w:rFonts w:ascii="Times New Roman" w:hAnsi="Times New Roman" w:cs="Times New Roman"/>
                <w:sz w:val="16"/>
                <w:szCs w:val="20"/>
              </w:rPr>
              <w:t xml:space="preserve"> or hypertensive: </w:t>
            </w:r>
          </w:p>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≤18 years: SBP and/or DBP ≥ 90</w:t>
            </w:r>
            <w:r w:rsidRPr="006A4B12">
              <w:rPr>
                <w:rFonts w:ascii="Times New Roman" w:hAnsi="Times New Roman" w:cs="Times New Roman"/>
                <w:sz w:val="16"/>
                <w:szCs w:val="20"/>
                <w:vertAlign w:val="superscript"/>
              </w:rPr>
              <w:t>th</w:t>
            </w:r>
            <w:r w:rsidRPr="006A4B12">
              <w:rPr>
                <w:rFonts w:ascii="Times New Roman" w:hAnsi="Times New Roman" w:cs="Times New Roman"/>
                <w:sz w:val="16"/>
                <w:szCs w:val="20"/>
              </w:rPr>
              <w:t xml:space="preserve"> percentile or ≥ 120/80 mmHg as per the Fourth Report on Diagnosis, Evaluation and Treatment of High Blood Pressure in Children and Adolescents.</w:t>
            </w:r>
          </w:p>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&gt; 18 years: SBP and/or DBP ≥ 120/80 mmHg</w:t>
            </w:r>
          </w:p>
        </w:tc>
        <w:tc>
          <w:tcPr>
            <w:tcW w:w="2054" w:type="pct"/>
            <w:tcBorders>
              <w:top w:val="single" w:sz="4" w:space="0" w:color="auto"/>
              <w:left w:val="single" w:sz="4" w:space="0" w:color="auto"/>
              <w:bottom w:val="single" w:sz="12" w:space="0" w:color="auto"/>
              <w:right w:val="single" w:sz="12"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 xml:space="preserve">SBP and DBP were taken after subjects had rested for 5 minutes, sitting upright, with the right arm positioned at heart level, without having smoked or taken medication that day. An aneroid blood pressure cuff and calibrated stethoscope (SMIC, China) were used. Repeated measurements were taken at 5-minute intervals. It is not reported how many measurements, and whether an average was calculated and used. It is not reported whether </w:t>
            </w:r>
            <w:proofErr w:type="spellStart"/>
            <w:r w:rsidRPr="006A4B12">
              <w:rPr>
                <w:rFonts w:ascii="Times New Roman" w:hAnsi="Times New Roman" w:cs="Times New Roman"/>
                <w:sz w:val="16"/>
                <w:szCs w:val="20"/>
              </w:rPr>
              <w:t>Korotkoff</w:t>
            </w:r>
            <w:proofErr w:type="spellEnd"/>
            <w:r w:rsidRPr="006A4B12">
              <w:rPr>
                <w:rFonts w:ascii="Times New Roman" w:hAnsi="Times New Roman" w:cs="Times New Roman"/>
                <w:sz w:val="16"/>
                <w:szCs w:val="20"/>
              </w:rPr>
              <w:t xml:space="preserve"> IV or V was used for measuring DBP.</w:t>
            </w:r>
          </w:p>
        </w:tc>
      </w:tr>
      <w:tr w:rsidR="00C73BC8" w:rsidRPr="006A4B12" w:rsidTr="001301A1">
        <w:trPr>
          <w:cantSplit/>
          <w:trHeight w:val="1487"/>
        </w:trPr>
        <w:tc>
          <w:tcPr>
            <w:tcW w:w="419" w:type="pct"/>
            <w:vMerge w:val="restart"/>
            <w:tcBorders>
              <w:top w:val="single" w:sz="12" w:space="0" w:color="auto"/>
              <w:left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proofErr w:type="spellStart"/>
            <w:r w:rsidRPr="006A4B12">
              <w:rPr>
                <w:rFonts w:ascii="Times New Roman" w:hAnsi="Times New Roman" w:cs="Times New Roman"/>
                <w:sz w:val="16"/>
                <w:szCs w:val="20"/>
              </w:rPr>
              <w:t>Juhola</w:t>
            </w:r>
            <w:proofErr w:type="spellEnd"/>
            <w:r w:rsidRPr="006A4B12">
              <w:rPr>
                <w:rFonts w:ascii="Times New Roman" w:hAnsi="Times New Roman" w:cs="Times New Roman"/>
                <w:sz w:val="16"/>
                <w:szCs w:val="20"/>
              </w:rPr>
              <w:t xml:space="preserve"> et al. (2012)</w:t>
            </w:r>
          </w:p>
        </w:tc>
        <w:tc>
          <w:tcPr>
            <w:tcW w:w="376" w:type="pct"/>
            <w:vMerge w:val="restart"/>
            <w:tcBorders>
              <w:top w:val="single" w:sz="4" w:space="0" w:color="auto"/>
              <w:left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Predictors</w:t>
            </w:r>
          </w:p>
          <w:p w:rsidR="00C73BC8" w:rsidRPr="006A4B12" w:rsidRDefault="00C73BC8" w:rsidP="001301A1">
            <w:pPr>
              <w:rPr>
                <w:rFonts w:ascii="Times New Roman" w:hAnsi="Times New Roman" w:cs="Times New Roman"/>
                <w:sz w:val="16"/>
                <w:szCs w:val="20"/>
              </w:rPr>
            </w:pPr>
          </w:p>
          <w:p w:rsidR="00C73BC8" w:rsidRPr="006A4B12" w:rsidRDefault="00C73BC8" w:rsidP="001301A1">
            <w:pPr>
              <w:rPr>
                <w:rFonts w:ascii="Times New Roman" w:hAnsi="Times New Roman" w:cs="Times New Roman"/>
                <w:sz w:val="16"/>
                <w:szCs w:val="20"/>
              </w:rPr>
            </w:pPr>
          </w:p>
        </w:tc>
        <w:tc>
          <w:tcPr>
            <w:tcW w:w="537" w:type="pct"/>
            <w:tcBorders>
              <w:top w:val="single" w:sz="4" w:space="0" w:color="auto"/>
              <w:left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SBP (continuous)</w:t>
            </w:r>
          </w:p>
        </w:tc>
        <w:tc>
          <w:tcPr>
            <w:tcW w:w="538" w:type="pct"/>
            <w:tcBorders>
              <w:top w:val="single" w:sz="4" w:space="0" w:color="auto"/>
              <w:left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Age 3-18 years</w:t>
            </w:r>
          </w:p>
        </w:tc>
        <w:tc>
          <w:tcPr>
            <w:tcW w:w="1076" w:type="pct"/>
            <w:tcBorders>
              <w:top w:val="single" w:sz="4" w:space="0" w:color="auto"/>
              <w:left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mmHg, transformed into age- and sex-specific z scores</w:t>
            </w:r>
          </w:p>
        </w:tc>
        <w:tc>
          <w:tcPr>
            <w:tcW w:w="2054" w:type="pct"/>
            <w:tcBorders>
              <w:top w:val="single" w:sz="4" w:space="0" w:color="auto"/>
              <w:left w:val="single" w:sz="4" w:space="0" w:color="auto"/>
              <w:right w:val="single" w:sz="12"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 xml:space="preserve">BP was measured from the right brachial artery with a standard mercury sphygmomanometer, except for 3-year-old participants where BP was measured with an ultrasound scanning device. BP was measured in sitting position, after a 5-minute rest. </w:t>
            </w:r>
            <w:proofErr w:type="spellStart"/>
            <w:r w:rsidRPr="006A4B12">
              <w:rPr>
                <w:rFonts w:ascii="Times New Roman" w:hAnsi="Times New Roman" w:cs="Times New Roman"/>
                <w:sz w:val="16"/>
                <w:szCs w:val="20"/>
              </w:rPr>
              <w:t>Korotkoff</w:t>
            </w:r>
            <w:proofErr w:type="spellEnd"/>
            <w:r w:rsidRPr="006A4B12">
              <w:rPr>
                <w:rFonts w:ascii="Times New Roman" w:hAnsi="Times New Roman" w:cs="Times New Roman"/>
                <w:sz w:val="16"/>
                <w:szCs w:val="20"/>
              </w:rPr>
              <w:t xml:space="preserve"> 1</w:t>
            </w:r>
            <w:r w:rsidRPr="006A4B12">
              <w:rPr>
                <w:rFonts w:ascii="Times New Roman" w:hAnsi="Times New Roman" w:cs="Times New Roman"/>
                <w:sz w:val="16"/>
                <w:szCs w:val="20"/>
                <w:vertAlign w:val="superscript"/>
              </w:rPr>
              <w:t>st</w:t>
            </w:r>
            <w:r w:rsidRPr="006A4B12">
              <w:rPr>
                <w:rFonts w:ascii="Times New Roman" w:hAnsi="Times New Roman" w:cs="Times New Roman"/>
                <w:sz w:val="16"/>
                <w:szCs w:val="20"/>
              </w:rPr>
              <w:t xml:space="preserve"> phase was used for SBP. Readings were performed to the nearest integer mm of mercury, at least 3 times on each participant and the average of these 3 measurements was used in the analysis.</w:t>
            </w:r>
          </w:p>
        </w:tc>
      </w:tr>
      <w:tr w:rsidR="00C73BC8" w:rsidRPr="006A4B12" w:rsidTr="001301A1">
        <w:trPr>
          <w:cantSplit/>
          <w:trHeight w:val="692"/>
        </w:trPr>
        <w:tc>
          <w:tcPr>
            <w:tcW w:w="419" w:type="pct"/>
            <w:vMerge/>
            <w:tcBorders>
              <w:left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p>
        </w:tc>
        <w:tc>
          <w:tcPr>
            <w:tcW w:w="376" w:type="pct"/>
            <w:vMerge/>
            <w:tcBorders>
              <w:left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Overweight/obesity (categorical)</w:t>
            </w:r>
          </w:p>
        </w:tc>
        <w:tc>
          <w:tcPr>
            <w:tcW w:w="538"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Age 3-18 years</w:t>
            </w:r>
          </w:p>
        </w:tc>
        <w:tc>
          <w:tcPr>
            <w:tcW w:w="1076"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Definition based on age- and sex-specific cut-offs for BMI recommended by the IOTF were used.</w:t>
            </w:r>
          </w:p>
        </w:tc>
        <w:tc>
          <w:tcPr>
            <w:tcW w:w="2054" w:type="pct"/>
            <w:tcBorders>
              <w:top w:val="single" w:sz="4" w:space="0" w:color="auto"/>
              <w:left w:val="single" w:sz="4" w:space="0" w:color="auto"/>
              <w:bottom w:val="single" w:sz="4" w:space="0" w:color="auto"/>
              <w:right w:val="single" w:sz="12"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Height and weight were measured and BMI was calculated as weight in kg divided by height in m</w:t>
            </w:r>
            <w:r w:rsidRPr="006A4B12">
              <w:rPr>
                <w:rFonts w:ascii="Times New Roman" w:hAnsi="Times New Roman" w:cs="Times New Roman"/>
                <w:sz w:val="16"/>
                <w:szCs w:val="20"/>
                <w:vertAlign w:val="superscript"/>
              </w:rPr>
              <w:t>2</w:t>
            </w:r>
            <w:r w:rsidRPr="006A4B12">
              <w:rPr>
                <w:rFonts w:ascii="Times New Roman" w:hAnsi="Times New Roman" w:cs="Times New Roman"/>
                <w:sz w:val="16"/>
                <w:szCs w:val="20"/>
              </w:rPr>
              <w:t>.</w:t>
            </w:r>
          </w:p>
        </w:tc>
      </w:tr>
      <w:tr w:rsidR="00C73BC8" w:rsidRPr="006A4B12" w:rsidTr="001301A1">
        <w:trPr>
          <w:cantSplit/>
          <w:trHeight w:val="400"/>
        </w:trPr>
        <w:tc>
          <w:tcPr>
            <w:tcW w:w="419" w:type="pct"/>
            <w:vMerge/>
            <w:tcBorders>
              <w:left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p>
        </w:tc>
        <w:tc>
          <w:tcPr>
            <w:tcW w:w="376" w:type="pct"/>
            <w:vMerge/>
            <w:tcBorders>
              <w:left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Age (continuous)</w:t>
            </w:r>
          </w:p>
        </w:tc>
        <w:tc>
          <w:tcPr>
            <w:tcW w:w="538"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 xml:space="preserve">At baseline </w:t>
            </w:r>
          </w:p>
        </w:tc>
        <w:tc>
          <w:tcPr>
            <w:tcW w:w="1076"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years</w:t>
            </w:r>
          </w:p>
        </w:tc>
        <w:tc>
          <w:tcPr>
            <w:tcW w:w="2054" w:type="pct"/>
            <w:tcBorders>
              <w:top w:val="single" w:sz="4" w:space="0" w:color="auto"/>
              <w:left w:val="single" w:sz="4" w:space="0" w:color="auto"/>
              <w:bottom w:val="single" w:sz="4" w:space="0" w:color="auto"/>
              <w:right w:val="single" w:sz="12"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NA</w:t>
            </w:r>
          </w:p>
        </w:tc>
      </w:tr>
      <w:tr w:rsidR="00C73BC8" w:rsidRPr="006A4B12" w:rsidTr="001301A1">
        <w:trPr>
          <w:cantSplit/>
          <w:trHeight w:val="530"/>
        </w:trPr>
        <w:tc>
          <w:tcPr>
            <w:tcW w:w="419" w:type="pct"/>
            <w:vMerge/>
            <w:tcBorders>
              <w:left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p>
        </w:tc>
        <w:tc>
          <w:tcPr>
            <w:tcW w:w="376" w:type="pct"/>
            <w:vMerge/>
            <w:tcBorders>
              <w:left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p>
        </w:tc>
        <w:tc>
          <w:tcPr>
            <w:tcW w:w="537" w:type="pct"/>
            <w:tcBorders>
              <w:top w:val="single" w:sz="4" w:space="0" w:color="auto"/>
              <w:left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Sex (categorical)</w:t>
            </w:r>
          </w:p>
        </w:tc>
        <w:tc>
          <w:tcPr>
            <w:tcW w:w="538" w:type="pct"/>
            <w:tcBorders>
              <w:top w:val="single" w:sz="4" w:space="0" w:color="auto"/>
              <w:left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NA</w:t>
            </w:r>
          </w:p>
        </w:tc>
        <w:tc>
          <w:tcPr>
            <w:tcW w:w="1076" w:type="pct"/>
            <w:tcBorders>
              <w:top w:val="single" w:sz="4" w:space="0" w:color="auto"/>
              <w:left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NA</w:t>
            </w:r>
          </w:p>
        </w:tc>
        <w:tc>
          <w:tcPr>
            <w:tcW w:w="2054" w:type="pct"/>
            <w:tcBorders>
              <w:top w:val="nil"/>
              <w:left w:val="single" w:sz="4" w:space="0" w:color="auto"/>
              <w:right w:val="single" w:sz="12"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NA</w:t>
            </w:r>
          </w:p>
        </w:tc>
      </w:tr>
      <w:tr w:rsidR="00C73BC8" w:rsidRPr="006A4B12" w:rsidTr="001301A1">
        <w:trPr>
          <w:cantSplit/>
          <w:trHeight w:val="702"/>
        </w:trPr>
        <w:tc>
          <w:tcPr>
            <w:tcW w:w="419" w:type="pct"/>
            <w:vMerge/>
            <w:tcBorders>
              <w:left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p>
        </w:tc>
        <w:tc>
          <w:tcPr>
            <w:tcW w:w="376" w:type="pct"/>
            <w:vMerge/>
            <w:tcBorders>
              <w:left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p>
        </w:tc>
        <w:tc>
          <w:tcPr>
            <w:tcW w:w="537" w:type="pct"/>
            <w:tcBorders>
              <w:top w:val="single" w:sz="4" w:space="0" w:color="auto"/>
              <w:left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Parental hypertension (categorical)</w:t>
            </w:r>
          </w:p>
        </w:tc>
        <w:tc>
          <w:tcPr>
            <w:tcW w:w="538" w:type="pct"/>
            <w:tcBorders>
              <w:top w:val="single" w:sz="4" w:space="0" w:color="auto"/>
              <w:left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Age 3-18 years</w:t>
            </w:r>
          </w:p>
        </w:tc>
        <w:tc>
          <w:tcPr>
            <w:tcW w:w="1076" w:type="pct"/>
            <w:tcBorders>
              <w:top w:val="single" w:sz="4" w:space="0" w:color="auto"/>
              <w:left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Self-reported diagnosis of hypertension in either parent</w:t>
            </w:r>
          </w:p>
        </w:tc>
        <w:tc>
          <w:tcPr>
            <w:tcW w:w="2054" w:type="pct"/>
            <w:tcBorders>
              <w:top w:val="single" w:sz="4" w:space="0" w:color="auto"/>
              <w:left w:val="single" w:sz="4" w:space="0" w:color="auto"/>
              <w:right w:val="single" w:sz="12"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Questionnaire</w:t>
            </w:r>
          </w:p>
        </w:tc>
      </w:tr>
      <w:tr w:rsidR="00C73BC8" w:rsidRPr="006A4B12" w:rsidTr="001301A1">
        <w:trPr>
          <w:cantSplit/>
          <w:trHeight w:val="260"/>
        </w:trPr>
        <w:tc>
          <w:tcPr>
            <w:tcW w:w="419" w:type="pct"/>
            <w:vMerge/>
            <w:tcBorders>
              <w:left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p>
        </w:tc>
        <w:tc>
          <w:tcPr>
            <w:tcW w:w="376" w:type="pct"/>
            <w:vMerge/>
            <w:tcBorders>
              <w:left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Parental occupational status (categorical)</w:t>
            </w:r>
          </w:p>
        </w:tc>
        <w:tc>
          <w:tcPr>
            <w:tcW w:w="538"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Age 3-18 years</w:t>
            </w:r>
          </w:p>
        </w:tc>
        <w:tc>
          <w:tcPr>
            <w:tcW w:w="1076"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Divided into 3 categories: manual, lower-grade non-manual, and higher-grade non-manual</w:t>
            </w:r>
          </w:p>
        </w:tc>
        <w:tc>
          <w:tcPr>
            <w:tcW w:w="2054" w:type="pct"/>
            <w:tcBorders>
              <w:top w:val="single" w:sz="4" w:space="0" w:color="auto"/>
              <w:left w:val="single" w:sz="4" w:space="0" w:color="auto"/>
              <w:bottom w:val="single" w:sz="4" w:space="0" w:color="auto"/>
              <w:right w:val="single" w:sz="12"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Questionnaire</w:t>
            </w:r>
          </w:p>
        </w:tc>
      </w:tr>
      <w:tr w:rsidR="00C73BC8" w:rsidRPr="006A4B12" w:rsidTr="001301A1">
        <w:trPr>
          <w:cantSplit/>
          <w:trHeight w:val="936"/>
        </w:trPr>
        <w:tc>
          <w:tcPr>
            <w:tcW w:w="419" w:type="pct"/>
            <w:vMerge/>
            <w:tcBorders>
              <w:left w:val="single" w:sz="12"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p>
        </w:tc>
        <w:tc>
          <w:tcPr>
            <w:tcW w:w="376" w:type="pct"/>
            <w:vMerge/>
            <w:tcBorders>
              <w:left w:val="single" w:sz="4" w:space="0" w:color="auto"/>
              <w:bottom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Genetic risk score</w:t>
            </w:r>
          </w:p>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(continuous)</w:t>
            </w:r>
          </w:p>
        </w:tc>
        <w:tc>
          <w:tcPr>
            <w:tcW w:w="538" w:type="pct"/>
            <w:tcBorders>
              <w:top w:val="single" w:sz="4" w:space="0" w:color="auto"/>
              <w:left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Age 3-18 years</w:t>
            </w:r>
          </w:p>
        </w:tc>
        <w:tc>
          <w:tcPr>
            <w:tcW w:w="1076" w:type="pct"/>
            <w:tcBorders>
              <w:top w:val="single" w:sz="4" w:space="0" w:color="auto"/>
              <w:left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 genetic risk score was calculated as an arithmetic sum of risk alleles in 29 SNPs, transformed into age- and sex-specific z scores</w:t>
            </w:r>
          </w:p>
        </w:tc>
        <w:tc>
          <w:tcPr>
            <w:tcW w:w="2054" w:type="pct"/>
            <w:tcBorders>
              <w:top w:val="single" w:sz="4" w:space="0" w:color="auto"/>
              <w:left w:val="single" w:sz="4" w:space="0" w:color="auto"/>
              <w:bottom w:val="single" w:sz="4" w:space="0" w:color="auto"/>
              <w:right w:val="single" w:sz="12"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The score included 29 SNPs associated with SBP and DBP recently identified in genome-wide association studies. Genotyping was successfully performed for 1939 individuals, using the Illumina Bead Chip (Human 670K). The individual SNPs are shown in Supplemental Table IV of the study.</w:t>
            </w:r>
          </w:p>
        </w:tc>
      </w:tr>
      <w:tr w:rsidR="00C73BC8" w:rsidRPr="006A4B12" w:rsidTr="001301A1">
        <w:trPr>
          <w:cantSplit/>
          <w:trHeight w:val="260"/>
        </w:trPr>
        <w:tc>
          <w:tcPr>
            <w:tcW w:w="419" w:type="pct"/>
            <w:vMerge/>
            <w:tcBorders>
              <w:top w:val="single" w:sz="12" w:space="0" w:color="auto"/>
              <w:left w:val="single" w:sz="12" w:space="0" w:color="auto"/>
              <w:bottom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p>
        </w:tc>
        <w:tc>
          <w:tcPr>
            <w:tcW w:w="376" w:type="pct"/>
            <w:tcBorders>
              <w:top w:val="single" w:sz="4" w:space="0" w:color="auto"/>
              <w:left w:val="single" w:sz="4" w:space="0" w:color="auto"/>
              <w:bottom w:val="single" w:sz="12"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Outcome</w:t>
            </w:r>
          </w:p>
        </w:tc>
        <w:tc>
          <w:tcPr>
            <w:tcW w:w="537" w:type="pct"/>
            <w:tcBorders>
              <w:top w:val="single" w:sz="4" w:space="0" w:color="auto"/>
              <w:left w:val="single" w:sz="4" w:space="0" w:color="auto"/>
              <w:bottom w:val="single" w:sz="12"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Hypertension</w:t>
            </w:r>
          </w:p>
        </w:tc>
        <w:tc>
          <w:tcPr>
            <w:tcW w:w="538" w:type="pct"/>
            <w:tcBorders>
              <w:top w:val="single" w:sz="4" w:space="0" w:color="auto"/>
              <w:left w:val="single" w:sz="4" w:space="0" w:color="auto"/>
              <w:bottom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Age 24-45 years</w:t>
            </w:r>
          </w:p>
        </w:tc>
        <w:tc>
          <w:tcPr>
            <w:tcW w:w="1076" w:type="pct"/>
            <w:tcBorders>
              <w:top w:val="single" w:sz="4" w:space="0" w:color="auto"/>
              <w:left w:val="single" w:sz="4" w:space="0" w:color="auto"/>
              <w:bottom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 xml:space="preserve">SBP ≥ 130 mmHg and/or DBP ≥ 85 mmHg, or use of antihypertensive medication in 2001 and/or 2007. </w:t>
            </w:r>
          </w:p>
        </w:tc>
        <w:tc>
          <w:tcPr>
            <w:tcW w:w="2054" w:type="pct"/>
            <w:tcBorders>
              <w:top w:val="single" w:sz="4" w:space="0" w:color="auto"/>
              <w:left w:val="single" w:sz="4" w:space="0" w:color="auto"/>
              <w:bottom w:val="single" w:sz="12" w:space="0" w:color="auto"/>
              <w:right w:val="single" w:sz="12"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 xml:space="preserve">BP was measured from the right brachial artery with a random-zero sphygmomanometer (Hawksley &amp; Sons </w:t>
            </w:r>
            <w:proofErr w:type="spellStart"/>
            <w:r w:rsidRPr="006A4B12">
              <w:rPr>
                <w:rFonts w:ascii="Times New Roman" w:hAnsi="Times New Roman" w:cs="Times New Roman"/>
                <w:sz w:val="16"/>
                <w:szCs w:val="20"/>
              </w:rPr>
              <w:t>LtD</w:t>
            </w:r>
            <w:proofErr w:type="spellEnd"/>
            <w:r w:rsidRPr="006A4B12">
              <w:rPr>
                <w:rFonts w:ascii="Times New Roman" w:hAnsi="Times New Roman" w:cs="Times New Roman"/>
                <w:sz w:val="16"/>
                <w:szCs w:val="20"/>
              </w:rPr>
              <w:t xml:space="preserve">, </w:t>
            </w:r>
            <w:proofErr w:type="spellStart"/>
            <w:r w:rsidRPr="006A4B12">
              <w:rPr>
                <w:rFonts w:ascii="Times New Roman" w:hAnsi="Times New Roman" w:cs="Times New Roman"/>
                <w:sz w:val="16"/>
                <w:szCs w:val="20"/>
              </w:rPr>
              <w:t>Lancin</w:t>
            </w:r>
            <w:proofErr w:type="spellEnd"/>
            <w:r w:rsidRPr="006A4B12">
              <w:rPr>
                <w:rFonts w:ascii="Times New Roman" w:hAnsi="Times New Roman" w:cs="Times New Roman"/>
                <w:sz w:val="16"/>
                <w:szCs w:val="20"/>
              </w:rPr>
              <w:t xml:space="preserve">, UK). BP was measured in sitting position, after a 5-minute rest. </w:t>
            </w:r>
            <w:proofErr w:type="spellStart"/>
            <w:r w:rsidRPr="006A4B12">
              <w:rPr>
                <w:rFonts w:ascii="Times New Roman" w:hAnsi="Times New Roman" w:cs="Times New Roman"/>
                <w:sz w:val="16"/>
                <w:szCs w:val="20"/>
              </w:rPr>
              <w:t>Korotkoff</w:t>
            </w:r>
            <w:proofErr w:type="spellEnd"/>
            <w:r w:rsidRPr="006A4B12">
              <w:rPr>
                <w:rFonts w:ascii="Times New Roman" w:hAnsi="Times New Roman" w:cs="Times New Roman"/>
                <w:sz w:val="16"/>
                <w:szCs w:val="20"/>
              </w:rPr>
              <w:t xml:space="preserve"> 1</w:t>
            </w:r>
            <w:r w:rsidRPr="006A4B12">
              <w:rPr>
                <w:rFonts w:ascii="Times New Roman" w:hAnsi="Times New Roman" w:cs="Times New Roman"/>
                <w:sz w:val="16"/>
                <w:szCs w:val="20"/>
                <w:vertAlign w:val="superscript"/>
              </w:rPr>
              <w:t>st</w:t>
            </w:r>
            <w:r w:rsidRPr="006A4B12">
              <w:rPr>
                <w:rFonts w:ascii="Times New Roman" w:hAnsi="Times New Roman" w:cs="Times New Roman"/>
                <w:sz w:val="16"/>
                <w:szCs w:val="20"/>
              </w:rPr>
              <w:t xml:space="preserve"> phase was used for SBP, and both 4</w:t>
            </w:r>
            <w:r w:rsidRPr="006A4B12">
              <w:rPr>
                <w:rFonts w:ascii="Times New Roman" w:hAnsi="Times New Roman" w:cs="Times New Roman"/>
                <w:sz w:val="16"/>
                <w:szCs w:val="20"/>
                <w:vertAlign w:val="superscript"/>
              </w:rPr>
              <w:t>th</w:t>
            </w:r>
            <w:r w:rsidRPr="006A4B12">
              <w:rPr>
                <w:rFonts w:ascii="Times New Roman" w:hAnsi="Times New Roman" w:cs="Times New Roman"/>
                <w:sz w:val="16"/>
                <w:szCs w:val="20"/>
              </w:rPr>
              <w:t xml:space="preserve"> and 5</w:t>
            </w:r>
            <w:r w:rsidRPr="006A4B12">
              <w:rPr>
                <w:rFonts w:ascii="Times New Roman" w:hAnsi="Times New Roman" w:cs="Times New Roman"/>
                <w:sz w:val="16"/>
                <w:szCs w:val="20"/>
                <w:vertAlign w:val="superscript"/>
              </w:rPr>
              <w:t>th</w:t>
            </w:r>
            <w:r w:rsidRPr="006A4B12">
              <w:rPr>
                <w:rFonts w:ascii="Times New Roman" w:hAnsi="Times New Roman" w:cs="Times New Roman"/>
                <w:sz w:val="16"/>
                <w:szCs w:val="20"/>
              </w:rPr>
              <w:t xml:space="preserve"> phases for DBP. Not clearly reported whether DBP </w:t>
            </w:r>
            <w:proofErr w:type="spellStart"/>
            <w:r w:rsidRPr="006A4B12">
              <w:rPr>
                <w:rFonts w:ascii="Times New Roman" w:hAnsi="Times New Roman" w:cs="Times New Roman"/>
                <w:sz w:val="16"/>
                <w:szCs w:val="20"/>
              </w:rPr>
              <w:t>Korotkoff</w:t>
            </w:r>
            <w:proofErr w:type="spellEnd"/>
            <w:r w:rsidRPr="006A4B12">
              <w:rPr>
                <w:rFonts w:ascii="Times New Roman" w:hAnsi="Times New Roman" w:cs="Times New Roman"/>
                <w:sz w:val="16"/>
                <w:szCs w:val="20"/>
              </w:rPr>
              <w:t xml:space="preserve"> 4</w:t>
            </w:r>
            <w:r w:rsidRPr="006A4B12">
              <w:rPr>
                <w:rFonts w:ascii="Times New Roman" w:hAnsi="Times New Roman" w:cs="Times New Roman"/>
                <w:sz w:val="16"/>
                <w:szCs w:val="20"/>
                <w:vertAlign w:val="superscript"/>
              </w:rPr>
              <w:t>th</w:t>
            </w:r>
            <w:r w:rsidRPr="006A4B12">
              <w:rPr>
                <w:rFonts w:ascii="Times New Roman" w:hAnsi="Times New Roman" w:cs="Times New Roman"/>
                <w:sz w:val="16"/>
                <w:szCs w:val="20"/>
              </w:rPr>
              <w:t xml:space="preserve"> or 5</w:t>
            </w:r>
            <w:r w:rsidRPr="006A4B12">
              <w:rPr>
                <w:rFonts w:ascii="Times New Roman" w:hAnsi="Times New Roman" w:cs="Times New Roman"/>
                <w:sz w:val="16"/>
                <w:szCs w:val="20"/>
                <w:vertAlign w:val="superscript"/>
              </w:rPr>
              <w:t>th</w:t>
            </w:r>
            <w:r w:rsidRPr="006A4B12">
              <w:rPr>
                <w:rFonts w:ascii="Times New Roman" w:hAnsi="Times New Roman" w:cs="Times New Roman"/>
                <w:sz w:val="16"/>
                <w:szCs w:val="20"/>
              </w:rPr>
              <w:t xml:space="preserve"> phase was used for the outcome assessment. Readings were performed to the nearest integer mm of mercury, at least 3 times on each participant and the average of these 3 measurements was used in the analysis.</w:t>
            </w:r>
          </w:p>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Use of antihypertensive medication was determined with self-administered questionnaires.</w:t>
            </w:r>
          </w:p>
        </w:tc>
      </w:tr>
      <w:tr w:rsidR="00C73BC8" w:rsidRPr="006A4B12" w:rsidTr="001301A1">
        <w:trPr>
          <w:cantSplit/>
          <w:trHeight w:val="260"/>
        </w:trPr>
        <w:tc>
          <w:tcPr>
            <w:tcW w:w="419" w:type="pct"/>
            <w:vMerge w:val="restart"/>
            <w:tcBorders>
              <w:top w:val="single" w:sz="12" w:space="0" w:color="auto"/>
              <w:left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proofErr w:type="spellStart"/>
            <w:r w:rsidRPr="006A4B12">
              <w:rPr>
                <w:rFonts w:ascii="Times New Roman" w:hAnsi="Times New Roman" w:cs="Times New Roman"/>
                <w:sz w:val="16"/>
                <w:szCs w:val="20"/>
              </w:rPr>
              <w:t>Juhola</w:t>
            </w:r>
            <w:proofErr w:type="spellEnd"/>
            <w:r w:rsidRPr="006A4B12">
              <w:rPr>
                <w:rFonts w:ascii="Times New Roman" w:hAnsi="Times New Roman" w:cs="Times New Roman"/>
                <w:sz w:val="16"/>
                <w:szCs w:val="20"/>
              </w:rPr>
              <w:t xml:space="preserve"> et al. (2011)</w:t>
            </w:r>
          </w:p>
        </w:tc>
        <w:tc>
          <w:tcPr>
            <w:tcW w:w="376" w:type="pct"/>
            <w:vMerge w:val="restart"/>
            <w:tcBorders>
              <w:top w:val="single" w:sz="4" w:space="0" w:color="auto"/>
              <w:left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Predictors</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 xml:space="preserve">Childhood prehypertension/hypertension </w:t>
            </w:r>
          </w:p>
        </w:tc>
        <w:tc>
          <w:tcPr>
            <w:tcW w:w="538"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At baseline age: 6, 9, 12, 15 or 18 years</w:t>
            </w:r>
          </w:p>
        </w:tc>
        <w:tc>
          <w:tcPr>
            <w:tcW w:w="1076"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According to height, sex, and age tables from the National High Blood Pressure Education Program (Fourth Report, 2004).</w:t>
            </w:r>
          </w:p>
        </w:tc>
        <w:tc>
          <w:tcPr>
            <w:tcW w:w="2054" w:type="pct"/>
            <w:tcBorders>
              <w:top w:val="single" w:sz="4" w:space="0" w:color="auto"/>
              <w:left w:val="single" w:sz="4" w:space="0" w:color="auto"/>
              <w:bottom w:val="single" w:sz="4" w:space="0" w:color="auto"/>
              <w:right w:val="single" w:sz="12"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 xml:space="preserve">BP was measured from the right brachial artery with a standard mercury sphygmomanometer, in a sitting position, after a 5-minute rest. </w:t>
            </w:r>
            <w:proofErr w:type="spellStart"/>
            <w:r w:rsidRPr="006A4B12">
              <w:rPr>
                <w:rFonts w:ascii="Times New Roman" w:hAnsi="Times New Roman" w:cs="Times New Roman"/>
                <w:sz w:val="16"/>
                <w:szCs w:val="20"/>
              </w:rPr>
              <w:t>Korotkoff</w:t>
            </w:r>
            <w:proofErr w:type="spellEnd"/>
            <w:r w:rsidRPr="006A4B12">
              <w:rPr>
                <w:rFonts w:ascii="Times New Roman" w:hAnsi="Times New Roman" w:cs="Times New Roman"/>
                <w:sz w:val="16"/>
                <w:szCs w:val="20"/>
              </w:rPr>
              <w:t xml:space="preserve"> 1</w:t>
            </w:r>
            <w:r w:rsidRPr="006A4B12">
              <w:rPr>
                <w:rFonts w:ascii="Times New Roman" w:hAnsi="Times New Roman" w:cs="Times New Roman"/>
                <w:sz w:val="16"/>
                <w:szCs w:val="20"/>
                <w:vertAlign w:val="superscript"/>
              </w:rPr>
              <w:t>st</w:t>
            </w:r>
            <w:r w:rsidRPr="006A4B12">
              <w:rPr>
                <w:rFonts w:ascii="Times New Roman" w:hAnsi="Times New Roman" w:cs="Times New Roman"/>
                <w:sz w:val="16"/>
                <w:szCs w:val="20"/>
              </w:rPr>
              <w:t xml:space="preserve"> phase was used for SBP, and the 5th phase for DBP. Readings were performed to the nearest even number of millimeters of mercury, at least 3 times on each participant and the average of these 3 measurements was used in the analysis.</w:t>
            </w:r>
          </w:p>
        </w:tc>
      </w:tr>
      <w:tr w:rsidR="00C73BC8" w:rsidRPr="006A4B12" w:rsidTr="001301A1">
        <w:trPr>
          <w:cantSplit/>
          <w:trHeight w:val="260"/>
        </w:trPr>
        <w:tc>
          <w:tcPr>
            <w:tcW w:w="419" w:type="pct"/>
            <w:vMerge/>
            <w:tcBorders>
              <w:left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p>
        </w:tc>
        <w:tc>
          <w:tcPr>
            <w:tcW w:w="376" w:type="pct"/>
            <w:vMerge/>
            <w:tcBorders>
              <w:left w:val="single" w:sz="4" w:space="0" w:color="auto"/>
              <w:bottom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Gender</w:t>
            </w:r>
          </w:p>
        </w:tc>
        <w:tc>
          <w:tcPr>
            <w:tcW w:w="538"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NA</w:t>
            </w:r>
          </w:p>
        </w:tc>
        <w:tc>
          <w:tcPr>
            <w:tcW w:w="1076"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male/female</w:t>
            </w:r>
          </w:p>
        </w:tc>
        <w:tc>
          <w:tcPr>
            <w:tcW w:w="2054" w:type="pct"/>
            <w:tcBorders>
              <w:top w:val="single" w:sz="4" w:space="0" w:color="auto"/>
              <w:left w:val="single" w:sz="4" w:space="0" w:color="auto"/>
              <w:bottom w:val="single" w:sz="4" w:space="0" w:color="auto"/>
              <w:right w:val="single" w:sz="12"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NA</w:t>
            </w:r>
          </w:p>
        </w:tc>
      </w:tr>
      <w:tr w:rsidR="00C73BC8" w:rsidRPr="006A4B12" w:rsidTr="001301A1">
        <w:trPr>
          <w:cantSplit/>
          <w:trHeight w:val="260"/>
        </w:trPr>
        <w:tc>
          <w:tcPr>
            <w:tcW w:w="419" w:type="pct"/>
            <w:vMerge/>
            <w:tcBorders>
              <w:left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p>
        </w:tc>
        <w:tc>
          <w:tcPr>
            <w:tcW w:w="376" w:type="pct"/>
            <w:tcBorders>
              <w:top w:val="single" w:sz="4" w:space="0" w:color="auto"/>
              <w:left w:val="single" w:sz="4" w:space="0" w:color="auto"/>
              <w:bottom w:val="single" w:sz="12"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Outcome</w:t>
            </w:r>
          </w:p>
        </w:tc>
        <w:tc>
          <w:tcPr>
            <w:tcW w:w="537" w:type="pct"/>
            <w:tcBorders>
              <w:top w:val="single" w:sz="4" w:space="0" w:color="auto"/>
              <w:left w:val="single" w:sz="4" w:space="0" w:color="auto"/>
              <w:bottom w:val="single" w:sz="12"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Hypertension</w:t>
            </w:r>
          </w:p>
        </w:tc>
        <w:tc>
          <w:tcPr>
            <w:tcW w:w="538" w:type="pct"/>
            <w:tcBorders>
              <w:top w:val="single" w:sz="4" w:space="0" w:color="auto"/>
              <w:left w:val="single" w:sz="4" w:space="0" w:color="auto"/>
              <w:bottom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Age 30-45 years</w:t>
            </w:r>
          </w:p>
        </w:tc>
        <w:tc>
          <w:tcPr>
            <w:tcW w:w="1076" w:type="pct"/>
            <w:tcBorders>
              <w:top w:val="single" w:sz="4" w:space="0" w:color="auto"/>
              <w:left w:val="single" w:sz="4" w:space="0" w:color="auto"/>
              <w:bottom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 xml:space="preserve">Hypertension: SBP ≥ 140 mmHg and/or DBP ≥ 90 mmHg, or use of antihypertensive medication for hypertension. </w:t>
            </w:r>
          </w:p>
        </w:tc>
        <w:tc>
          <w:tcPr>
            <w:tcW w:w="2054" w:type="pct"/>
            <w:tcBorders>
              <w:top w:val="single" w:sz="4" w:space="0" w:color="auto"/>
              <w:left w:val="single" w:sz="4" w:space="0" w:color="auto"/>
              <w:bottom w:val="single" w:sz="12" w:space="0" w:color="auto"/>
              <w:right w:val="single" w:sz="12"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 xml:space="preserve">BP was measured from the right brachial artery with a standard mercury sphygmomanometer, in a sitting position, after a 5-minute rest. </w:t>
            </w:r>
            <w:proofErr w:type="spellStart"/>
            <w:r w:rsidRPr="006A4B12">
              <w:rPr>
                <w:rFonts w:ascii="Times New Roman" w:hAnsi="Times New Roman" w:cs="Times New Roman"/>
                <w:sz w:val="16"/>
                <w:szCs w:val="20"/>
              </w:rPr>
              <w:t>Korotkoff</w:t>
            </w:r>
            <w:proofErr w:type="spellEnd"/>
            <w:r w:rsidRPr="006A4B12">
              <w:rPr>
                <w:rFonts w:ascii="Times New Roman" w:hAnsi="Times New Roman" w:cs="Times New Roman"/>
                <w:sz w:val="16"/>
                <w:szCs w:val="20"/>
              </w:rPr>
              <w:t xml:space="preserve"> 1</w:t>
            </w:r>
            <w:r w:rsidRPr="006A4B12">
              <w:rPr>
                <w:rFonts w:ascii="Times New Roman" w:hAnsi="Times New Roman" w:cs="Times New Roman"/>
                <w:sz w:val="16"/>
                <w:szCs w:val="20"/>
                <w:vertAlign w:val="superscript"/>
              </w:rPr>
              <w:t>st</w:t>
            </w:r>
            <w:r w:rsidRPr="006A4B12">
              <w:rPr>
                <w:rFonts w:ascii="Times New Roman" w:hAnsi="Times New Roman" w:cs="Times New Roman"/>
                <w:sz w:val="16"/>
                <w:szCs w:val="20"/>
              </w:rPr>
              <w:t xml:space="preserve"> phase was used for SBP, and the 5th phase for DBP. Readings were performed to the nearest even number of millimeters of mercury, at least 3 times on each participant and the average of these 3 measurements was used in the analysis.</w:t>
            </w:r>
          </w:p>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Use of antihypertensive medication was determined with self-administered questionnaires.</w:t>
            </w:r>
          </w:p>
        </w:tc>
      </w:tr>
      <w:tr w:rsidR="00C73BC8" w:rsidRPr="006A4B12" w:rsidTr="001301A1">
        <w:trPr>
          <w:cantSplit/>
          <w:trHeight w:val="260"/>
        </w:trPr>
        <w:tc>
          <w:tcPr>
            <w:tcW w:w="419" w:type="pct"/>
            <w:vMerge w:val="restart"/>
            <w:tcBorders>
              <w:top w:val="single" w:sz="12" w:space="0" w:color="auto"/>
              <w:left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Li et al. (2011)</w:t>
            </w:r>
          </w:p>
        </w:tc>
        <w:tc>
          <w:tcPr>
            <w:tcW w:w="376" w:type="pct"/>
            <w:vMerge w:val="restart"/>
            <w:tcBorders>
              <w:top w:val="single" w:sz="4" w:space="0" w:color="auto"/>
              <w:left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Predictors</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Overweight/obesity according to IOTF cut-off (categorical)</w:t>
            </w:r>
          </w:p>
        </w:tc>
        <w:tc>
          <w:tcPr>
            <w:tcW w:w="538"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Age 7, 11 or 16 years</w:t>
            </w:r>
          </w:p>
        </w:tc>
        <w:tc>
          <w:tcPr>
            <w:tcW w:w="1076"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Based on sex-specific IOTF cutoffs for BMI at centered ages: at 7.5 years for boys 18.2 kg/m</w:t>
            </w:r>
            <w:r w:rsidRPr="006A4B12">
              <w:rPr>
                <w:rFonts w:ascii="Times New Roman" w:hAnsi="Times New Roman" w:cs="Times New Roman"/>
                <w:sz w:val="16"/>
                <w:szCs w:val="20"/>
                <w:vertAlign w:val="superscript"/>
              </w:rPr>
              <w:t>2</w:t>
            </w:r>
            <w:r w:rsidRPr="006A4B12">
              <w:rPr>
                <w:rFonts w:ascii="Times New Roman" w:hAnsi="Times New Roman" w:cs="Times New Roman"/>
                <w:sz w:val="16"/>
                <w:szCs w:val="20"/>
              </w:rPr>
              <w:t>, girls 18.0 kg/m</w:t>
            </w:r>
            <w:r w:rsidRPr="006A4B12">
              <w:rPr>
                <w:rFonts w:ascii="Times New Roman" w:hAnsi="Times New Roman" w:cs="Times New Roman"/>
                <w:sz w:val="16"/>
                <w:szCs w:val="20"/>
                <w:vertAlign w:val="superscript"/>
              </w:rPr>
              <w:t>2</w:t>
            </w:r>
            <w:r w:rsidRPr="006A4B12">
              <w:rPr>
                <w:rFonts w:ascii="Times New Roman" w:hAnsi="Times New Roman" w:cs="Times New Roman"/>
                <w:sz w:val="16"/>
                <w:szCs w:val="20"/>
              </w:rPr>
              <w:t>, at age 11.5 years for boys 20.9 kg/m</w:t>
            </w:r>
            <w:r w:rsidRPr="006A4B12">
              <w:rPr>
                <w:rFonts w:ascii="Times New Roman" w:hAnsi="Times New Roman" w:cs="Times New Roman"/>
                <w:sz w:val="16"/>
                <w:szCs w:val="20"/>
                <w:vertAlign w:val="superscript"/>
              </w:rPr>
              <w:t>2</w:t>
            </w:r>
            <w:r w:rsidRPr="006A4B12">
              <w:rPr>
                <w:rFonts w:ascii="Times New Roman" w:hAnsi="Times New Roman" w:cs="Times New Roman"/>
                <w:sz w:val="16"/>
                <w:szCs w:val="20"/>
              </w:rPr>
              <w:t>, girls 21.2 kg/m</w:t>
            </w:r>
            <w:r w:rsidRPr="006A4B12">
              <w:rPr>
                <w:rFonts w:ascii="Times New Roman" w:hAnsi="Times New Roman" w:cs="Times New Roman"/>
                <w:sz w:val="16"/>
                <w:szCs w:val="20"/>
                <w:vertAlign w:val="superscript"/>
              </w:rPr>
              <w:t>2</w:t>
            </w:r>
            <w:r w:rsidRPr="006A4B12">
              <w:rPr>
                <w:rFonts w:ascii="Times New Roman" w:hAnsi="Times New Roman" w:cs="Times New Roman"/>
                <w:sz w:val="16"/>
                <w:szCs w:val="20"/>
              </w:rPr>
              <w:t>, at age 16 years for boys 23.9 kg/m</w:t>
            </w:r>
            <w:r w:rsidRPr="006A4B12">
              <w:rPr>
                <w:rFonts w:ascii="Times New Roman" w:hAnsi="Times New Roman" w:cs="Times New Roman"/>
                <w:sz w:val="16"/>
                <w:szCs w:val="20"/>
                <w:vertAlign w:val="superscript"/>
              </w:rPr>
              <w:t>2</w:t>
            </w:r>
            <w:r w:rsidRPr="006A4B12">
              <w:rPr>
                <w:rFonts w:ascii="Times New Roman" w:hAnsi="Times New Roman" w:cs="Times New Roman"/>
                <w:sz w:val="16"/>
                <w:szCs w:val="20"/>
              </w:rPr>
              <w:t>, girls 24.4 kg/m</w:t>
            </w:r>
            <w:r w:rsidRPr="006A4B12">
              <w:rPr>
                <w:rFonts w:ascii="Times New Roman" w:hAnsi="Times New Roman" w:cs="Times New Roman"/>
                <w:sz w:val="16"/>
                <w:szCs w:val="20"/>
                <w:vertAlign w:val="superscript"/>
              </w:rPr>
              <w:t>2</w:t>
            </w:r>
            <w:r w:rsidRPr="006A4B12">
              <w:rPr>
                <w:rFonts w:ascii="Times New Roman" w:hAnsi="Times New Roman" w:cs="Times New Roman"/>
                <w:sz w:val="16"/>
                <w:szCs w:val="20"/>
              </w:rPr>
              <w:t>.</w:t>
            </w:r>
          </w:p>
        </w:tc>
        <w:tc>
          <w:tcPr>
            <w:tcW w:w="2054" w:type="pct"/>
            <w:tcBorders>
              <w:top w:val="single" w:sz="4" w:space="0" w:color="auto"/>
              <w:left w:val="single" w:sz="4" w:space="0" w:color="auto"/>
              <w:bottom w:val="single" w:sz="4" w:space="0" w:color="auto"/>
              <w:right w:val="single" w:sz="12" w:space="0" w:color="auto"/>
            </w:tcBorders>
            <w:vAlign w:val="center"/>
          </w:tcPr>
          <w:p w:rsidR="00C73BC8" w:rsidRPr="006A4B12" w:rsidRDefault="00C73BC8" w:rsidP="001301A1">
            <w:pPr>
              <w:autoSpaceDE w:val="0"/>
              <w:autoSpaceDN w:val="0"/>
              <w:adjustRightInd w:val="0"/>
              <w:rPr>
                <w:rFonts w:ascii="Times New Roman" w:hAnsi="Times New Roman" w:cs="Times New Roman"/>
                <w:sz w:val="16"/>
                <w:szCs w:val="20"/>
              </w:rPr>
            </w:pPr>
            <w:r w:rsidRPr="006A4B12">
              <w:rPr>
                <w:rFonts w:ascii="Times New Roman" w:hAnsi="Times New Roman" w:cs="Times New Roman"/>
                <w:sz w:val="16"/>
                <w:szCs w:val="20"/>
              </w:rPr>
              <w:t>Height and weight were measured by medical personnel using standard protocols at age 7, 11 and 16. For children measured outside the ranges 7.25-7.75, 11.25-11.75, 15.75-16.25, BMI was centered at 7.5, 11.5 and 16 years respectively, using regression models that assume a linear trend over these short growth periods.</w:t>
            </w:r>
          </w:p>
        </w:tc>
      </w:tr>
      <w:tr w:rsidR="00C73BC8" w:rsidRPr="006A4B12" w:rsidTr="001301A1">
        <w:trPr>
          <w:cantSplit/>
          <w:trHeight w:val="210"/>
        </w:trPr>
        <w:tc>
          <w:tcPr>
            <w:tcW w:w="419" w:type="pct"/>
            <w:vMerge/>
            <w:tcBorders>
              <w:left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p>
        </w:tc>
        <w:tc>
          <w:tcPr>
            <w:tcW w:w="376" w:type="pct"/>
            <w:vMerge/>
            <w:tcBorders>
              <w:left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Overweight/obesity according to study-specific cut-off (categorical)</w:t>
            </w:r>
          </w:p>
        </w:tc>
        <w:tc>
          <w:tcPr>
            <w:tcW w:w="538"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Age 7, 11 or 16 years</w:t>
            </w:r>
          </w:p>
        </w:tc>
        <w:tc>
          <w:tcPr>
            <w:tcW w:w="1076"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Based on ROC analysis: at each age the optimal cut-off was chosen as the point on the ROC curve that was closest to the (0,1), to achieve the highest combination of sensitivity and specificity. At 7.5 years for boys 16.1 kg/m</w:t>
            </w:r>
            <w:r w:rsidRPr="006A4B12">
              <w:rPr>
                <w:rFonts w:ascii="Times New Roman" w:hAnsi="Times New Roman" w:cs="Times New Roman"/>
                <w:sz w:val="16"/>
                <w:szCs w:val="20"/>
                <w:vertAlign w:val="superscript"/>
              </w:rPr>
              <w:t>2</w:t>
            </w:r>
            <w:r w:rsidRPr="006A4B12">
              <w:rPr>
                <w:rFonts w:ascii="Times New Roman" w:hAnsi="Times New Roman" w:cs="Times New Roman"/>
                <w:sz w:val="16"/>
                <w:szCs w:val="20"/>
              </w:rPr>
              <w:t>, girls 16.6 kg/m</w:t>
            </w:r>
            <w:r w:rsidRPr="006A4B12">
              <w:rPr>
                <w:rFonts w:ascii="Times New Roman" w:hAnsi="Times New Roman" w:cs="Times New Roman"/>
                <w:sz w:val="16"/>
                <w:szCs w:val="20"/>
                <w:vertAlign w:val="superscript"/>
              </w:rPr>
              <w:t>2</w:t>
            </w:r>
            <w:r w:rsidRPr="006A4B12">
              <w:rPr>
                <w:rFonts w:ascii="Times New Roman" w:hAnsi="Times New Roman" w:cs="Times New Roman"/>
                <w:sz w:val="16"/>
                <w:szCs w:val="20"/>
              </w:rPr>
              <w:t>, at age 11.5 years for boys 16.5 kg/m</w:t>
            </w:r>
            <w:r w:rsidRPr="006A4B12">
              <w:rPr>
                <w:rFonts w:ascii="Times New Roman" w:hAnsi="Times New Roman" w:cs="Times New Roman"/>
                <w:sz w:val="16"/>
                <w:szCs w:val="20"/>
                <w:vertAlign w:val="superscript"/>
              </w:rPr>
              <w:t>2</w:t>
            </w:r>
            <w:r w:rsidRPr="006A4B12">
              <w:rPr>
                <w:rFonts w:ascii="Times New Roman" w:hAnsi="Times New Roman" w:cs="Times New Roman"/>
                <w:sz w:val="16"/>
                <w:szCs w:val="20"/>
              </w:rPr>
              <w:t>, girls 17.7 kg/m</w:t>
            </w:r>
            <w:r w:rsidRPr="006A4B12">
              <w:rPr>
                <w:rFonts w:ascii="Times New Roman" w:hAnsi="Times New Roman" w:cs="Times New Roman"/>
                <w:sz w:val="16"/>
                <w:szCs w:val="20"/>
                <w:vertAlign w:val="superscript"/>
              </w:rPr>
              <w:t>2</w:t>
            </w:r>
            <w:r w:rsidRPr="006A4B12">
              <w:rPr>
                <w:rFonts w:ascii="Times New Roman" w:hAnsi="Times New Roman" w:cs="Times New Roman"/>
                <w:sz w:val="16"/>
                <w:szCs w:val="20"/>
              </w:rPr>
              <w:t>, at age 16 years for boys 19.8 kg/m</w:t>
            </w:r>
            <w:r w:rsidRPr="006A4B12">
              <w:rPr>
                <w:rFonts w:ascii="Times New Roman" w:hAnsi="Times New Roman" w:cs="Times New Roman"/>
                <w:sz w:val="16"/>
                <w:szCs w:val="20"/>
                <w:vertAlign w:val="superscript"/>
              </w:rPr>
              <w:t>2</w:t>
            </w:r>
            <w:r w:rsidRPr="006A4B12">
              <w:rPr>
                <w:rFonts w:ascii="Times New Roman" w:hAnsi="Times New Roman" w:cs="Times New Roman"/>
                <w:sz w:val="16"/>
                <w:szCs w:val="20"/>
              </w:rPr>
              <w:t>, girls 24.3 kg/m</w:t>
            </w:r>
            <w:r w:rsidRPr="006A4B12">
              <w:rPr>
                <w:rFonts w:ascii="Times New Roman" w:hAnsi="Times New Roman" w:cs="Times New Roman"/>
                <w:sz w:val="16"/>
                <w:szCs w:val="20"/>
                <w:vertAlign w:val="superscript"/>
              </w:rPr>
              <w:t>2</w:t>
            </w:r>
            <w:r w:rsidRPr="006A4B12">
              <w:rPr>
                <w:rFonts w:ascii="Times New Roman" w:hAnsi="Times New Roman" w:cs="Times New Roman"/>
                <w:sz w:val="16"/>
                <w:szCs w:val="20"/>
              </w:rPr>
              <w:t>.</w:t>
            </w:r>
          </w:p>
        </w:tc>
        <w:tc>
          <w:tcPr>
            <w:tcW w:w="2054" w:type="pct"/>
            <w:tcBorders>
              <w:top w:val="single" w:sz="4" w:space="0" w:color="auto"/>
              <w:left w:val="single" w:sz="4" w:space="0" w:color="auto"/>
              <w:bottom w:val="single" w:sz="4" w:space="0" w:color="auto"/>
              <w:right w:val="single" w:sz="12"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Height and weight were measured by medical personnel using standard protocols at age 7, 11 and 16. For children measured outside the ranges 7.25-7.75, 11.25-11.75, 15.75-16.25, BMI was centered at 7.5, 11.5 and 16 years respectively, using regression models that assume a linear trend over these short growth periods.</w:t>
            </w:r>
          </w:p>
        </w:tc>
      </w:tr>
      <w:tr w:rsidR="00C73BC8" w:rsidRPr="006A4B12" w:rsidTr="001301A1">
        <w:trPr>
          <w:cantSplit/>
          <w:trHeight w:val="70"/>
        </w:trPr>
        <w:tc>
          <w:tcPr>
            <w:tcW w:w="419" w:type="pct"/>
            <w:vMerge/>
            <w:tcBorders>
              <w:left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p>
        </w:tc>
        <w:tc>
          <w:tcPr>
            <w:tcW w:w="376" w:type="pct"/>
            <w:vMerge/>
            <w:tcBorders>
              <w:left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BMI gain above to study-specific cut-off (categorical)</w:t>
            </w:r>
          </w:p>
        </w:tc>
        <w:tc>
          <w:tcPr>
            <w:tcW w:w="538"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Age 7-11 years or 11-16 years</w:t>
            </w:r>
          </w:p>
        </w:tc>
        <w:tc>
          <w:tcPr>
            <w:tcW w:w="1076"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Based on ROC analysis: at each age the optimal cut-off was chosen as the point on the ROC curve that was closest to the (0,1), to achieve the highest combination of sensitivity and specificity. At 7-11 years for boys 0.65 kg/m</w:t>
            </w:r>
            <w:r w:rsidRPr="006A4B12">
              <w:rPr>
                <w:rFonts w:ascii="Times New Roman" w:hAnsi="Times New Roman" w:cs="Times New Roman"/>
                <w:sz w:val="16"/>
                <w:szCs w:val="20"/>
                <w:vertAlign w:val="superscript"/>
              </w:rPr>
              <w:t>2</w:t>
            </w:r>
            <w:r w:rsidRPr="006A4B12">
              <w:rPr>
                <w:rFonts w:ascii="Times New Roman" w:hAnsi="Times New Roman" w:cs="Times New Roman"/>
                <w:sz w:val="16"/>
                <w:szCs w:val="20"/>
              </w:rPr>
              <w:t>, girls 1.69 kg/m</w:t>
            </w:r>
            <w:r w:rsidRPr="006A4B12">
              <w:rPr>
                <w:rFonts w:ascii="Times New Roman" w:hAnsi="Times New Roman" w:cs="Times New Roman"/>
                <w:sz w:val="16"/>
                <w:szCs w:val="20"/>
                <w:vertAlign w:val="superscript"/>
              </w:rPr>
              <w:t>2</w:t>
            </w:r>
            <w:r w:rsidRPr="006A4B12">
              <w:rPr>
                <w:rFonts w:ascii="Times New Roman" w:hAnsi="Times New Roman" w:cs="Times New Roman"/>
                <w:sz w:val="16"/>
                <w:szCs w:val="20"/>
              </w:rPr>
              <w:t>. At 11-16 years for boys 2.65 kg/m</w:t>
            </w:r>
            <w:r w:rsidRPr="006A4B12">
              <w:rPr>
                <w:rFonts w:ascii="Times New Roman" w:hAnsi="Times New Roman" w:cs="Times New Roman"/>
                <w:sz w:val="16"/>
                <w:szCs w:val="20"/>
                <w:vertAlign w:val="superscript"/>
              </w:rPr>
              <w:t>2</w:t>
            </w:r>
            <w:r w:rsidRPr="006A4B12">
              <w:rPr>
                <w:rFonts w:ascii="Times New Roman" w:hAnsi="Times New Roman" w:cs="Times New Roman"/>
                <w:sz w:val="16"/>
                <w:szCs w:val="20"/>
              </w:rPr>
              <w:t>, girls 4.65 kg/m</w:t>
            </w:r>
            <w:r w:rsidRPr="006A4B12">
              <w:rPr>
                <w:rFonts w:ascii="Times New Roman" w:hAnsi="Times New Roman" w:cs="Times New Roman"/>
                <w:sz w:val="16"/>
                <w:szCs w:val="20"/>
                <w:vertAlign w:val="superscript"/>
              </w:rPr>
              <w:t>2</w:t>
            </w:r>
            <w:r w:rsidRPr="006A4B12">
              <w:rPr>
                <w:rFonts w:ascii="Times New Roman" w:hAnsi="Times New Roman" w:cs="Times New Roman"/>
                <w:sz w:val="16"/>
                <w:szCs w:val="20"/>
              </w:rPr>
              <w:t>.</w:t>
            </w:r>
          </w:p>
        </w:tc>
        <w:tc>
          <w:tcPr>
            <w:tcW w:w="2054" w:type="pct"/>
            <w:tcBorders>
              <w:top w:val="single" w:sz="4" w:space="0" w:color="auto"/>
              <w:left w:val="single" w:sz="4" w:space="0" w:color="auto"/>
              <w:bottom w:val="single" w:sz="4" w:space="0" w:color="auto"/>
              <w:right w:val="single" w:sz="12"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Height and weight were measured by medical personnel using standard protocols at age 7, 11 and 16. For children measured outside the ranges 7.25-7.75, 11.25-11.75, 15.75-16.25, BMI was centered at 7.5, 11.5 and 16 years respectively, using regression models that assume a linear trend over these short growth periods.</w:t>
            </w:r>
          </w:p>
        </w:tc>
      </w:tr>
      <w:tr w:rsidR="00C73BC8" w:rsidRPr="006A4B12" w:rsidTr="001301A1">
        <w:trPr>
          <w:cantSplit/>
          <w:trHeight w:val="70"/>
        </w:trPr>
        <w:tc>
          <w:tcPr>
            <w:tcW w:w="419" w:type="pct"/>
            <w:vMerge/>
            <w:tcBorders>
              <w:left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p>
        </w:tc>
        <w:tc>
          <w:tcPr>
            <w:tcW w:w="376" w:type="pct"/>
            <w:vMerge/>
            <w:tcBorders>
              <w:left w:val="single" w:sz="4" w:space="0" w:color="auto"/>
              <w:bottom w:val="single" w:sz="8"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p>
        </w:tc>
        <w:tc>
          <w:tcPr>
            <w:tcW w:w="537" w:type="pct"/>
            <w:tcBorders>
              <w:top w:val="single" w:sz="4" w:space="0" w:color="auto"/>
              <w:left w:val="single" w:sz="4" w:space="0" w:color="auto"/>
              <w:bottom w:val="single" w:sz="8"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Gender</w:t>
            </w:r>
          </w:p>
        </w:tc>
        <w:tc>
          <w:tcPr>
            <w:tcW w:w="538" w:type="pct"/>
            <w:tcBorders>
              <w:top w:val="single" w:sz="4" w:space="0" w:color="auto"/>
              <w:left w:val="single" w:sz="4" w:space="0" w:color="auto"/>
              <w:bottom w:val="single" w:sz="8"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NA</w:t>
            </w:r>
          </w:p>
        </w:tc>
        <w:tc>
          <w:tcPr>
            <w:tcW w:w="1076" w:type="pct"/>
            <w:tcBorders>
              <w:top w:val="single" w:sz="4" w:space="0" w:color="auto"/>
              <w:left w:val="single" w:sz="4" w:space="0" w:color="auto"/>
              <w:bottom w:val="single" w:sz="8"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male/female</w:t>
            </w:r>
          </w:p>
        </w:tc>
        <w:tc>
          <w:tcPr>
            <w:tcW w:w="2054" w:type="pct"/>
            <w:tcBorders>
              <w:top w:val="single" w:sz="4" w:space="0" w:color="auto"/>
              <w:left w:val="single" w:sz="4" w:space="0" w:color="auto"/>
              <w:bottom w:val="single" w:sz="8" w:space="0" w:color="auto"/>
              <w:right w:val="single" w:sz="12"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NA</w:t>
            </w:r>
          </w:p>
        </w:tc>
      </w:tr>
      <w:tr w:rsidR="00C73BC8" w:rsidRPr="006A4B12" w:rsidTr="001301A1">
        <w:trPr>
          <w:cantSplit/>
          <w:trHeight w:val="70"/>
        </w:trPr>
        <w:tc>
          <w:tcPr>
            <w:tcW w:w="419" w:type="pct"/>
            <w:vMerge/>
            <w:tcBorders>
              <w:left w:val="single" w:sz="12" w:space="0" w:color="auto"/>
              <w:bottom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p>
        </w:tc>
        <w:tc>
          <w:tcPr>
            <w:tcW w:w="376" w:type="pct"/>
            <w:tcBorders>
              <w:top w:val="single" w:sz="4" w:space="0" w:color="auto"/>
              <w:left w:val="single" w:sz="4" w:space="0" w:color="auto"/>
              <w:bottom w:val="single" w:sz="12"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Outcome</w:t>
            </w:r>
          </w:p>
        </w:tc>
        <w:tc>
          <w:tcPr>
            <w:tcW w:w="537" w:type="pct"/>
            <w:tcBorders>
              <w:top w:val="single" w:sz="4" w:space="0" w:color="auto"/>
              <w:left w:val="single" w:sz="4" w:space="0" w:color="auto"/>
              <w:bottom w:val="single" w:sz="12"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Hypertension</w:t>
            </w:r>
          </w:p>
        </w:tc>
        <w:tc>
          <w:tcPr>
            <w:tcW w:w="538" w:type="pct"/>
            <w:tcBorders>
              <w:top w:val="single" w:sz="4" w:space="0" w:color="auto"/>
              <w:left w:val="single" w:sz="4" w:space="0" w:color="auto"/>
              <w:bottom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Age 45 years</w:t>
            </w:r>
          </w:p>
        </w:tc>
        <w:tc>
          <w:tcPr>
            <w:tcW w:w="1076" w:type="pct"/>
            <w:tcBorders>
              <w:top w:val="single" w:sz="4" w:space="0" w:color="auto"/>
              <w:left w:val="single" w:sz="4" w:space="0" w:color="auto"/>
              <w:bottom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SBP ≥ 140 and/or DBP ≥ 90 mmHg or use of antihypertensive medication</w:t>
            </w:r>
          </w:p>
        </w:tc>
        <w:tc>
          <w:tcPr>
            <w:tcW w:w="2054" w:type="pct"/>
            <w:tcBorders>
              <w:top w:val="single" w:sz="4" w:space="0" w:color="auto"/>
              <w:left w:val="single" w:sz="4" w:space="0" w:color="auto"/>
              <w:bottom w:val="single" w:sz="12" w:space="0" w:color="auto"/>
              <w:right w:val="single" w:sz="12"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 xml:space="preserve">Measured by nurses using standardized protocols. BP was measured 3 times using an Omron 705CP automated digital </w:t>
            </w:r>
            <w:proofErr w:type="spellStart"/>
            <w:r w:rsidRPr="006A4B12">
              <w:rPr>
                <w:rFonts w:ascii="Times New Roman" w:hAnsi="Times New Roman" w:cs="Times New Roman"/>
                <w:sz w:val="16"/>
                <w:szCs w:val="20"/>
              </w:rPr>
              <w:t>oscillometric</w:t>
            </w:r>
            <w:proofErr w:type="spellEnd"/>
            <w:r w:rsidRPr="006A4B12">
              <w:rPr>
                <w:rFonts w:ascii="Times New Roman" w:hAnsi="Times New Roman" w:cs="Times New Roman"/>
                <w:sz w:val="16"/>
                <w:szCs w:val="20"/>
              </w:rPr>
              <w:t xml:space="preserve"> sphygmomanometer, after the participant had been seated for 5 minutes. A normal cuff was used for a circumference (at the mid-point of the upper arm) &lt; 32 cm, otherwise a large cuff was used. The means of 3 measurements (SBP and DBP) was calculated and used for analysis. Current use of antihypertensive medication was recorded by the nurse as well.</w:t>
            </w:r>
          </w:p>
        </w:tc>
      </w:tr>
      <w:tr w:rsidR="00C73BC8" w:rsidRPr="006A4B12" w:rsidTr="001301A1">
        <w:trPr>
          <w:cantSplit/>
          <w:trHeight w:val="260"/>
        </w:trPr>
        <w:tc>
          <w:tcPr>
            <w:tcW w:w="419" w:type="pct"/>
            <w:vMerge w:val="restart"/>
            <w:tcBorders>
              <w:top w:val="single" w:sz="12" w:space="0" w:color="auto"/>
              <w:left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Sun et al. (2007)</w:t>
            </w:r>
          </w:p>
        </w:tc>
        <w:tc>
          <w:tcPr>
            <w:tcW w:w="376" w:type="pct"/>
            <w:vMerge w:val="restart"/>
            <w:tcBorders>
              <w:top w:val="single" w:sz="12" w:space="0" w:color="auto"/>
              <w:left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Predictors</w:t>
            </w:r>
          </w:p>
        </w:tc>
        <w:tc>
          <w:tcPr>
            <w:tcW w:w="537" w:type="pct"/>
            <w:tcBorders>
              <w:top w:val="single" w:sz="12" w:space="0" w:color="auto"/>
              <w:left w:val="single" w:sz="4" w:space="0" w:color="auto"/>
              <w:bottom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EBP (categorical)</w:t>
            </w:r>
          </w:p>
        </w:tc>
        <w:tc>
          <w:tcPr>
            <w:tcW w:w="538" w:type="pct"/>
            <w:tcBorders>
              <w:top w:val="single" w:sz="12"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p>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3 different age ranges:</w:t>
            </w:r>
          </w:p>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5-7 years</w:t>
            </w:r>
          </w:p>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8-12 years</w:t>
            </w:r>
          </w:p>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13-18 years</w:t>
            </w:r>
          </w:p>
          <w:p w:rsidR="00C73BC8" w:rsidRPr="006A4B12" w:rsidRDefault="00C73BC8" w:rsidP="001301A1">
            <w:pPr>
              <w:rPr>
                <w:rFonts w:ascii="Times New Roman" w:hAnsi="Times New Roman" w:cs="Times New Roman"/>
                <w:sz w:val="16"/>
                <w:szCs w:val="20"/>
              </w:rPr>
            </w:pPr>
          </w:p>
        </w:tc>
        <w:tc>
          <w:tcPr>
            <w:tcW w:w="1076" w:type="pct"/>
            <w:tcBorders>
              <w:top w:val="single" w:sz="12"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 single mean SBP (at any examination within the age interval) exceeding age- and gender-specific criterion values developed in part 1 of the study. Figure 2 of the original paper shows childhood SBP values at different childhood ages (2-18 years) of males and females with and without metabolic syndrome. The values for the participants with metabolic syndrome at a certain age were used as criterion values for childhood SBP.</w:t>
            </w:r>
          </w:p>
        </w:tc>
        <w:tc>
          <w:tcPr>
            <w:tcW w:w="2054" w:type="pct"/>
            <w:tcBorders>
              <w:top w:val="single" w:sz="12" w:space="0" w:color="auto"/>
              <w:left w:val="single" w:sz="4" w:space="0" w:color="auto"/>
              <w:bottom w:val="single" w:sz="4" w:space="0" w:color="auto"/>
              <w:right w:val="single" w:sz="12"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SBP was measured with a standard mercury sphygmomanometer every 6 months (from age 2 through age 18 years), by trained technicians, with participants seated. Three BP measurements were taken at each examination, and the mean of the last two readings was used in the analysis.</w:t>
            </w:r>
          </w:p>
        </w:tc>
      </w:tr>
      <w:tr w:rsidR="00C73BC8" w:rsidRPr="006A4B12" w:rsidTr="001301A1">
        <w:trPr>
          <w:cantSplit/>
          <w:trHeight w:val="260"/>
        </w:trPr>
        <w:tc>
          <w:tcPr>
            <w:tcW w:w="419" w:type="pct"/>
            <w:vMerge/>
            <w:tcBorders>
              <w:left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p>
        </w:tc>
        <w:tc>
          <w:tcPr>
            <w:tcW w:w="376" w:type="pct"/>
            <w:vMerge/>
            <w:tcBorders>
              <w:left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BMI</w:t>
            </w:r>
          </w:p>
        </w:tc>
        <w:tc>
          <w:tcPr>
            <w:tcW w:w="538"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3 different age ranges:</w:t>
            </w:r>
          </w:p>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5-7 years</w:t>
            </w:r>
          </w:p>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8-12 years</w:t>
            </w:r>
          </w:p>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13-18 years</w:t>
            </w:r>
          </w:p>
        </w:tc>
        <w:tc>
          <w:tcPr>
            <w:tcW w:w="1076"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kg/m</w:t>
            </w:r>
            <w:r w:rsidRPr="006A4B12">
              <w:rPr>
                <w:rFonts w:ascii="Times New Roman" w:hAnsi="Times New Roman" w:cs="Times New Roman"/>
                <w:sz w:val="16"/>
                <w:szCs w:val="20"/>
                <w:vertAlign w:val="superscript"/>
              </w:rPr>
              <w:t>2</w:t>
            </w:r>
          </w:p>
        </w:tc>
        <w:tc>
          <w:tcPr>
            <w:tcW w:w="2054" w:type="pct"/>
            <w:tcBorders>
              <w:top w:val="single" w:sz="4" w:space="0" w:color="auto"/>
              <w:left w:val="single" w:sz="4" w:space="0" w:color="auto"/>
              <w:bottom w:val="single" w:sz="4" w:space="0" w:color="auto"/>
              <w:right w:val="single" w:sz="12"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Weight and height were measured during examinations every 6 months in childhood, no further details on exact measurement method are reported in the paper. Also it is not clear which BMI in a certain age range was used for the logistic regression model in case multiple BMI measurements were available in a certain age range.</w:t>
            </w:r>
          </w:p>
        </w:tc>
      </w:tr>
      <w:tr w:rsidR="00C73BC8" w:rsidRPr="006A4B12" w:rsidTr="001301A1">
        <w:trPr>
          <w:cantSplit/>
          <w:trHeight w:val="260"/>
        </w:trPr>
        <w:tc>
          <w:tcPr>
            <w:tcW w:w="419" w:type="pct"/>
            <w:vMerge/>
            <w:tcBorders>
              <w:left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p>
        </w:tc>
        <w:tc>
          <w:tcPr>
            <w:tcW w:w="376" w:type="pct"/>
            <w:vMerge/>
            <w:tcBorders>
              <w:left w:val="single" w:sz="4" w:space="0" w:color="auto"/>
              <w:bottom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Age at first diagnosis of hypertension</w:t>
            </w:r>
          </w:p>
        </w:tc>
        <w:tc>
          <w:tcPr>
            <w:tcW w:w="538"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During follow up</w:t>
            </w:r>
          </w:p>
        </w:tc>
        <w:tc>
          <w:tcPr>
            <w:tcW w:w="1076" w:type="pct"/>
            <w:tcBorders>
              <w:top w:val="single" w:sz="4" w:space="0" w:color="auto"/>
              <w:left w:val="single" w:sz="4" w:space="0" w:color="auto"/>
              <w:bottom w:val="single" w:sz="4"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years</w:t>
            </w:r>
          </w:p>
        </w:tc>
        <w:tc>
          <w:tcPr>
            <w:tcW w:w="2054" w:type="pct"/>
            <w:tcBorders>
              <w:top w:val="single" w:sz="4" w:space="0" w:color="auto"/>
              <w:left w:val="single" w:sz="4" w:space="0" w:color="auto"/>
              <w:bottom w:val="single" w:sz="4" w:space="0" w:color="auto"/>
              <w:right w:val="single" w:sz="12"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NA</w:t>
            </w:r>
          </w:p>
        </w:tc>
      </w:tr>
      <w:tr w:rsidR="00C73BC8" w:rsidRPr="006A4B12" w:rsidTr="001301A1">
        <w:trPr>
          <w:cantSplit/>
          <w:trHeight w:val="260"/>
        </w:trPr>
        <w:tc>
          <w:tcPr>
            <w:tcW w:w="419" w:type="pct"/>
            <w:vMerge/>
            <w:tcBorders>
              <w:left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p>
        </w:tc>
        <w:tc>
          <w:tcPr>
            <w:tcW w:w="376" w:type="pct"/>
            <w:tcBorders>
              <w:top w:val="single" w:sz="4" w:space="0" w:color="auto"/>
              <w:left w:val="single" w:sz="4" w:space="0" w:color="auto"/>
              <w:bottom w:val="single" w:sz="12"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Outcome</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Hypertension</w:t>
            </w:r>
          </w:p>
        </w:tc>
        <w:tc>
          <w:tcPr>
            <w:tcW w:w="538" w:type="pct"/>
            <w:tcBorders>
              <w:top w:val="single" w:sz="4" w:space="0" w:color="auto"/>
              <w:left w:val="single" w:sz="4" w:space="0" w:color="auto"/>
              <w:bottom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At ≥ 30 years (in study population from ≥ 20 years)</w:t>
            </w:r>
          </w:p>
        </w:tc>
        <w:tc>
          <w:tcPr>
            <w:tcW w:w="1076" w:type="pct"/>
            <w:tcBorders>
              <w:top w:val="single" w:sz="4" w:space="0" w:color="auto"/>
              <w:left w:val="single" w:sz="4" w:space="0" w:color="auto"/>
              <w:bottom w:val="single" w:sz="12" w:space="0" w:color="auto"/>
              <w:right w:val="single" w:sz="4"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SBP &gt; 130 mmHg and/or DBP of &gt; 85 mmHg</w:t>
            </w:r>
          </w:p>
        </w:tc>
        <w:tc>
          <w:tcPr>
            <w:tcW w:w="2054" w:type="pct"/>
            <w:tcBorders>
              <w:top w:val="single" w:sz="4" w:space="0" w:color="auto"/>
              <w:left w:val="single" w:sz="4" w:space="0" w:color="auto"/>
              <w:bottom w:val="single" w:sz="12" w:space="0" w:color="auto"/>
              <w:right w:val="single" w:sz="12" w:space="0" w:color="auto"/>
            </w:tcBorders>
            <w:vAlign w:val="center"/>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SBP and DBP were measured with a standard mercury sphygmomanometer every 2 years after the age of 18 years, by trained technicians, with participants seated. Three BP measurements were taken at each examination, and the mean of the last two readings was used in the analysis.</w:t>
            </w:r>
          </w:p>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It is not clearly reported whether hypertension had to be diagnosed during a measurement from the study, or whether a diagnosis of hypertension or treatment for hypertension (e.g. during the 2 year interval) were considered as well. Also, it is not clear what was done if hypertension was first diagnosed in participants between 20-30 years of age. The first author of the study was contacted, but did not respond.</w:t>
            </w:r>
          </w:p>
        </w:tc>
      </w:tr>
      <w:tr w:rsidR="00C73BC8" w:rsidRPr="006A4B12" w:rsidTr="001301A1">
        <w:trPr>
          <w:trHeight w:val="1124"/>
        </w:trPr>
        <w:tc>
          <w:tcPr>
            <w:tcW w:w="419" w:type="pct"/>
            <w:vMerge w:val="restart"/>
            <w:tcBorders>
              <w:top w:val="single" w:sz="12" w:space="0" w:color="auto"/>
              <w:left w:val="single" w:sz="12" w:space="0" w:color="auto"/>
            </w:tcBorders>
            <w:hideMark/>
          </w:tcPr>
          <w:p w:rsidR="00C73BC8" w:rsidRPr="006A4B12" w:rsidRDefault="00C73BC8" w:rsidP="001301A1">
            <w:pPr>
              <w:rPr>
                <w:rFonts w:ascii="Times New Roman" w:hAnsi="Times New Roman" w:cs="Times New Roman"/>
                <w:sz w:val="16"/>
                <w:szCs w:val="20"/>
              </w:rPr>
            </w:pPr>
            <w:proofErr w:type="spellStart"/>
            <w:r w:rsidRPr="006A4B12">
              <w:rPr>
                <w:rFonts w:ascii="Times New Roman" w:hAnsi="Times New Roman" w:cs="Times New Roman"/>
                <w:sz w:val="16"/>
                <w:szCs w:val="20"/>
              </w:rPr>
              <w:t>Vos</w:t>
            </w:r>
            <w:proofErr w:type="spellEnd"/>
            <w:r w:rsidRPr="006A4B12">
              <w:rPr>
                <w:rFonts w:ascii="Times New Roman" w:hAnsi="Times New Roman" w:cs="Times New Roman"/>
                <w:sz w:val="16"/>
                <w:szCs w:val="20"/>
              </w:rPr>
              <w:t xml:space="preserve"> et al. (2003)</w:t>
            </w:r>
          </w:p>
        </w:tc>
        <w:tc>
          <w:tcPr>
            <w:tcW w:w="376" w:type="pct"/>
            <w:vMerge w:val="restart"/>
            <w:tcBorders>
              <w:top w:val="single" w:sz="12" w:space="0" w:color="auto"/>
            </w:tcBorders>
            <w:hideMark/>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Candidate predictors</w:t>
            </w:r>
          </w:p>
        </w:tc>
        <w:tc>
          <w:tcPr>
            <w:tcW w:w="537" w:type="pct"/>
            <w:tcBorders>
              <w:top w:val="single" w:sz="12" w:space="0" w:color="auto"/>
            </w:tcBorders>
            <w:hideMark/>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SBP</w:t>
            </w:r>
          </w:p>
        </w:tc>
        <w:tc>
          <w:tcPr>
            <w:tcW w:w="538" w:type="pct"/>
            <w:hideMark/>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Adolescence</w:t>
            </w:r>
          </w:p>
        </w:tc>
        <w:tc>
          <w:tcPr>
            <w:tcW w:w="1076" w:type="pct"/>
            <w:hideMark/>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Single/first SBP value (continuous)</w:t>
            </w:r>
          </w:p>
        </w:tc>
        <w:tc>
          <w:tcPr>
            <w:tcW w:w="2054" w:type="pct"/>
            <w:tcBorders>
              <w:right w:val="single" w:sz="12" w:space="0" w:color="auto"/>
            </w:tcBorders>
            <w:hideMark/>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u w:val="single"/>
              </w:rPr>
              <w:t>Utrecht</w:t>
            </w:r>
            <w:r w:rsidRPr="006A4B12">
              <w:rPr>
                <w:rFonts w:ascii="Times New Roman" w:hAnsi="Times New Roman" w:cs="Times New Roman"/>
                <w:sz w:val="16"/>
                <w:szCs w:val="20"/>
              </w:rPr>
              <w:t>: routinely measured single BP value, using a sphygmomanometer. No standardization concerning cuff size and rest before measurements.</w:t>
            </w:r>
          </w:p>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u w:val="single"/>
              </w:rPr>
              <w:t>The Hague</w:t>
            </w:r>
            <w:r w:rsidRPr="006A4B12">
              <w:rPr>
                <w:rFonts w:ascii="Times New Roman" w:hAnsi="Times New Roman" w:cs="Times New Roman"/>
                <w:sz w:val="16"/>
                <w:szCs w:val="20"/>
              </w:rPr>
              <w:t>: BP was measured three times within 3 minutes in a sitting position at the right upper arm with an automated device (</w:t>
            </w:r>
            <w:proofErr w:type="spellStart"/>
            <w:r w:rsidRPr="006A4B12">
              <w:rPr>
                <w:rFonts w:ascii="Times New Roman" w:hAnsi="Times New Roman" w:cs="Times New Roman"/>
                <w:sz w:val="16"/>
                <w:szCs w:val="20"/>
              </w:rPr>
              <w:t>Physiometrics</w:t>
            </w:r>
            <w:proofErr w:type="spellEnd"/>
            <w:r w:rsidRPr="006A4B12">
              <w:rPr>
                <w:rFonts w:ascii="Times New Roman" w:hAnsi="Times New Roman" w:cs="Times New Roman"/>
                <w:sz w:val="16"/>
                <w:szCs w:val="20"/>
              </w:rPr>
              <w:t xml:space="preserve"> SR-2) with a cuff of 13 x 23.5 cm. First measurement used for analysis.</w:t>
            </w:r>
          </w:p>
        </w:tc>
      </w:tr>
      <w:tr w:rsidR="00C73BC8" w:rsidRPr="006A4B12" w:rsidTr="001301A1">
        <w:trPr>
          <w:trHeight w:val="260"/>
        </w:trPr>
        <w:tc>
          <w:tcPr>
            <w:tcW w:w="419" w:type="pct"/>
            <w:vMerge/>
            <w:tcBorders>
              <w:left w:val="single" w:sz="12" w:space="0" w:color="auto"/>
            </w:tcBorders>
            <w:hideMark/>
          </w:tcPr>
          <w:p w:rsidR="00C73BC8" w:rsidRPr="006A4B12" w:rsidRDefault="00C73BC8" w:rsidP="001301A1">
            <w:pPr>
              <w:rPr>
                <w:rFonts w:ascii="Times New Roman" w:hAnsi="Times New Roman" w:cs="Times New Roman"/>
                <w:sz w:val="16"/>
                <w:szCs w:val="20"/>
              </w:rPr>
            </w:pPr>
          </w:p>
        </w:tc>
        <w:tc>
          <w:tcPr>
            <w:tcW w:w="376" w:type="pct"/>
            <w:vMerge/>
            <w:hideMark/>
          </w:tcPr>
          <w:p w:rsidR="00C73BC8" w:rsidRPr="006A4B12" w:rsidRDefault="00C73BC8" w:rsidP="001301A1">
            <w:pPr>
              <w:rPr>
                <w:rFonts w:ascii="Times New Roman" w:hAnsi="Times New Roman" w:cs="Times New Roman"/>
                <w:sz w:val="16"/>
                <w:szCs w:val="20"/>
              </w:rPr>
            </w:pPr>
          </w:p>
        </w:tc>
        <w:tc>
          <w:tcPr>
            <w:tcW w:w="537" w:type="pct"/>
            <w:hideMark/>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Gender</w:t>
            </w:r>
          </w:p>
        </w:tc>
        <w:tc>
          <w:tcPr>
            <w:tcW w:w="538" w:type="pct"/>
            <w:hideMark/>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NA</w:t>
            </w:r>
          </w:p>
        </w:tc>
        <w:tc>
          <w:tcPr>
            <w:tcW w:w="1076" w:type="pct"/>
            <w:hideMark/>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male/female</w:t>
            </w:r>
          </w:p>
        </w:tc>
        <w:tc>
          <w:tcPr>
            <w:tcW w:w="2054" w:type="pct"/>
            <w:tcBorders>
              <w:right w:val="single" w:sz="12" w:space="0" w:color="auto"/>
            </w:tcBorders>
            <w:hideMark/>
          </w:tcPr>
          <w:p w:rsidR="00C73BC8" w:rsidRPr="006A4B12" w:rsidRDefault="00C73BC8" w:rsidP="001301A1">
            <w:pPr>
              <w:rPr>
                <w:rFonts w:ascii="Times New Roman" w:hAnsi="Times New Roman" w:cs="Times New Roman"/>
                <w:sz w:val="16"/>
                <w:szCs w:val="20"/>
                <w:u w:val="single"/>
              </w:rPr>
            </w:pPr>
            <w:r w:rsidRPr="006A4B12">
              <w:rPr>
                <w:rFonts w:ascii="Times New Roman" w:hAnsi="Times New Roman" w:cs="Times New Roman"/>
                <w:sz w:val="16"/>
                <w:szCs w:val="20"/>
              </w:rPr>
              <w:t>NA</w:t>
            </w:r>
          </w:p>
        </w:tc>
      </w:tr>
      <w:tr w:rsidR="00C73BC8" w:rsidRPr="006A4B12" w:rsidTr="001301A1">
        <w:trPr>
          <w:trHeight w:val="260"/>
        </w:trPr>
        <w:tc>
          <w:tcPr>
            <w:tcW w:w="419" w:type="pct"/>
            <w:vMerge/>
            <w:tcBorders>
              <w:left w:val="single" w:sz="12" w:space="0" w:color="auto"/>
            </w:tcBorders>
            <w:hideMark/>
          </w:tcPr>
          <w:p w:rsidR="00C73BC8" w:rsidRPr="006A4B12" w:rsidRDefault="00C73BC8" w:rsidP="001301A1">
            <w:pPr>
              <w:rPr>
                <w:rFonts w:ascii="Times New Roman" w:hAnsi="Times New Roman" w:cs="Times New Roman"/>
                <w:sz w:val="16"/>
                <w:szCs w:val="20"/>
              </w:rPr>
            </w:pPr>
          </w:p>
        </w:tc>
        <w:tc>
          <w:tcPr>
            <w:tcW w:w="376" w:type="pct"/>
            <w:vMerge/>
            <w:hideMark/>
          </w:tcPr>
          <w:p w:rsidR="00C73BC8" w:rsidRPr="006A4B12" w:rsidRDefault="00C73BC8" w:rsidP="001301A1">
            <w:pPr>
              <w:rPr>
                <w:rFonts w:ascii="Times New Roman" w:hAnsi="Times New Roman" w:cs="Times New Roman"/>
                <w:sz w:val="16"/>
                <w:szCs w:val="20"/>
              </w:rPr>
            </w:pPr>
          </w:p>
        </w:tc>
        <w:tc>
          <w:tcPr>
            <w:tcW w:w="537" w:type="pct"/>
            <w:hideMark/>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Age</w:t>
            </w:r>
          </w:p>
        </w:tc>
        <w:tc>
          <w:tcPr>
            <w:tcW w:w="538" w:type="pct"/>
            <w:hideMark/>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Adolescence</w:t>
            </w:r>
          </w:p>
        </w:tc>
        <w:tc>
          <w:tcPr>
            <w:tcW w:w="1076" w:type="pct"/>
            <w:hideMark/>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years</w:t>
            </w:r>
          </w:p>
        </w:tc>
        <w:tc>
          <w:tcPr>
            <w:tcW w:w="2054" w:type="pct"/>
            <w:tcBorders>
              <w:right w:val="single" w:sz="12" w:space="0" w:color="auto"/>
            </w:tcBorders>
            <w:hideMark/>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NA</w:t>
            </w:r>
          </w:p>
        </w:tc>
      </w:tr>
      <w:tr w:rsidR="00C73BC8" w:rsidRPr="006A4B12" w:rsidTr="001301A1">
        <w:trPr>
          <w:trHeight w:val="260"/>
        </w:trPr>
        <w:tc>
          <w:tcPr>
            <w:tcW w:w="419" w:type="pct"/>
            <w:vMerge/>
            <w:tcBorders>
              <w:left w:val="single" w:sz="12" w:space="0" w:color="auto"/>
            </w:tcBorders>
            <w:hideMark/>
          </w:tcPr>
          <w:p w:rsidR="00C73BC8" w:rsidRPr="006A4B12" w:rsidRDefault="00C73BC8" w:rsidP="001301A1">
            <w:pPr>
              <w:rPr>
                <w:rFonts w:ascii="Times New Roman" w:hAnsi="Times New Roman" w:cs="Times New Roman"/>
                <w:sz w:val="16"/>
                <w:szCs w:val="20"/>
              </w:rPr>
            </w:pPr>
          </w:p>
        </w:tc>
        <w:tc>
          <w:tcPr>
            <w:tcW w:w="376" w:type="pct"/>
            <w:vMerge/>
            <w:hideMark/>
          </w:tcPr>
          <w:p w:rsidR="00C73BC8" w:rsidRPr="006A4B12" w:rsidRDefault="00C73BC8" w:rsidP="001301A1">
            <w:pPr>
              <w:rPr>
                <w:rFonts w:ascii="Times New Roman" w:hAnsi="Times New Roman" w:cs="Times New Roman"/>
                <w:sz w:val="16"/>
                <w:szCs w:val="20"/>
              </w:rPr>
            </w:pPr>
          </w:p>
        </w:tc>
        <w:tc>
          <w:tcPr>
            <w:tcW w:w="537" w:type="pct"/>
            <w:hideMark/>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BMI</w:t>
            </w:r>
          </w:p>
        </w:tc>
        <w:tc>
          <w:tcPr>
            <w:tcW w:w="538" w:type="pct"/>
            <w:hideMark/>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Adolescence</w:t>
            </w:r>
          </w:p>
        </w:tc>
        <w:tc>
          <w:tcPr>
            <w:tcW w:w="1076" w:type="pct"/>
            <w:hideMark/>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kg/m</w:t>
            </w:r>
            <w:r w:rsidRPr="006A4B12">
              <w:rPr>
                <w:rFonts w:ascii="Times New Roman" w:hAnsi="Times New Roman" w:cs="Times New Roman"/>
                <w:sz w:val="16"/>
                <w:szCs w:val="20"/>
                <w:vertAlign w:val="superscript"/>
              </w:rPr>
              <w:t>2</w:t>
            </w:r>
          </w:p>
        </w:tc>
        <w:tc>
          <w:tcPr>
            <w:tcW w:w="2054" w:type="pct"/>
            <w:tcBorders>
              <w:right w:val="single" w:sz="12" w:space="0" w:color="auto"/>
            </w:tcBorders>
            <w:hideMark/>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u w:val="single"/>
              </w:rPr>
              <w:t>Utrecht</w:t>
            </w:r>
            <w:r w:rsidRPr="006A4B12">
              <w:rPr>
                <w:rFonts w:ascii="Times New Roman" w:hAnsi="Times New Roman" w:cs="Times New Roman"/>
                <w:sz w:val="16"/>
                <w:szCs w:val="20"/>
              </w:rPr>
              <w:t>: routinely measured body height and weight</w:t>
            </w:r>
          </w:p>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u w:val="single"/>
              </w:rPr>
              <w:t>The Hague:</w:t>
            </w:r>
            <w:r w:rsidRPr="006A4B12">
              <w:rPr>
                <w:rFonts w:ascii="Times New Roman" w:hAnsi="Times New Roman" w:cs="Times New Roman"/>
                <w:sz w:val="16"/>
                <w:szCs w:val="20"/>
              </w:rPr>
              <w:t xml:space="preserve"> body weight and height were measured without shoes</w:t>
            </w:r>
          </w:p>
        </w:tc>
      </w:tr>
      <w:tr w:rsidR="00C73BC8" w:rsidRPr="006A4B12" w:rsidTr="001301A1">
        <w:trPr>
          <w:trHeight w:val="260"/>
        </w:trPr>
        <w:tc>
          <w:tcPr>
            <w:tcW w:w="419" w:type="pct"/>
            <w:vMerge/>
            <w:tcBorders>
              <w:left w:val="single" w:sz="12" w:space="0" w:color="auto"/>
              <w:bottom w:val="single" w:sz="12" w:space="0" w:color="auto"/>
            </w:tcBorders>
            <w:hideMark/>
          </w:tcPr>
          <w:p w:rsidR="00C73BC8" w:rsidRPr="006A4B12" w:rsidRDefault="00C73BC8" w:rsidP="001301A1">
            <w:pPr>
              <w:rPr>
                <w:rFonts w:ascii="Times New Roman" w:hAnsi="Times New Roman" w:cs="Times New Roman"/>
                <w:sz w:val="16"/>
                <w:szCs w:val="20"/>
              </w:rPr>
            </w:pPr>
          </w:p>
        </w:tc>
        <w:tc>
          <w:tcPr>
            <w:tcW w:w="376" w:type="pct"/>
            <w:tcBorders>
              <w:bottom w:val="single" w:sz="12" w:space="0" w:color="auto"/>
            </w:tcBorders>
            <w:hideMark/>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Outcome</w:t>
            </w:r>
          </w:p>
        </w:tc>
        <w:tc>
          <w:tcPr>
            <w:tcW w:w="537" w:type="pct"/>
            <w:tcBorders>
              <w:bottom w:val="single" w:sz="12" w:space="0" w:color="auto"/>
            </w:tcBorders>
            <w:hideMark/>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Hypertension</w:t>
            </w:r>
          </w:p>
        </w:tc>
        <w:tc>
          <w:tcPr>
            <w:tcW w:w="538" w:type="pct"/>
            <w:tcBorders>
              <w:bottom w:val="single" w:sz="12" w:space="0" w:color="auto"/>
            </w:tcBorders>
            <w:hideMark/>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Young adulthood</w:t>
            </w:r>
          </w:p>
        </w:tc>
        <w:tc>
          <w:tcPr>
            <w:tcW w:w="1076" w:type="pct"/>
            <w:tcBorders>
              <w:bottom w:val="single" w:sz="12" w:space="0" w:color="auto"/>
            </w:tcBorders>
            <w:hideMark/>
          </w:tcPr>
          <w:p w:rsidR="00C73BC8" w:rsidRPr="006A4B12" w:rsidRDefault="00C73BC8" w:rsidP="001301A1">
            <w:pPr>
              <w:rPr>
                <w:rFonts w:ascii="Times New Roman" w:hAnsi="Times New Roman" w:cs="Times New Roman"/>
                <w:sz w:val="16"/>
                <w:szCs w:val="20"/>
              </w:rPr>
            </w:pPr>
            <w:r w:rsidRPr="006A4B12">
              <w:rPr>
                <w:rFonts w:ascii="Times New Roman" w:hAnsi="Times New Roman" w:cs="Times New Roman"/>
                <w:sz w:val="16"/>
                <w:szCs w:val="20"/>
              </w:rPr>
              <w:t>Average (of all measurements at two visits) SBP value ≥ 140 mmHg or DBP value ≥ 90 mmHg or use of antihypertensive medication</w:t>
            </w:r>
          </w:p>
        </w:tc>
        <w:tc>
          <w:tcPr>
            <w:tcW w:w="2054" w:type="pct"/>
            <w:tcBorders>
              <w:bottom w:val="single" w:sz="12" w:space="0" w:color="auto"/>
              <w:right w:val="single" w:sz="12" w:space="0" w:color="auto"/>
            </w:tcBorders>
            <w:hideMark/>
          </w:tcPr>
          <w:p w:rsidR="00C73BC8" w:rsidRPr="006A4B12" w:rsidRDefault="00C73BC8" w:rsidP="001301A1">
            <w:pPr>
              <w:rPr>
                <w:rFonts w:ascii="Times New Roman" w:hAnsi="Times New Roman" w:cs="Times New Roman"/>
                <w:sz w:val="16"/>
                <w:szCs w:val="20"/>
                <w:u w:val="single"/>
              </w:rPr>
            </w:pPr>
            <w:r w:rsidRPr="006A4B12">
              <w:rPr>
                <w:rFonts w:ascii="Times New Roman" w:hAnsi="Times New Roman" w:cs="Times New Roman"/>
                <w:sz w:val="16"/>
                <w:szCs w:val="20"/>
              </w:rPr>
              <w:t xml:space="preserve">BP was measured using </w:t>
            </w:r>
            <w:proofErr w:type="spellStart"/>
            <w:r w:rsidRPr="006A4B12">
              <w:rPr>
                <w:rFonts w:ascii="Times New Roman" w:hAnsi="Times New Roman" w:cs="Times New Roman"/>
                <w:sz w:val="16"/>
                <w:szCs w:val="20"/>
              </w:rPr>
              <w:t>Dynamap</w:t>
            </w:r>
            <w:proofErr w:type="spellEnd"/>
            <w:r w:rsidRPr="006A4B12">
              <w:rPr>
                <w:rFonts w:ascii="Times New Roman" w:hAnsi="Times New Roman" w:cs="Times New Roman"/>
                <w:sz w:val="16"/>
                <w:szCs w:val="20"/>
              </w:rPr>
              <w:t>, in sitting position, at the left upper arm. BP was measured during two visits, with two measurements at both visits. First measurement after a 5-minute rest, second measurement after another 5-15 minutes rest. Information on the use of antihypertensive medication was obtained with a written questionnaire.</w:t>
            </w:r>
          </w:p>
        </w:tc>
      </w:tr>
    </w:tbl>
    <w:p w:rsidR="00C73BC8" w:rsidRPr="006A4B12" w:rsidRDefault="00C73BC8" w:rsidP="00C73BC8">
      <w:pPr>
        <w:spacing w:after="0"/>
        <w:rPr>
          <w:rFonts w:ascii="Times New Roman" w:hAnsi="Times New Roman" w:cs="Times New Roman"/>
          <w:sz w:val="16"/>
        </w:rPr>
      </w:pPr>
    </w:p>
    <w:p w:rsidR="00C73BC8" w:rsidRPr="006A4B12" w:rsidRDefault="00C73BC8" w:rsidP="00C73BC8">
      <w:pPr>
        <w:spacing w:after="0"/>
        <w:rPr>
          <w:rFonts w:ascii="Times New Roman" w:hAnsi="Times New Roman" w:cs="Times New Roman"/>
          <w:i/>
          <w:sz w:val="16"/>
        </w:rPr>
      </w:pPr>
      <w:r w:rsidRPr="006A4B12">
        <w:rPr>
          <w:rFonts w:ascii="Times New Roman" w:hAnsi="Times New Roman" w:cs="Times New Roman"/>
          <w:i/>
          <w:sz w:val="16"/>
        </w:rPr>
        <w:t>Abbreviations:</w:t>
      </w:r>
    </w:p>
    <w:p w:rsidR="00C73BC8" w:rsidRPr="006A4B12" w:rsidRDefault="00C73BC8" w:rsidP="00C73BC8">
      <w:pPr>
        <w:spacing w:after="0"/>
        <w:rPr>
          <w:rFonts w:ascii="Times New Roman" w:hAnsi="Times New Roman" w:cs="Times New Roman"/>
          <w:sz w:val="16"/>
        </w:rPr>
      </w:pPr>
      <w:r w:rsidRPr="006A4B12">
        <w:rPr>
          <w:rFonts w:ascii="Times New Roman" w:hAnsi="Times New Roman" w:cs="Times New Roman"/>
          <w:sz w:val="16"/>
        </w:rPr>
        <w:t>BMI: body mass index</w:t>
      </w:r>
    </w:p>
    <w:p w:rsidR="00C73BC8" w:rsidRPr="006A4B12" w:rsidRDefault="00C73BC8" w:rsidP="00C73BC8">
      <w:pPr>
        <w:spacing w:after="0"/>
        <w:rPr>
          <w:rFonts w:ascii="Times New Roman" w:hAnsi="Times New Roman" w:cs="Times New Roman"/>
          <w:sz w:val="16"/>
        </w:rPr>
      </w:pPr>
      <w:r w:rsidRPr="006A4B12">
        <w:rPr>
          <w:rFonts w:ascii="Times New Roman" w:hAnsi="Times New Roman" w:cs="Times New Roman"/>
          <w:sz w:val="16"/>
        </w:rPr>
        <w:t>BP: blood pressure</w:t>
      </w:r>
    </w:p>
    <w:p w:rsidR="00C73BC8" w:rsidRPr="006A4B12" w:rsidRDefault="00C73BC8" w:rsidP="00C73BC8">
      <w:pPr>
        <w:spacing w:after="0"/>
        <w:rPr>
          <w:rFonts w:ascii="Times New Roman" w:hAnsi="Times New Roman" w:cs="Times New Roman"/>
          <w:sz w:val="16"/>
        </w:rPr>
      </w:pPr>
      <w:r w:rsidRPr="006A4B12">
        <w:rPr>
          <w:rFonts w:ascii="Times New Roman" w:hAnsi="Times New Roman" w:cs="Times New Roman"/>
          <w:sz w:val="16"/>
        </w:rPr>
        <w:t>CDC: Centers for Disease Control and Prevention</w:t>
      </w:r>
    </w:p>
    <w:p w:rsidR="00C73BC8" w:rsidRPr="006A4B12" w:rsidRDefault="00C73BC8" w:rsidP="00C73BC8">
      <w:pPr>
        <w:spacing w:after="0"/>
        <w:rPr>
          <w:rFonts w:ascii="Times New Roman" w:hAnsi="Times New Roman" w:cs="Times New Roman"/>
          <w:sz w:val="16"/>
        </w:rPr>
      </w:pPr>
      <w:r w:rsidRPr="006A4B12">
        <w:rPr>
          <w:rFonts w:ascii="Times New Roman" w:hAnsi="Times New Roman" w:cs="Times New Roman"/>
          <w:sz w:val="16"/>
        </w:rPr>
        <w:t>DBP: diastolic blood pressure</w:t>
      </w:r>
    </w:p>
    <w:p w:rsidR="00C73BC8" w:rsidRPr="006A4B12" w:rsidRDefault="00C73BC8" w:rsidP="00C73BC8">
      <w:pPr>
        <w:spacing w:after="0"/>
        <w:rPr>
          <w:rFonts w:ascii="Times New Roman" w:hAnsi="Times New Roman" w:cs="Times New Roman"/>
          <w:sz w:val="16"/>
        </w:rPr>
      </w:pPr>
      <w:r w:rsidRPr="006A4B12">
        <w:rPr>
          <w:rFonts w:ascii="Times New Roman" w:hAnsi="Times New Roman" w:cs="Times New Roman"/>
          <w:sz w:val="16"/>
        </w:rPr>
        <w:t>EBP: elevated blood pressure</w:t>
      </w:r>
    </w:p>
    <w:p w:rsidR="00C73BC8" w:rsidRPr="006A4B12" w:rsidRDefault="00C73BC8" w:rsidP="00C73BC8">
      <w:pPr>
        <w:spacing w:after="0"/>
        <w:rPr>
          <w:rFonts w:ascii="Times New Roman" w:hAnsi="Times New Roman" w:cs="Times New Roman"/>
          <w:sz w:val="16"/>
        </w:rPr>
      </w:pPr>
      <w:r w:rsidRPr="006A4B12">
        <w:rPr>
          <w:rFonts w:ascii="Times New Roman" w:hAnsi="Times New Roman" w:cs="Times New Roman"/>
          <w:sz w:val="16"/>
        </w:rPr>
        <w:t>IOTF: International Obesity Task Force</w:t>
      </w:r>
    </w:p>
    <w:p w:rsidR="00C73BC8" w:rsidRPr="006A4B12" w:rsidRDefault="00C73BC8" w:rsidP="00C73BC8">
      <w:pPr>
        <w:spacing w:after="0"/>
        <w:rPr>
          <w:rFonts w:ascii="Times New Roman" w:hAnsi="Times New Roman" w:cs="Times New Roman"/>
          <w:sz w:val="16"/>
        </w:rPr>
      </w:pPr>
      <w:r w:rsidRPr="006A4B12">
        <w:rPr>
          <w:rFonts w:ascii="Times New Roman" w:hAnsi="Times New Roman" w:cs="Times New Roman"/>
          <w:sz w:val="16"/>
        </w:rPr>
        <w:t>NA: not applicable</w:t>
      </w:r>
    </w:p>
    <w:p w:rsidR="00C73BC8" w:rsidRPr="006A4B12" w:rsidRDefault="00C73BC8" w:rsidP="00C73BC8">
      <w:pPr>
        <w:spacing w:after="0"/>
        <w:rPr>
          <w:rFonts w:ascii="Times New Roman" w:hAnsi="Times New Roman" w:cs="Times New Roman"/>
          <w:sz w:val="16"/>
        </w:rPr>
      </w:pPr>
      <w:r w:rsidRPr="006A4B12">
        <w:rPr>
          <w:rFonts w:ascii="Times New Roman" w:hAnsi="Times New Roman" w:cs="Times New Roman"/>
          <w:sz w:val="16"/>
        </w:rPr>
        <w:t>ROC: receiver operating characteristic</w:t>
      </w:r>
    </w:p>
    <w:p w:rsidR="00C73BC8" w:rsidRPr="006A4B12" w:rsidRDefault="00C73BC8" w:rsidP="00C73BC8">
      <w:pPr>
        <w:spacing w:after="0"/>
        <w:rPr>
          <w:rFonts w:ascii="Times New Roman" w:hAnsi="Times New Roman" w:cs="Times New Roman"/>
          <w:sz w:val="16"/>
        </w:rPr>
      </w:pPr>
      <w:r w:rsidRPr="006A4B12">
        <w:rPr>
          <w:rFonts w:ascii="Times New Roman" w:hAnsi="Times New Roman" w:cs="Times New Roman"/>
          <w:sz w:val="16"/>
        </w:rPr>
        <w:t>SBP: systolic blood pressure</w:t>
      </w:r>
    </w:p>
    <w:p w:rsidR="00C73BC8" w:rsidRPr="006A4B12" w:rsidRDefault="00C73BC8" w:rsidP="00C73BC8">
      <w:pPr>
        <w:spacing w:after="0"/>
        <w:rPr>
          <w:rFonts w:ascii="Times New Roman" w:hAnsi="Times New Roman" w:cs="Times New Roman"/>
          <w:sz w:val="16"/>
        </w:rPr>
      </w:pPr>
      <w:r w:rsidRPr="006A4B12">
        <w:rPr>
          <w:rFonts w:ascii="Times New Roman" w:hAnsi="Times New Roman" w:cs="Times New Roman"/>
          <w:sz w:val="16"/>
        </w:rPr>
        <w:t>SNP: single nucleotide polymorphism</w:t>
      </w:r>
    </w:p>
    <w:p w:rsidR="00BF2457" w:rsidRDefault="00BF2457">
      <w:pPr>
        <w:rPr>
          <w:rFonts w:ascii="Times New Roman" w:hAnsi="Times New Roman" w:cs="Times New Roman"/>
          <w:sz w:val="16"/>
        </w:rPr>
      </w:pPr>
    </w:p>
    <w:p w:rsidR="00BF2457" w:rsidRPr="00072AE0" w:rsidRDefault="00072AE0" w:rsidP="00072AE0">
      <w:pPr>
        <w:rPr>
          <w:rFonts w:ascii="Times New Roman" w:hAnsi="Times New Roman" w:cs="Times New Roman"/>
          <w:b/>
        </w:rPr>
      </w:pPr>
      <w:r w:rsidRPr="00072AE0">
        <w:rPr>
          <w:rFonts w:ascii="Times New Roman" w:hAnsi="Times New Roman" w:cs="Times New Roman"/>
          <w:b/>
        </w:rPr>
        <w:t>References</w:t>
      </w:r>
    </w:p>
    <w:p w:rsidR="00BF2457" w:rsidRPr="00072AE0" w:rsidRDefault="00BF2457" w:rsidP="00BF2457">
      <w:pPr>
        <w:pStyle w:val="EndNoteBibliography"/>
        <w:spacing w:after="0"/>
        <w:rPr>
          <w:rFonts w:ascii="Times New Roman" w:hAnsi="Times New Roman" w:cs="Times New Roman"/>
        </w:rPr>
      </w:pPr>
      <w:r w:rsidRPr="00072AE0">
        <w:rPr>
          <w:rFonts w:ascii="Times New Roman" w:hAnsi="Times New Roman" w:cs="Times New Roman"/>
          <w:sz w:val="16"/>
        </w:rPr>
        <w:fldChar w:fldCharType="begin"/>
      </w:r>
      <w:r w:rsidRPr="00072AE0">
        <w:rPr>
          <w:rFonts w:ascii="Times New Roman" w:hAnsi="Times New Roman" w:cs="Times New Roman"/>
          <w:sz w:val="16"/>
        </w:rPr>
        <w:instrText xml:space="preserve"> ADDIN EN.REFLIST </w:instrText>
      </w:r>
      <w:r w:rsidRPr="00072AE0">
        <w:rPr>
          <w:rFonts w:ascii="Times New Roman" w:hAnsi="Times New Roman" w:cs="Times New Roman"/>
          <w:sz w:val="16"/>
        </w:rPr>
        <w:fldChar w:fldCharType="separate"/>
      </w:r>
      <w:r w:rsidRPr="00072AE0">
        <w:rPr>
          <w:rFonts w:ascii="Times New Roman" w:hAnsi="Times New Roman" w:cs="Times New Roman"/>
        </w:rPr>
        <w:t>1.</w:t>
      </w:r>
      <w:r w:rsidRPr="00072AE0">
        <w:rPr>
          <w:rFonts w:ascii="Times New Roman" w:hAnsi="Times New Roman" w:cs="Times New Roman"/>
        </w:rPr>
        <w:tab/>
        <w:t>Smit HA, Pinart M, Anto JM, Keil T, Bousquet J, Carlsen KH, et al. Childhood asthma prediction models: a systematic review. Lancet Respir Med. 2015; 3 (12):973-84.</w:t>
      </w:r>
      <w:bookmarkStart w:id="0" w:name="_GoBack"/>
      <w:bookmarkEnd w:id="0"/>
    </w:p>
    <w:p w:rsidR="00BF2457" w:rsidRPr="00072AE0" w:rsidRDefault="00BF2457" w:rsidP="00BF2457">
      <w:pPr>
        <w:pStyle w:val="EndNoteBibliography"/>
        <w:rPr>
          <w:rFonts w:ascii="Times New Roman" w:hAnsi="Times New Roman" w:cs="Times New Roman"/>
        </w:rPr>
      </w:pPr>
      <w:r w:rsidRPr="00072AE0">
        <w:rPr>
          <w:rFonts w:ascii="Times New Roman" w:hAnsi="Times New Roman" w:cs="Times New Roman"/>
          <w:lang w:val="nl-NL"/>
        </w:rPr>
        <w:t>2.</w:t>
      </w:r>
      <w:r w:rsidRPr="00072AE0">
        <w:rPr>
          <w:rFonts w:ascii="Times New Roman" w:hAnsi="Times New Roman" w:cs="Times New Roman"/>
          <w:lang w:val="nl-NL"/>
        </w:rPr>
        <w:tab/>
        <w:t xml:space="preserve">Moons KG, de Groot JA, Bouwmeester W, Vergouwe Y, Mallett S, Altman DG, et al. </w:t>
      </w:r>
      <w:r w:rsidRPr="00072AE0">
        <w:rPr>
          <w:rFonts w:ascii="Times New Roman" w:hAnsi="Times New Roman" w:cs="Times New Roman"/>
        </w:rPr>
        <w:t>Critical appraisal and data extraction for systematic reviews of prediction modelling studies: the CHARMS checklist. PLoS Med. 2014; 11 (10):e1001744.</w:t>
      </w:r>
    </w:p>
    <w:p w:rsidR="00F90AA8" w:rsidRPr="00C73BC8" w:rsidRDefault="00BF2457">
      <w:pPr>
        <w:rPr>
          <w:rFonts w:ascii="Times New Roman" w:hAnsi="Times New Roman" w:cs="Times New Roman"/>
          <w:sz w:val="16"/>
        </w:rPr>
      </w:pPr>
      <w:r w:rsidRPr="00072AE0">
        <w:rPr>
          <w:rFonts w:ascii="Times New Roman" w:hAnsi="Times New Roman" w:cs="Times New Roman"/>
          <w:sz w:val="16"/>
        </w:rPr>
        <w:fldChar w:fldCharType="end"/>
      </w:r>
    </w:p>
    <w:sectPr w:rsidR="00F90AA8" w:rsidRPr="00C73BC8" w:rsidSect="00C73BC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D3261"/>
    <w:multiLevelType w:val="hybridMultilevel"/>
    <w:tmpl w:val="4AA87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23BFA"/>
    <w:multiLevelType w:val="hybridMultilevel"/>
    <w:tmpl w:val="3B42D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2B79D2"/>
    <w:multiLevelType w:val="hybridMultilevel"/>
    <w:tmpl w:val="36C22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A345E8"/>
    <w:multiLevelType w:val="hybridMultilevel"/>
    <w:tmpl w:val="FA0EB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3F6787"/>
    <w:multiLevelType w:val="hybridMultilevel"/>
    <w:tmpl w:val="01580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Hypertens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e29rxz1fs2e6eas51p09x9p0zpz0s29dzr&quot;&gt;TOP-project&lt;record-ids&gt;&lt;item&gt;109&lt;/item&gt;&lt;item&gt;126&lt;/item&gt;&lt;/record-ids&gt;&lt;/item&gt;&lt;/Libraries&gt;"/>
  </w:docVars>
  <w:rsids>
    <w:rsidRoot w:val="00C73BC8"/>
    <w:rsid w:val="00072AE0"/>
    <w:rsid w:val="004863CA"/>
    <w:rsid w:val="004A5B26"/>
    <w:rsid w:val="00591C1B"/>
    <w:rsid w:val="00BF2457"/>
    <w:rsid w:val="00C73BC8"/>
    <w:rsid w:val="00F90A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BC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BC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BC8"/>
    <w:rPr>
      <w:color w:val="0000FF" w:themeColor="hyperlink"/>
      <w:u w:val="single"/>
    </w:rPr>
  </w:style>
  <w:style w:type="paragraph" w:customStyle="1" w:styleId="EndNoteBibliographyTitle">
    <w:name w:val="EndNote Bibliography Title"/>
    <w:basedOn w:val="Normal"/>
    <w:link w:val="EndNoteBibliographyTitleChar"/>
    <w:rsid w:val="00BF245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F2457"/>
    <w:rPr>
      <w:rFonts w:ascii="Calibri" w:hAnsi="Calibri"/>
      <w:noProof/>
      <w:lang w:val="en-US"/>
    </w:rPr>
  </w:style>
  <w:style w:type="paragraph" w:customStyle="1" w:styleId="EndNoteBibliography">
    <w:name w:val="EndNote Bibliography"/>
    <w:basedOn w:val="Normal"/>
    <w:link w:val="EndNoteBibliographyChar"/>
    <w:rsid w:val="00BF245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F2457"/>
    <w:rPr>
      <w:rFonts w:ascii="Calibri" w:hAnsi="Calibri"/>
      <w:noProof/>
      <w:lang w:val="en-US"/>
    </w:rPr>
  </w:style>
  <w:style w:type="paragraph" w:styleId="ListParagraph">
    <w:name w:val="List Paragraph"/>
    <w:basedOn w:val="Normal"/>
    <w:uiPriority w:val="34"/>
    <w:qFormat/>
    <w:rsid w:val="00BF24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BC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BC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BC8"/>
    <w:rPr>
      <w:color w:val="0000FF" w:themeColor="hyperlink"/>
      <w:u w:val="single"/>
    </w:rPr>
  </w:style>
  <w:style w:type="paragraph" w:customStyle="1" w:styleId="EndNoteBibliographyTitle">
    <w:name w:val="EndNote Bibliography Title"/>
    <w:basedOn w:val="Normal"/>
    <w:link w:val="EndNoteBibliographyTitleChar"/>
    <w:rsid w:val="00BF245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F2457"/>
    <w:rPr>
      <w:rFonts w:ascii="Calibri" w:hAnsi="Calibri"/>
      <w:noProof/>
      <w:lang w:val="en-US"/>
    </w:rPr>
  </w:style>
  <w:style w:type="paragraph" w:customStyle="1" w:styleId="EndNoteBibliography">
    <w:name w:val="EndNote Bibliography"/>
    <w:basedOn w:val="Normal"/>
    <w:link w:val="EndNoteBibliographyChar"/>
    <w:rsid w:val="00BF245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F2457"/>
    <w:rPr>
      <w:rFonts w:ascii="Calibri" w:hAnsi="Calibri"/>
      <w:noProof/>
      <w:lang w:val="en-US"/>
    </w:rPr>
  </w:style>
  <w:style w:type="paragraph" w:styleId="ListParagraph">
    <w:name w:val="List Paragraph"/>
    <w:basedOn w:val="Normal"/>
    <w:uiPriority w:val="34"/>
    <w:qFormat/>
    <w:rsid w:val="00BF2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amoen@erasmusmc.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3464</Words>
  <Characters>19746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23164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Hamoen</dc:creator>
  <cp:lastModifiedBy>M. Hamoen</cp:lastModifiedBy>
  <cp:revision>5</cp:revision>
  <dcterms:created xsi:type="dcterms:W3CDTF">2018-05-07T08:53:00Z</dcterms:created>
  <dcterms:modified xsi:type="dcterms:W3CDTF">2018-07-30T14:07:00Z</dcterms:modified>
</cp:coreProperties>
</file>