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9C11" w14:textId="77777777" w:rsidR="00317D4F" w:rsidRPr="006F246A" w:rsidRDefault="00317D4F" w:rsidP="009478FB">
      <w:pPr>
        <w:rPr>
          <w:b/>
        </w:rPr>
      </w:pPr>
      <w:bookmarkStart w:id="0" w:name="_GoBack"/>
      <w:bookmarkEnd w:id="0"/>
      <w:r>
        <w:t xml:space="preserve">Supplemental Digital Content for, </w:t>
      </w:r>
    </w:p>
    <w:p w14:paraId="7E4D2185" w14:textId="77777777" w:rsidR="00317D4F" w:rsidRPr="006F246A" w:rsidRDefault="00317D4F" w:rsidP="005A45A9">
      <w:pPr>
        <w:jc w:val="center"/>
        <w:rPr>
          <w:b/>
        </w:rPr>
      </w:pPr>
      <w:bookmarkStart w:id="1" w:name="_Hlk533096404"/>
      <w:r>
        <w:rPr>
          <w:b/>
        </w:rPr>
        <w:t>HISTORY</w:t>
      </w:r>
      <w:r w:rsidRPr="006F246A">
        <w:rPr>
          <w:b/>
        </w:rPr>
        <w:t xml:space="preserve"> OF DOSE</w:t>
      </w:r>
      <w:r>
        <w:rPr>
          <w:b/>
        </w:rPr>
        <w:t>,</w:t>
      </w:r>
      <w:r w:rsidRPr="006F246A">
        <w:rPr>
          <w:b/>
        </w:rPr>
        <w:t xml:space="preserve"> RISK</w:t>
      </w:r>
      <w:r>
        <w:rPr>
          <w:b/>
        </w:rPr>
        <w:t>, AND COMPENSATION ASSESSMENTS</w:t>
      </w:r>
      <w:r w:rsidRPr="006F246A">
        <w:rPr>
          <w:b/>
        </w:rPr>
        <w:t xml:space="preserve"> </w:t>
      </w:r>
      <w:r>
        <w:rPr>
          <w:b/>
        </w:rPr>
        <w:t>FOR</w:t>
      </w:r>
      <w:r w:rsidRPr="006F246A">
        <w:rPr>
          <w:b/>
        </w:rPr>
        <w:t xml:space="preserve"> US VETERANS OF </w:t>
      </w:r>
    </w:p>
    <w:p w14:paraId="700BFA5A" w14:textId="77777777" w:rsidR="00317D4F" w:rsidRDefault="00317D4F" w:rsidP="005A45A9">
      <w:pPr>
        <w:jc w:val="center"/>
        <w:rPr>
          <w:u w:val="single"/>
        </w:rPr>
      </w:pPr>
      <w:r w:rsidRPr="006F246A">
        <w:rPr>
          <w:b/>
        </w:rPr>
        <w:t>THE 1966 PLUTONIUM CLEANUP IN PALOMARES, SPAIN</w:t>
      </w:r>
    </w:p>
    <w:bookmarkEnd w:id="1"/>
    <w:p w14:paraId="16904576" w14:textId="77777777" w:rsidR="00317D4F" w:rsidRPr="009478FB" w:rsidRDefault="00317D4F" w:rsidP="009478FB">
      <w:pPr>
        <w:jc w:val="center"/>
        <w:rPr>
          <w:u w:val="single"/>
        </w:rPr>
      </w:pPr>
    </w:p>
    <w:p w14:paraId="37C56F99" w14:textId="77777777" w:rsidR="00317D4F" w:rsidRDefault="00317D4F">
      <w:r>
        <w:t xml:space="preserve">Jan Beyea, </w:t>
      </w:r>
      <w:bookmarkStart w:id="2" w:name="_Hlk519012074"/>
    </w:p>
    <w:p w14:paraId="2C570F1C" w14:textId="77777777" w:rsidR="00317D4F" w:rsidRDefault="00317D4F" w:rsidP="005B5675">
      <w:pPr>
        <w:ind w:left="720"/>
      </w:pPr>
      <w:r>
        <w:t xml:space="preserve">Consulting in the Public Interest, Senior Scientist, emeritus, 53 Clinton Street, Lambertville, NJ, 08530, Email: </w:t>
      </w:r>
      <w:hyperlink r:id="rId7" w:history="1">
        <w:r w:rsidRPr="001C3378">
          <w:rPr>
            <w:rStyle w:val="Hyperlink"/>
          </w:rPr>
          <w:t>jbeyea@cipi.com</w:t>
        </w:r>
      </w:hyperlink>
      <w:bookmarkEnd w:id="2"/>
    </w:p>
    <w:p w14:paraId="22EB6670" w14:textId="77777777" w:rsidR="00317D4F" w:rsidRDefault="00317D4F">
      <w:r>
        <w:t xml:space="preserve">Frank N. von Hippel,* </w:t>
      </w:r>
      <w:bookmarkStart w:id="3" w:name="_Hlk519011987"/>
    </w:p>
    <w:p w14:paraId="3BC5922E" w14:textId="77777777" w:rsidR="00317D4F" w:rsidRDefault="00317D4F" w:rsidP="005B5675">
      <w:pPr>
        <w:ind w:left="720"/>
      </w:pPr>
      <w:r w:rsidRPr="003144D1">
        <w:t>Senior Research Physicist and Professor of Public and International Affairs emeritus</w:t>
      </w:r>
      <w:r>
        <w:t xml:space="preserve">, Princeton </w:t>
      </w:r>
      <w:r w:rsidRPr="003144D1">
        <w:t>University</w:t>
      </w:r>
      <w:r>
        <w:t>,</w:t>
      </w:r>
      <w:r w:rsidRPr="006D5F2F">
        <w:t xml:space="preserve"> </w:t>
      </w:r>
      <w:r>
        <w:t>Program on Science and Global Security, 221 Nassau St, 2</w:t>
      </w:r>
      <w:r w:rsidRPr="00DC3C22">
        <w:rPr>
          <w:vertAlign w:val="superscript"/>
        </w:rPr>
        <w:t>nd</w:t>
      </w:r>
      <w:r>
        <w:t xml:space="preserve"> floor, Princeton, NJ, 08544, Email: fvhippel@princeton.edu </w:t>
      </w:r>
      <w:bookmarkEnd w:id="3"/>
    </w:p>
    <w:p w14:paraId="2585D118" w14:textId="77777777" w:rsidR="00317D4F" w:rsidRDefault="00317D4F">
      <w:r>
        <w:t xml:space="preserve">*Corresponding author. </w:t>
      </w:r>
    </w:p>
    <w:p w14:paraId="19B34C27" w14:textId="77777777" w:rsidR="00317D4F" w:rsidRPr="002B66D3" w:rsidRDefault="00317D4F">
      <w:pPr>
        <w:rPr>
          <w:b/>
        </w:rPr>
      </w:pPr>
      <w:r w:rsidRPr="002B66D3">
        <w:rPr>
          <w:b/>
        </w:rPr>
        <w:t>Table of contents</w:t>
      </w:r>
    </w:p>
    <w:p w14:paraId="0E7D441F" w14:textId="77777777" w:rsidR="00317D4F" w:rsidRDefault="00317D4F">
      <w:r w:rsidRPr="009478FB">
        <w:rPr>
          <w:u w:val="single"/>
        </w:rPr>
        <w:t>Texts</w:t>
      </w:r>
      <w:r>
        <w:t>:</w:t>
      </w:r>
    </w:p>
    <w:p w14:paraId="76AB0577" w14:textId="77777777" w:rsidR="00317D4F" w:rsidRDefault="00317D4F">
      <w:r>
        <w:t xml:space="preserve">Text S-1.  </w:t>
      </w:r>
      <w:bookmarkStart w:id="4" w:name="_Hlk515691439"/>
      <w:r>
        <w:t>Quote from Wright Langham concerning protective measures at Palomares.</w:t>
      </w:r>
      <w:bookmarkEnd w:id="4"/>
    </w:p>
    <w:p w14:paraId="19FDACE1" w14:textId="77777777" w:rsidR="00317D4F" w:rsidRDefault="00317D4F" w:rsidP="00D3078C">
      <w:r>
        <w:t xml:space="preserve">Text S-2.  </w:t>
      </w:r>
      <w:r w:rsidRPr="000744CD">
        <w:t xml:space="preserve">Additional details for </w:t>
      </w:r>
      <w:r>
        <w:t>“</w:t>
      </w:r>
      <w:r w:rsidRPr="000744CD">
        <w:t>assigned share</w:t>
      </w:r>
      <w:r>
        <w:t>“ calculation</w:t>
      </w:r>
      <w:r w:rsidRPr="000744CD">
        <w:t>s</w:t>
      </w:r>
      <w:r>
        <w:t>.</w:t>
      </w:r>
    </w:p>
    <w:p w14:paraId="33DDF6F3" w14:textId="77777777" w:rsidR="00317D4F" w:rsidRPr="009478FB" w:rsidRDefault="00317D4F">
      <w:pPr>
        <w:rPr>
          <w:u w:val="single"/>
        </w:rPr>
      </w:pPr>
      <w:r w:rsidRPr="009478FB">
        <w:rPr>
          <w:u w:val="single"/>
        </w:rPr>
        <w:t>Tables:</w:t>
      </w:r>
    </w:p>
    <w:p w14:paraId="65579F7E" w14:textId="77777777" w:rsidR="00317D4F" w:rsidRDefault="00317D4F">
      <w:pPr>
        <w:rPr>
          <w:color w:val="000000" w:themeColor="text1"/>
        </w:rPr>
      </w:pPr>
      <w:r>
        <w:rPr>
          <w:color w:val="000000" w:themeColor="text1"/>
        </w:rPr>
        <w:t xml:space="preserve">Table S-1. </w:t>
      </w:r>
      <w:r>
        <w:rPr>
          <w:rFonts w:ascii="Calibri" w:hAnsi="Calibri" w:cs="Calibri"/>
          <w:color w:val="000000"/>
        </w:rPr>
        <w:t xml:space="preserve">Data counts for the </w:t>
      </w:r>
      <w:r w:rsidRPr="00F114A1">
        <w:rPr>
          <w:rFonts w:ascii="Calibri" w:hAnsi="Calibri" w:cs="Calibri"/>
          <w:color w:val="000000"/>
        </w:rPr>
        <w:t>Palomares "High 26</w:t>
      </w:r>
      <w:r>
        <w:rPr>
          <w:rFonts w:ascii="Calibri" w:hAnsi="Calibri" w:cs="Calibri"/>
          <w:color w:val="000000"/>
        </w:rPr>
        <w:t>.</w:t>
      </w:r>
      <w:r w:rsidRPr="00F114A1">
        <w:rPr>
          <w:rFonts w:ascii="Calibri" w:hAnsi="Calibri" w:cs="Calibri"/>
          <w:color w:val="000000"/>
        </w:rPr>
        <w:t>"</w:t>
      </w:r>
    </w:p>
    <w:p w14:paraId="6D8E8F18" w14:textId="77777777" w:rsidR="00317D4F" w:rsidRDefault="00317D4F" w:rsidP="00D65A15">
      <w:pPr>
        <w:ind w:left="720" w:hanging="720"/>
      </w:pPr>
      <w:bookmarkStart w:id="5" w:name="Texts"/>
      <w:r w:rsidRPr="00960B34">
        <w:rPr>
          <w:u w:val="single"/>
        </w:rPr>
        <w:t>Figures</w:t>
      </w:r>
      <w:r>
        <w:t>:</w:t>
      </w:r>
    </w:p>
    <w:p w14:paraId="11148242" w14:textId="49624F32" w:rsidR="00317D4F" w:rsidRDefault="00317D4F" w:rsidP="00C43949">
      <w:pPr>
        <w:ind w:left="792" w:hanging="792"/>
      </w:pPr>
      <w:bookmarkStart w:id="6" w:name="_Hlk519077587"/>
      <w:r>
        <w:t xml:space="preserve">Fig. S-1. </w:t>
      </w:r>
      <w:bookmarkStart w:id="7" w:name="_Hlk519353269"/>
      <w:r>
        <w:t>High 26 excretion data points including non-detects, set to 0.11 mBq</w:t>
      </w:r>
      <w:r w:rsidR="005D4AD3">
        <w:t xml:space="preserve"> </w:t>
      </w:r>
      <w:r>
        <w:t>d</w:t>
      </w:r>
      <w:r w:rsidRPr="00C43949">
        <w:rPr>
          <w:vertAlign w:val="superscript"/>
        </w:rPr>
        <w:t>-1</w:t>
      </w:r>
      <w:r>
        <w:t xml:space="preserve"> (0.003 pCi</w:t>
      </w:r>
      <w:r w:rsidR="005D4AD3">
        <w:t xml:space="preserve"> </w:t>
      </w:r>
      <w:r>
        <w:t>d</w:t>
      </w:r>
      <w:r w:rsidRPr="00C43949">
        <w:rPr>
          <w:vertAlign w:val="superscript"/>
        </w:rPr>
        <w:t>-1</w:t>
      </w:r>
      <w:r>
        <w:t>).</w:t>
      </w:r>
    </w:p>
    <w:bookmarkEnd w:id="6"/>
    <w:bookmarkEnd w:id="7"/>
    <w:p w14:paraId="5AD5DF3D" w14:textId="5F5F6A7A" w:rsidR="00317D4F" w:rsidRDefault="00317D4F" w:rsidP="00C43949">
      <w:pPr>
        <w:ind w:left="792" w:hanging="792"/>
      </w:pPr>
      <w:r>
        <w:t>Fig. S-2. Histogram of natural logarithm of 250 excretion rates above 40 mBq</w:t>
      </w:r>
      <w:r w:rsidR="005D4AD3">
        <w:t xml:space="preserve"> </w:t>
      </w:r>
      <w:r>
        <w:t>d</w:t>
      </w:r>
      <w:r w:rsidRPr="00681070">
        <w:rPr>
          <w:vertAlign w:val="superscript"/>
        </w:rPr>
        <w:t>-1</w:t>
      </w:r>
      <w:r>
        <w:t xml:space="preserve"> for Palomares veterans other than the High 26</w:t>
      </w:r>
    </w:p>
    <w:p w14:paraId="59E20904" w14:textId="77777777" w:rsidR="00317D4F" w:rsidRDefault="00317D4F" w:rsidP="00D65A15">
      <w:pPr>
        <w:ind w:left="720" w:hanging="720"/>
      </w:pPr>
    </w:p>
    <w:p w14:paraId="4F80C0D5" w14:textId="77777777" w:rsidR="00317D4F" w:rsidRDefault="00317D4F" w:rsidP="00D65A15">
      <w:pPr>
        <w:ind w:left="720" w:hanging="720"/>
      </w:pPr>
      <w:r>
        <w:br w:type="page"/>
      </w:r>
    </w:p>
    <w:p w14:paraId="1972982D" w14:textId="77777777" w:rsidR="00317D4F" w:rsidRPr="002E569A" w:rsidRDefault="00317D4F">
      <w:pPr>
        <w:rPr>
          <w:b/>
        </w:rPr>
      </w:pPr>
      <w:r w:rsidRPr="002E569A">
        <w:rPr>
          <w:b/>
        </w:rPr>
        <w:lastRenderedPageBreak/>
        <w:t>Texts</w:t>
      </w:r>
    </w:p>
    <w:bookmarkEnd w:id="5"/>
    <w:p w14:paraId="5C44C64B" w14:textId="77777777" w:rsidR="00317D4F" w:rsidRDefault="00317D4F" w:rsidP="00BE3EDF"/>
    <w:p w14:paraId="5578242E" w14:textId="77777777" w:rsidR="00317D4F" w:rsidRPr="002E569A" w:rsidRDefault="00317D4F" w:rsidP="00BE3EDF">
      <w:pPr>
        <w:rPr>
          <w:u w:val="single"/>
        </w:rPr>
      </w:pPr>
      <w:r w:rsidRPr="002E569A">
        <w:rPr>
          <w:u w:val="single"/>
        </w:rPr>
        <w:t>Text S-1.  Quote from Wright Langham concerning protective measures at Palomares.</w:t>
      </w:r>
    </w:p>
    <w:p w14:paraId="7D10D8FE" w14:textId="77777777" w:rsidR="00317D4F" w:rsidRPr="00D65784" w:rsidRDefault="00317D4F" w:rsidP="0046054B">
      <w:pPr>
        <w:spacing w:after="120" w:line="480" w:lineRule="auto"/>
        <w:ind w:left="360"/>
        <w:rPr>
          <w:color w:val="000000" w:themeColor="text1"/>
        </w:rPr>
      </w:pPr>
      <w:r w:rsidRPr="00D65784">
        <w:rPr>
          <w:color w:val="000000" w:themeColor="text1"/>
        </w:rPr>
        <w:t>“Most of the respirators were surgical masks, and if it did something for your psychology to wear one, you are privileged to wear one. It wouldn’t do you any good in the way of protection but if you felt better, we let you wear it. We ran into such psychological problems. The manual says you will dress up in coveralls, booties, cover your hair, wear a respirator, wear gloves. That's what the manual says. So</w:t>
      </w:r>
      <w:r>
        <w:rPr>
          <w:color w:val="000000" w:themeColor="text1"/>
        </w:rPr>
        <w:t>,</w:t>
      </w:r>
      <w:r w:rsidRPr="00D65784">
        <w:rPr>
          <w:color w:val="000000" w:themeColor="text1"/>
        </w:rPr>
        <w:t xml:space="preserve"> some people tried to do this where you could find something that resembled this type of equipment and before long you found this caused consternation in the village. They said, ‘How come you dress up like that and you let us walk around in the village with our street clothes on?’ And so even little things like that that I never even thought of before becomes a problem psychologically. Why shouldn’t we be protecting them if we were doing all of this protection in the area?  So</w:t>
      </w:r>
      <w:r>
        <w:rPr>
          <w:color w:val="000000" w:themeColor="text1"/>
        </w:rPr>
        <w:t>,</w:t>
      </w:r>
      <w:r w:rsidRPr="00D65784">
        <w:rPr>
          <w:color w:val="000000" w:themeColor="text1"/>
        </w:rPr>
        <w:t xml:space="preserve"> most of the time it would hardly meet the standards of the health physics manuals the way this operation was done, and I think it</w:t>
      </w:r>
      <w:r>
        <w:rPr>
          <w:color w:val="000000" w:themeColor="text1"/>
        </w:rPr>
        <w:t>’</w:t>
      </w:r>
      <w:r w:rsidRPr="00D65784">
        <w:rPr>
          <w:color w:val="000000" w:themeColor="text1"/>
        </w:rPr>
        <w:t>s fine because I think there was not anything wrong with this operation. I think it seems wrong with the manual</w:t>
      </w:r>
      <w:r>
        <w:rPr>
          <w:color w:val="000000" w:themeColor="text1"/>
        </w:rPr>
        <w:t>.</w:t>
      </w:r>
      <w:r w:rsidRPr="00D65784">
        <w:rPr>
          <w:color w:val="000000" w:themeColor="text1"/>
        </w:rPr>
        <w:t>”</w:t>
      </w:r>
      <w:r w:rsidRPr="002635BE">
        <w:rPr>
          <w:color w:val="000000" w:themeColor="text1"/>
        </w:rPr>
        <w:t xml:space="preserve"> </w:t>
      </w:r>
      <w:r>
        <w:rPr>
          <w:color w:val="000000" w:themeColor="text1"/>
        </w:rPr>
        <w:t>(</w:t>
      </w:r>
      <w:hyperlink r:id="rId8" w:history="1">
        <w:r w:rsidRPr="002872C5">
          <w:rPr>
            <w:rStyle w:val="Hyperlink"/>
            <w:sz w:val="20"/>
            <w:szCs w:val="20"/>
          </w:rPr>
          <w:t>https://www.documentcloud.org/documents/2797062-xxplutonium-1967-DOE-secret-briefing.html</w:t>
        </w:r>
      </w:hyperlink>
      <w:r>
        <w:rPr>
          <w:rStyle w:val="Hyperlink"/>
          <w:sz w:val="20"/>
          <w:szCs w:val="20"/>
        </w:rPr>
        <w:t>,</w:t>
      </w:r>
      <w:r>
        <w:rPr>
          <w:sz w:val="20"/>
          <w:szCs w:val="20"/>
        </w:rPr>
        <w:t xml:space="preserve"> p. 296.  Accessed 4/22/2018).</w:t>
      </w:r>
      <w:r>
        <w:rPr>
          <w:rStyle w:val="FootnoteReference"/>
          <w:sz w:val="20"/>
          <w:szCs w:val="20"/>
        </w:rPr>
        <w:footnoteReference w:id="1"/>
      </w:r>
      <w:r>
        <w:rPr>
          <w:sz w:val="20"/>
          <w:szCs w:val="20"/>
        </w:rPr>
        <w:t xml:space="preserve">  </w:t>
      </w:r>
    </w:p>
    <w:p w14:paraId="0A6171C7" w14:textId="77777777" w:rsidR="00317D4F" w:rsidRDefault="00317D4F" w:rsidP="00BE3EDF"/>
    <w:p w14:paraId="5756892D" w14:textId="77777777" w:rsidR="00317D4F" w:rsidRDefault="00317D4F" w:rsidP="0049714B">
      <w:pPr>
        <w:spacing w:after="0" w:line="480" w:lineRule="auto"/>
      </w:pPr>
    </w:p>
    <w:p w14:paraId="2DD971CB" w14:textId="77777777" w:rsidR="00317D4F" w:rsidRDefault="00317D4F"/>
    <w:p w14:paraId="09EF488C" w14:textId="77777777" w:rsidR="00317D4F" w:rsidRDefault="00317D4F">
      <w:bookmarkStart w:id="8" w:name="_Hlk515705207"/>
      <w:r>
        <w:br w:type="page"/>
      </w:r>
    </w:p>
    <w:p w14:paraId="3BBEE77F" w14:textId="77777777" w:rsidR="00317D4F" w:rsidRPr="004272B8" w:rsidRDefault="00317D4F" w:rsidP="004E4CB9">
      <w:pPr>
        <w:rPr>
          <w:rFonts w:cstheme="minorHAnsi"/>
        </w:rPr>
      </w:pPr>
      <w:r w:rsidRPr="004272B8">
        <w:rPr>
          <w:rFonts w:cstheme="minorHAnsi"/>
          <w:u w:val="single"/>
        </w:rPr>
        <w:lastRenderedPageBreak/>
        <w:t>Text S-</w:t>
      </w:r>
      <w:r>
        <w:rPr>
          <w:rFonts w:cstheme="minorHAnsi"/>
          <w:u w:val="single"/>
        </w:rPr>
        <w:t>2</w:t>
      </w:r>
      <w:r w:rsidRPr="004272B8">
        <w:rPr>
          <w:rFonts w:cstheme="minorHAnsi"/>
          <w:u w:val="single"/>
        </w:rPr>
        <w:t xml:space="preserve">.  </w:t>
      </w:r>
      <w:bookmarkStart w:id="9" w:name="_Hlk519277916"/>
      <w:r w:rsidRPr="004272B8">
        <w:rPr>
          <w:rFonts w:cstheme="minorHAnsi"/>
          <w:u w:val="single"/>
        </w:rPr>
        <w:t>Additional details for “assigned share” calculations</w:t>
      </w:r>
      <w:bookmarkEnd w:id="9"/>
      <w:r w:rsidRPr="004272B8">
        <w:rPr>
          <w:rFonts w:cstheme="minorHAnsi"/>
        </w:rPr>
        <w:t xml:space="preserve">.  </w:t>
      </w:r>
    </w:p>
    <w:p w14:paraId="25C3B54D" w14:textId="77777777" w:rsidR="00317D4F" w:rsidRPr="004272B8" w:rsidRDefault="00317D4F" w:rsidP="00CF19A8">
      <w:pPr>
        <w:spacing w:after="0" w:line="480" w:lineRule="auto"/>
        <w:ind w:firstLine="720"/>
        <w:rPr>
          <w:rFonts w:cstheme="minorHAnsi"/>
        </w:rPr>
      </w:pPr>
      <w:r w:rsidRPr="004272B8">
        <w:rPr>
          <w:rFonts w:cstheme="minorHAnsi"/>
        </w:rPr>
        <w:t>Doses assigned to organs play a major role in the assigned share.  The 4.9 cSv dose assigned to the liver by the Air Force as listed in Table 1 of the main text looks to be a factor of ~ 2 too low.   This is because the 4.9 number was generated by applying ICRP-68 dose coefficients to intakes calculated with CINDY, which relied on ICRP 30 bio</w:t>
      </w:r>
      <w:r>
        <w:rPr>
          <w:rFonts w:cstheme="minorHAnsi"/>
        </w:rPr>
        <w:t>kinetic</w:t>
      </w:r>
      <w:r w:rsidRPr="004272B8">
        <w:rPr>
          <w:rFonts w:cstheme="minorHAnsi"/>
        </w:rPr>
        <w:t xml:space="preserve"> models.   The ICRP-68 model, as used in DCAL, requires at least twice as much </w:t>
      </w:r>
      <w:r>
        <w:rPr>
          <w:rFonts w:cstheme="minorHAnsi"/>
        </w:rPr>
        <w:t>intake</w:t>
      </w:r>
      <w:r w:rsidRPr="004272B8">
        <w:rPr>
          <w:rFonts w:cstheme="minorHAnsi"/>
        </w:rPr>
        <w:t xml:space="preserve"> to match an excretion rate.  Thus, ~ 68 nCi should have been used as the input to the ICRP-68 dose coefficients.  Had that been done, the </w:t>
      </w:r>
      <w:r>
        <w:rPr>
          <w:rFonts w:cstheme="minorHAnsi"/>
        </w:rPr>
        <w:t>recommended</w:t>
      </w:r>
      <w:r w:rsidRPr="004272B8">
        <w:rPr>
          <w:rFonts w:cstheme="minorHAnsi"/>
        </w:rPr>
        <w:t xml:space="preserve"> maximum liver dose for Palomares veterans would also have doubled and, then, even late-onset liver cancer in a Palomares veteran would meet the criteria for compensation (62% AS/PC at 99</w:t>
      </w:r>
      <w:r w:rsidRPr="004272B8">
        <w:rPr>
          <w:rFonts w:cstheme="minorHAnsi"/>
          <w:vertAlign w:val="superscript"/>
        </w:rPr>
        <w:t>th</w:t>
      </w:r>
      <w:r w:rsidRPr="004272B8">
        <w:rPr>
          <w:rFonts w:cstheme="minorHAnsi"/>
        </w:rPr>
        <w:t xml:space="preserve"> credibility level).</w:t>
      </w:r>
    </w:p>
    <w:p w14:paraId="600F0D5C" w14:textId="77777777" w:rsidR="00317D4F" w:rsidRDefault="00317D4F" w:rsidP="00CF19A8">
      <w:pPr>
        <w:spacing w:after="0" w:line="480" w:lineRule="auto"/>
        <w:ind w:firstLine="720"/>
      </w:pPr>
      <w:r w:rsidRPr="004272B8">
        <w:rPr>
          <w:rFonts w:cstheme="minorHAnsi"/>
        </w:rPr>
        <w:t>On the other hand, the liver dose level listed in Table 1 under ICRP-30 assumptions is also lower than expected, compared to the other organ doses, which means that the Air Force may have made special assumptions about liver doses.</w:t>
      </w:r>
      <w:r>
        <w:br w:type="page"/>
      </w:r>
    </w:p>
    <w:tbl>
      <w:tblPr>
        <w:tblStyle w:val="TableGrid1"/>
        <w:tblW w:w="0" w:type="auto"/>
        <w:tblLook w:val="04A0" w:firstRow="1" w:lastRow="0" w:firstColumn="1" w:lastColumn="0" w:noHBand="0" w:noVBand="1"/>
      </w:tblPr>
      <w:tblGrid>
        <w:gridCol w:w="1558"/>
        <w:gridCol w:w="1558"/>
        <w:gridCol w:w="236"/>
        <w:gridCol w:w="1503"/>
        <w:gridCol w:w="1800"/>
        <w:gridCol w:w="1620"/>
        <w:gridCol w:w="1075"/>
      </w:tblGrid>
      <w:tr w:rsidR="00317D4F" w:rsidRPr="00F114A1" w14:paraId="22FE8C69" w14:textId="77777777" w:rsidTr="00A40AD0">
        <w:tc>
          <w:tcPr>
            <w:tcW w:w="9350" w:type="dxa"/>
            <w:gridSpan w:val="7"/>
          </w:tcPr>
          <w:p w14:paraId="3C8059B7" w14:textId="77777777" w:rsidR="00317D4F" w:rsidRPr="00F114A1" w:rsidRDefault="00317D4F" w:rsidP="00A40AD0">
            <w:pPr>
              <w:rPr>
                <w:rFonts w:ascii="Calibri" w:hAnsi="Calibri" w:cs="Calibri"/>
                <w:color w:val="000000"/>
              </w:rPr>
            </w:pPr>
            <w:r w:rsidRPr="00F114A1">
              <w:rPr>
                <w:rFonts w:ascii="Calibri" w:hAnsi="Calibri" w:cs="Calibri"/>
                <w:color w:val="000000"/>
              </w:rPr>
              <w:lastRenderedPageBreak/>
              <w:t>Table S-</w:t>
            </w:r>
            <w:r>
              <w:rPr>
                <w:rFonts w:ascii="Calibri" w:hAnsi="Calibri" w:cs="Calibri"/>
                <w:color w:val="000000"/>
              </w:rPr>
              <w:t>1</w:t>
            </w:r>
            <w:r w:rsidRPr="00F114A1">
              <w:rPr>
                <w:rFonts w:ascii="Calibri" w:hAnsi="Calibri" w:cs="Calibri"/>
                <w:color w:val="000000"/>
              </w:rPr>
              <w:t xml:space="preserve">.  </w:t>
            </w:r>
            <w:r>
              <w:rPr>
                <w:rFonts w:ascii="Calibri" w:hAnsi="Calibri" w:cs="Calibri"/>
                <w:color w:val="000000"/>
              </w:rPr>
              <w:t xml:space="preserve">Data counts for the </w:t>
            </w:r>
            <w:r w:rsidRPr="00F114A1">
              <w:rPr>
                <w:rFonts w:ascii="Calibri" w:hAnsi="Calibri" w:cs="Calibri"/>
                <w:color w:val="000000"/>
              </w:rPr>
              <w:t>Palomares "High 26</w:t>
            </w:r>
            <w:r>
              <w:rPr>
                <w:rFonts w:ascii="Calibri" w:hAnsi="Calibri" w:cs="Calibri"/>
                <w:color w:val="000000"/>
              </w:rPr>
              <w:t>.</w:t>
            </w:r>
            <w:r w:rsidRPr="00F114A1">
              <w:rPr>
                <w:rFonts w:ascii="Calibri" w:hAnsi="Calibri" w:cs="Calibri"/>
                <w:color w:val="000000"/>
              </w:rPr>
              <w:t xml:space="preserve">" </w:t>
            </w:r>
            <w:r w:rsidRPr="00F114A1">
              <w:rPr>
                <w:rFonts w:ascii="Calibri" w:hAnsi="Calibri" w:cs="Calibri"/>
                <w:color w:val="000000"/>
                <w:vertAlign w:val="superscript"/>
              </w:rPr>
              <w:t>a)</w:t>
            </w:r>
          </w:p>
        </w:tc>
      </w:tr>
      <w:tr w:rsidR="00317D4F" w:rsidRPr="00F114A1" w14:paraId="3EE7B037" w14:textId="77777777" w:rsidTr="00A40AD0">
        <w:tc>
          <w:tcPr>
            <w:tcW w:w="3116" w:type="dxa"/>
            <w:gridSpan w:val="2"/>
          </w:tcPr>
          <w:p w14:paraId="1A5D6433" w14:textId="77777777" w:rsidR="00317D4F" w:rsidRPr="00F114A1" w:rsidRDefault="00317D4F" w:rsidP="00A40AD0">
            <w:pPr>
              <w:jc w:val="center"/>
            </w:pPr>
            <w:r>
              <w:rPr>
                <w:rFonts w:ascii="Calibri" w:hAnsi="Calibri" w:cs="Calibri"/>
                <w:color w:val="000000"/>
              </w:rPr>
              <w:t>LA intake estimate</w:t>
            </w:r>
            <w:r w:rsidRPr="00F114A1">
              <w:rPr>
                <w:rFonts w:ascii="Calibri" w:hAnsi="Calibri" w:cs="Calibri"/>
                <w:color w:val="000000"/>
                <w:vertAlign w:val="superscript"/>
              </w:rPr>
              <w:t>b)</w:t>
            </w:r>
          </w:p>
        </w:tc>
        <w:tc>
          <w:tcPr>
            <w:tcW w:w="236" w:type="dxa"/>
          </w:tcPr>
          <w:p w14:paraId="0BD9BA05" w14:textId="77777777" w:rsidR="00317D4F" w:rsidRPr="00F114A1" w:rsidRDefault="00317D4F" w:rsidP="00A40AD0">
            <w:pPr>
              <w:jc w:val="center"/>
            </w:pPr>
          </w:p>
        </w:tc>
        <w:tc>
          <w:tcPr>
            <w:tcW w:w="5998" w:type="dxa"/>
            <w:gridSpan w:val="4"/>
          </w:tcPr>
          <w:p w14:paraId="3AC1FBDA" w14:textId="77777777" w:rsidR="00317D4F" w:rsidRDefault="00317D4F" w:rsidP="00A40AD0">
            <w:pPr>
              <w:rPr>
                <w:rFonts w:ascii="Calibri" w:hAnsi="Calibri" w:cs="Calibri"/>
                <w:color w:val="000000"/>
                <w:vertAlign w:val="superscript"/>
              </w:rPr>
            </w:pPr>
            <w:r>
              <w:rPr>
                <w:rFonts w:ascii="Calibri" w:hAnsi="Calibri" w:cs="Calibri"/>
                <w:color w:val="000000"/>
                <w:vertAlign w:val="superscript"/>
              </w:rPr>
              <w:t xml:space="preserve">                              </w:t>
            </w:r>
            <w:r w:rsidRPr="00EE3DC6">
              <w:rPr>
                <w:rFonts w:ascii="Calibri" w:hAnsi="Calibri" w:cs="Calibri"/>
                <w:color w:val="000000"/>
              </w:rPr>
              <w:t xml:space="preserve"> </w:t>
            </w:r>
            <w:r>
              <w:rPr>
                <w:rFonts w:ascii="Calibri" w:hAnsi="Calibri" w:cs="Calibri"/>
                <w:color w:val="000000"/>
              </w:rPr>
              <w:t>Number of Measurement</w:t>
            </w:r>
            <w:r>
              <w:rPr>
                <w:rFonts w:ascii="Calibri" w:hAnsi="Calibri" w:cs="Calibri"/>
                <w:color w:val="000000"/>
                <w:vertAlign w:val="superscript"/>
              </w:rPr>
              <w:t xml:space="preserve"> </w:t>
            </w:r>
          </w:p>
        </w:tc>
      </w:tr>
      <w:tr w:rsidR="00317D4F" w:rsidRPr="00F114A1" w14:paraId="7CD2E91B" w14:textId="77777777" w:rsidTr="00A40AD0">
        <w:tc>
          <w:tcPr>
            <w:tcW w:w="1558" w:type="dxa"/>
          </w:tcPr>
          <w:p w14:paraId="595FF589" w14:textId="77777777" w:rsidR="00317D4F" w:rsidRPr="00F114A1" w:rsidRDefault="00317D4F" w:rsidP="00A40AD0">
            <w:pPr>
              <w:jc w:val="center"/>
            </w:pPr>
            <w:r w:rsidRPr="00F114A1">
              <w:t>(Bq)</w:t>
            </w:r>
          </w:p>
        </w:tc>
        <w:tc>
          <w:tcPr>
            <w:tcW w:w="1558" w:type="dxa"/>
          </w:tcPr>
          <w:p w14:paraId="515B7484" w14:textId="77777777" w:rsidR="00317D4F" w:rsidRPr="00F114A1" w:rsidRDefault="00317D4F" w:rsidP="00A40AD0">
            <w:pPr>
              <w:jc w:val="center"/>
            </w:pPr>
            <w:r w:rsidRPr="00F114A1">
              <w:t>(pCi)</w:t>
            </w:r>
          </w:p>
        </w:tc>
        <w:tc>
          <w:tcPr>
            <w:tcW w:w="236" w:type="dxa"/>
          </w:tcPr>
          <w:p w14:paraId="3C91CD6F" w14:textId="77777777" w:rsidR="00317D4F" w:rsidRPr="00F114A1" w:rsidRDefault="00317D4F" w:rsidP="00A40AD0">
            <w:pPr>
              <w:jc w:val="center"/>
            </w:pPr>
          </w:p>
        </w:tc>
        <w:tc>
          <w:tcPr>
            <w:tcW w:w="5998" w:type="dxa"/>
            <w:gridSpan w:val="4"/>
          </w:tcPr>
          <w:p w14:paraId="4083013A" w14:textId="77777777" w:rsidR="00317D4F" w:rsidRPr="00F114A1" w:rsidRDefault="00317D4F" w:rsidP="00A40AD0">
            <w:pPr>
              <w:jc w:val="center"/>
            </w:pPr>
          </w:p>
        </w:tc>
      </w:tr>
      <w:tr w:rsidR="00317D4F" w:rsidRPr="00F114A1" w14:paraId="35541309" w14:textId="77777777" w:rsidTr="00A40AD0">
        <w:tc>
          <w:tcPr>
            <w:tcW w:w="1558" w:type="dxa"/>
          </w:tcPr>
          <w:p w14:paraId="4245A53F" w14:textId="77777777" w:rsidR="00317D4F" w:rsidRPr="00F114A1" w:rsidRDefault="00317D4F" w:rsidP="00A40AD0"/>
        </w:tc>
        <w:tc>
          <w:tcPr>
            <w:tcW w:w="1558" w:type="dxa"/>
          </w:tcPr>
          <w:p w14:paraId="04E14638" w14:textId="77777777" w:rsidR="00317D4F" w:rsidRPr="00F114A1" w:rsidRDefault="00317D4F" w:rsidP="00A40AD0"/>
        </w:tc>
        <w:tc>
          <w:tcPr>
            <w:tcW w:w="236" w:type="dxa"/>
          </w:tcPr>
          <w:p w14:paraId="514F8E23" w14:textId="77777777" w:rsidR="00317D4F" w:rsidRPr="00F114A1" w:rsidRDefault="00317D4F" w:rsidP="00A40AD0"/>
        </w:tc>
        <w:tc>
          <w:tcPr>
            <w:tcW w:w="1503" w:type="dxa"/>
          </w:tcPr>
          <w:p w14:paraId="740CAC9A" w14:textId="77777777" w:rsidR="00317D4F" w:rsidRPr="00F114A1" w:rsidRDefault="00317D4F" w:rsidP="00A40AD0">
            <w:pPr>
              <w:jc w:val="center"/>
            </w:pPr>
            <w:r>
              <w:t>On-site</w:t>
            </w:r>
            <w:r w:rsidRPr="00F114A1">
              <w:rPr>
                <w:rFonts w:ascii="Calibri" w:hAnsi="Calibri" w:cs="Calibri"/>
                <w:color w:val="000000"/>
                <w:vertAlign w:val="superscript"/>
              </w:rPr>
              <w:t>c)</w:t>
            </w:r>
          </w:p>
        </w:tc>
        <w:tc>
          <w:tcPr>
            <w:tcW w:w="1800" w:type="dxa"/>
          </w:tcPr>
          <w:p w14:paraId="2546929F" w14:textId="77777777" w:rsidR="00317D4F" w:rsidRPr="00F114A1" w:rsidRDefault="00317D4F" w:rsidP="00A40AD0">
            <w:pPr>
              <w:jc w:val="center"/>
            </w:pPr>
            <w:r>
              <w:t>Detects</w:t>
            </w:r>
            <w:r w:rsidRPr="00F114A1">
              <w:t xml:space="preserve"> </w:t>
            </w:r>
          </w:p>
        </w:tc>
        <w:tc>
          <w:tcPr>
            <w:tcW w:w="1620" w:type="dxa"/>
          </w:tcPr>
          <w:p w14:paraId="1F73AF36" w14:textId="77777777" w:rsidR="00317D4F" w:rsidRPr="00F114A1" w:rsidRDefault="00317D4F" w:rsidP="00A40AD0">
            <w:pPr>
              <w:jc w:val="center"/>
            </w:pPr>
            <w:r>
              <w:t>Non-detects</w:t>
            </w:r>
            <w:r w:rsidRPr="006246FE">
              <w:rPr>
                <w:vertAlign w:val="superscript"/>
              </w:rPr>
              <w:t>d)</w:t>
            </w:r>
          </w:p>
        </w:tc>
        <w:tc>
          <w:tcPr>
            <w:tcW w:w="1075" w:type="dxa"/>
          </w:tcPr>
          <w:p w14:paraId="34156F1A" w14:textId="77777777" w:rsidR="00317D4F" w:rsidRDefault="00317D4F" w:rsidP="00A40AD0">
            <w:pPr>
              <w:jc w:val="center"/>
            </w:pPr>
            <w:r>
              <w:t>Total</w:t>
            </w:r>
          </w:p>
        </w:tc>
      </w:tr>
      <w:tr w:rsidR="00317D4F" w:rsidRPr="00F114A1" w14:paraId="55C01938" w14:textId="77777777" w:rsidTr="00A40AD0">
        <w:trPr>
          <w:trHeight w:val="295"/>
        </w:trPr>
        <w:tc>
          <w:tcPr>
            <w:tcW w:w="1558" w:type="dxa"/>
            <w:noWrap/>
            <w:hideMark/>
          </w:tcPr>
          <w:p w14:paraId="756B0AE5"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1260</w:t>
            </w:r>
          </w:p>
        </w:tc>
        <w:tc>
          <w:tcPr>
            <w:tcW w:w="1558" w:type="dxa"/>
            <w:noWrap/>
            <w:hideMark/>
          </w:tcPr>
          <w:p w14:paraId="268DF01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34000</w:t>
            </w:r>
          </w:p>
        </w:tc>
        <w:tc>
          <w:tcPr>
            <w:tcW w:w="236" w:type="dxa"/>
            <w:noWrap/>
            <w:hideMark/>
          </w:tcPr>
          <w:p w14:paraId="2E40C121"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53DE4D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800" w:type="dxa"/>
            <w:noWrap/>
            <w:hideMark/>
          </w:tcPr>
          <w:p w14:paraId="3281858B"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620" w:type="dxa"/>
            <w:noWrap/>
            <w:hideMark/>
          </w:tcPr>
          <w:p w14:paraId="2DECF320"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7637CCFE" w14:textId="77777777" w:rsidR="00317D4F" w:rsidRPr="00F114A1" w:rsidRDefault="00317D4F" w:rsidP="00A40AD0">
            <w:pPr>
              <w:jc w:val="center"/>
              <w:rPr>
                <w:rFonts w:ascii="Calibri" w:hAnsi="Calibri" w:cs="Calibri"/>
                <w:color w:val="000000"/>
              </w:rPr>
            </w:pPr>
            <w:r>
              <w:rPr>
                <w:rFonts w:ascii="Calibri" w:hAnsi="Calibri" w:cs="Calibri"/>
                <w:color w:val="000000"/>
              </w:rPr>
              <w:t>3</w:t>
            </w:r>
          </w:p>
        </w:tc>
      </w:tr>
      <w:tr w:rsidR="00317D4F" w:rsidRPr="00F114A1" w14:paraId="5EBA14B2" w14:textId="77777777" w:rsidTr="00A40AD0">
        <w:trPr>
          <w:trHeight w:val="295"/>
        </w:trPr>
        <w:tc>
          <w:tcPr>
            <w:tcW w:w="1558" w:type="dxa"/>
            <w:noWrap/>
            <w:hideMark/>
          </w:tcPr>
          <w:p w14:paraId="45945761"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1560</w:t>
            </w:r>
          </w:p>
        </w:tc>
        <w:tc>
          <w:tcPr>
            <w:tcW w:w="1558" w:type="dxa"/>
            <w:noWrap/>
            <w:hideMark/>
          </w:tcPr>
          <w:p w14:paraId="66E8FC80"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42000</w:t>
            </w:r>
          </w:p>
        </w:tc>
        <w:tc>
          <w:tcPr>
            <w:tcW w:w="236" w:type="dxa"/>
            <w:noWrap/>
            <w:hideMark/>
          </w:tcPr>
          <w:p w14:paraId="132BB9A8"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F7E1EE0"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800" w:type="dxa"/>
            <w:noWrap/>
            <w:hideMark/>
          </w:tcPr>
          <w:p w14:paraId="74733DBB"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04141E48"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3</w:t>
            </w:r>
          </w:p>
        </w:tc>
        <w:tc>
          <w:tcPr>
            <w:tcW w:w="1075" w:type="dxa"/>
          </w:tcPr>
          <w:p w14:paraId="12DA60A3" w14:textId="77777777" w:rsidR="00317D4F" w:rsidRPr="00F114A1" w:rsidRDefault="00317D4F" w:rsidP="00A40AD0">
            <w:pPr>
              <w:jc w:val="center"/>
              <w:rPr>
                <w:rFonts w:ascii="Calibri" w:hAnsi="Calibri" w:cs="Calibri"/>
                <w:color w:val="000000"/>
              </w:rPr>
            </w:pPr>
            <w:r>
              <w:rPr>
                <w:rFonts w:ascii="Calibri" w:hAnsi="Calibri" w:cs="Calibri"/>
                <w:color w:val="000000"/>
              </w:rPr>
              <w:t>6</w:t>
            </w:r>
          </w:p>
        </w:tc>
      </w:tr>
      <w:tr w:rsidR="00317D4F" w:rsidRPr="00F114A1" w14:paraId="070737C4" w14:textId="77777777" w:rsidTr="00A40AD0">
        <w:trPr>
          <w:trHeight w:val="295"/>
        </w:trPr>
        <w:tc>
          <w:tcPr>
            <w:tcW w:w="1558" w:type="dxa"/>
            <w:noWrap/>
            <w:hideMark/>
          </w:tcPr>
          <w:p w14:paraId="23B8D57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1630</w:t>
            </w:r>
          </w:p>
        </w:tc>
        <w:tc>
          <w:tcPr>
            <w:tcW w:w="1558" w:type="dxa"/>
            <w:noWrap/>
            <w:hideMark/>
          </w:tcPr>
          <w:p w14:paraId="04E135A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44000</w:t>
            </w:r>
          </w:p>
        </w:tc>
        <w:tc>
          <w:tcPr>
            <w:tcW w:w="236" w:type="dxa"/>
            <w:noWrap/>
            <w:hideMark/>
          </w:tcPr>
          <w:p w14:paraId="4ED42D32"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3CD6B5B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14065CE4"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532652C5"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075" w:type="dxa"/>
          </w:tcPr>
          <w:p w14:paraId="00423566"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02E14513" w14:textId="77777777" w:rsidTr="00A40AD0">
        <w:trPr>
          <w:trHeight w:val="295"/>
        </w:trPr>
        <w:tc>
          <w:tcPr>
            <w:tcW w:w="1558" w:type="dxa"/>
            <w:noWrap/>
            <w:hideMark/>
          </w:tcPr>
          <w:p w14:paraId="3AF3060A"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1630</w:t>
            </w:r>
          </w:p>
        </w:tc>
        <w:tc>
          <w:tcPr>
            <w:tcW w:w="1558" w:type="dxa"/>
            <w:noWrap/>
            <w:hideMark/>
          </w:tcPr>
          <w:p w14:paraId="183B7974"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44001</w:t>
            </w:r>
          </w:p>
        </w:tc>
        <w:tc>
          <w:tcPr>
            <w:tcW w:w="236" w:type="dxa"/>
            <w:noWrap/>
            <w:hideMark/>
          </w:tcPr>
          <w:p w14:paraId="3CAF1ACD"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24A40523"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4365E150"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36818C7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075" w:type="dxa"/>
          </w:tcPr>
          <w:p w14:paraId="22F74365"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531EEA32" w14:textId="77777777" w:rsidTr="00A40AD0">
        <w:trPr>
          <w:trHeight w:val="295"/>
        </w:trPr>
        <w:tc>
          <w:tcPr>
            <w:tcW w:w="1558" w:type="dxa"/>
            <w:noWrap/>
            <w:hideMark/>
          </w:tcPr>
          <w:p w14:paraId="1723930A"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2040</w:t>
            </w:r>
          </w:p>
        </w:tc>
        <w:tc>
          <w:tcPr>
            <w:tcW w:w="1558" w:type="dxa"/>
            <w:noWrap/>
            <w:hideMark/>
          </w:tcPr>
          <w:p w14:paraId="4ACCB5C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55000</w:t>
            </w:r>
          </w:p>
        </w:tc>
        <w:tc>
          <w:tcPr>
            <w:tcW w:w="236" w:type="dxa"/>
            <w:noWrap/>
            <w:hideMark/>
          </w:tcPr>
          <w:p w14:paraId="2A65BD21"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1C1552D0"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800" w:type="dxa"/>
            <w:noWrap/>
            <w:hideMark/>
          </w:tcPr>
          <w:p w14:paraId="7916B566"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773A00F6"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075" w:type="dxa"/>
          </w:tcPr>
          <w:p w14:paraId="0743E7C3"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5FB7BB6B" w14:textId="77777777" w:rsidTr="00A40AD0">
        <w:trPr>
          <w:trHeight w:val="295"/>
        </w:trPr>
        <w:tc>
          <w:tcPr>
            <w:tcW w:w="1558" w:type="dxa"/>
            <w:noWrap/>
            <w:hideMark/>
          </w:tcPr>
          <w:p w14:paraId="640B6F81"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2150</w:t>
            </w:r>
          </w:p>
        </w:tc>
        <w:tc>
          <w:tcPr>
            <w:tcW w:w="1558" w:type="dxa"/>
            <w:noWrap/>
            <w:hideMark/>
          </w:tcPr>
          <w:p w14:paraId="25C1A4EC"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58000</w:t>
            </w:r>
          </w:p>
        </w:tc>
        <w:tc>
          <w:tcPr>
            <w:tcW w:w="236" w:type="dxa"/>
            <w:noWrap/>
            <w:hideMark/>
          </w:tcPr>
          <w:p w14:paraId="10E0AB48"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1617AFD1"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800" w:type="dxa"/>
            <w:noWrap/>
            <w:hideMark/>
          </w:tcPr>
          <w:p w14:paraId="25C0A36B"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6A4A0614"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075" w:type="dxa"/>
          </w:tcPr>
          <w:p w14:paraId="34D80EAC" w14:textId="77777777" w:rsidR="00317D4F" w:rsidRPr="00F114A1" w:rsidRDefault="00317D4F" w:rsidP="00A40AD0">
            <w:pPr>
              <w:jc w:val="center"/>
              <w:rPr>
                <w:rFonts w:ascii="Calibri" w:hAnsi="Calibri" w:cs="Calibri"/>
                <w:color w:val="000000"/>
              </w:rPr>
            </w:pPr>
            <w:r>
              <w:rPr>
                <w:rFonts w:ascii="Calibri" w:hAnsi="Calibri" w:cs="Calibri"/>
                <w:color w:val="000000"/>
              </w:rPr>
              <w:t>6</w:t>
            </w:r>
          </w:p>
        </w:tc>
      </w:tr>
      <w:tr w:rsidR="00317D4F" w:rsidRPr="00F114A1" w14:paraId="0AF280E1" w14:textId="77777777" w:rsidTr="00A40AD0">
        <w:trPr>
          <w:trHeight w:val="295"/>
        </w:trPr>
        <w:tc>
          <w:tcPr>
            <w:tcW w:w="1558" w:type="dxa"/>
            <w:noWrap/>
            <w:hideMark/>
          </w:tcPr>
          <w:p w14:paraId="269DD70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2300</w:t>
            </w:r>
          </w:p>
        </w:tc>
        <w:tc>
          <w:tcPr>
            <w:tcW w:w="1558" w:type="dxa"/>
            <w:noWrap/>
            <w:hideMark/>
          </w:tcPr>
          <w:p w14:paraId="104F1B9C"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62000</w:t>
            </w:r>
          </w:p>
        </w:tc>
        <w:tc>
          <w:tcPr>
            <w:tcW w:w="236" w:type="dxa"/>
            <w:noWrap/>
            <w:hideMark/>
          </w:tcPr>
          <w:p w14:paraId="45E2F102"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2E44C28D"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800" w:type="dxa"/>
            <w:noWrap/>
            <w:hideMark/>
          </w:tcPr>
          <w:p w14:paraId="1EE8797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578950DA"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075" w:type="dxa"/>
          </w:tcPr>
          <w:p w14:paraId="49EFADFC"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5BD7FBE2" w14:textId="77777777" w:rsidTr="00A40AD0">
        <w:trPr>
          <w:trHeight w:val="295"/>
        </w:trPr>
        <w:tc>
          <w:tcPr>
            <w:tcW w:w="1558" w:type="dxa"/>
            <w:noWrap/>
            <w:hideMark/>
          </w:tcPr>
          <w:p w14:paraId="1446F38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2333</w:t>
            </w:r>
          </w:p>
        </w:tc>
        <w:tc>
          <w:tcPr>
            <w:tcW w:w="1558" w:type="dxa"/>
            <w:noWrap/>
            <w:hideMark/>
          </w:tcPr>
          <w:p w14:paraId="00F9804D"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63000</w:t>
            </w:r>
          </w:p>
        </w:tc>
        <w:tc>
          <w:tcPr>
            <w:tcW w:w="236" w:type="dxa"/>
            <w:noWrap/>
            <w:hideMark/>
          </w:tcPr>
          <w:p w14:paraId="7EBBBFEB"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3BE9230"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40FAE52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7436A97D"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075" w:type="dxa"/>
          </w:tcPr>
          <w:p w14:paraId="70111ED0" w14:textId="77777777" w:rsidR="00317D4F" w:rsidRPr="00F114A1" w:rsidRDefault="00317D4F" w:rsidP="00A40AD0">
            <w:pPr>
              <w:jc w:val="center"/>
              <w:rPr>
                <w:rFonts w:ascii="Calibri" w:hAnsi="Calibri" w:cs="Calibri"/>
                <w:color w:val="000000"/>
              </w:rPr>
            </w:pPr>
            <w:r>
              <w:rPr>
                <w:rFonts w:ascii="Calibri" w:hAnsi="Calibri" w:cs="Calibri"/>
                <w:color w:val="000000"/>
              </w:rPr>
              <w:t>7</w:t>
            </w:r>
          </w:p>
        </w:tc>
      </w:tr>
      <w:tr w:rsidR="00317D4F" w:rsidRPr="00F114A1" w14:paraId="586F4A8A" w14:textId="77777777" w:rsidTr="00A40AD0">
        <w:trPr>
          <w:trHeight w:val="295"/>
        </w:trPr>
        <w:tc>
          <w:tcPr>
            <w:tcW w:w="1558" w:type="dxa"/>
            <w:noWrap/>
            <w:hideMark/>
          </w:tcPr>
          <w:p w14:paraId="07E703B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2370</w:t>
            </w:r>
          </w:p>
        </w:tc>
        <w:tc>
          <w:tcPr>
            <w:tcW w:w="1558" w:type="dxa"/>
            <w:noWrap/>
            <w:hideMark/>
          </w:tcPr>
          <w:p w14:paraId="44864B90"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64000</w:t>
            </w:r>
          </w:p>
        </w:tc>
        <w:tc>
          <w:tcPr>
            <w:tcW w:w="236" w:type="dxa"/>
            <w:noWrap/>
            <w:hideMark/>
          </w:tcPr>
          <w:p w14:paraId="6F0DA31C"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7937542B"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tcPr>
          <w:p w14:paraId="5AA4DE25"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01EB1A45"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335B80F7"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2FA13A46" w14:textId="77777777" w:rsidTr="00A40AD0">
        <w:trPr>
          <w:trHeight w:val="295"/>
        </w:trPr>
        <w:tc>
          <w:tcPr>
            <w:tcW w:w="1558" w:type="dxa"/>
            <w:noWrap/>
            <w:hideMark/>
          </w:tcPr>
          <w:p w14:paraId="408B7390"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2370</w:t>
            </w:r>
          </w:p>
        </w:tc>
        <w:tc>
          <w:tcPr>
            <w:tcW w:w="1558" w:type="dxa"/>
            <w:noWrap/>
            <w:hideMark/>
          </w:tcPr>
          <w:p w14:paraId="40DD3693"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64001</w:t>
            </w:r>
          </w:p>
        </w:tc>
        <w:tc>
          <w:tcPr>
            <w:tcW w:w="236" w:type="dxa"/>
            <w:noWrap/>
            <w:hideMark/>
          </w:tcPr>
          <w:p w14:paraId="01838863"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2E13EF6B"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tcPr>
          <w:p w14:paraId="4DD4B137"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739F6C0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075" w:type="dxa"/>
          </w:tcPr>
          <w:p w14:paraId="46010172"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61E0F59B" w14:textId="77777777" w:rsidTr="00A40AD0">
        <w:trPr>
          <w:trHeight w:val="295"/>
        </w:trPr>
        <w:tc>
          <w:tcPr>
            <w:tcW w:w="1558" w:type="dxa"/>
            <w:noWrap/>
            <w:hideMark/>
          </w:tcPr>
          <w:p w14:paraId="57454A5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2410</w:t>
            </w:r>
            <w:r w:rsidRPr="00B138B1">
              <w:rPr>
                <w:rFonts w:ascii="Calibri" w:eastAsia="Times New Roman" w:hAnsi="Calibri" w:cs="Calibri"/>
                <w:color w:val="000000"/>
                <w:vertAlign w:val="superscript"/>
              </w:rPr>
              <w:t>e</w:t>
            </w:r>
            <w:r w:rsidRPr="00F114A1">
              <w:rPr>
                <w:rFonts w:ascii="Calibri" w:eastAsia="Times New Roman" w:hAnsi="Calibri" w:cs="Calibri"/>
                <w:color w:val="000000"/>
                <w:vertAlign w:val="superscript"/>
              </w:rPr>
              <w:t>)</w:t>
            </w:r>
          </w:p>
        </w:tc>
        <w:tc>
          <w:tcPr>
            <w:tcW w:w="1558" w:type="dxa"/>
            <w:noWrap/>
            <w:hideMark/>
          </w:tcPr>
          <w:p w14:paraId="1841232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65000</w:t>
            </w:r>
            <w:r w:rsidRPr="006246FE">
              <w:rPr>
                <w:rFonts w:ascii="Calibri" w:eastAsia="Times New Roman" w:hAnsi="Calibri" w:cs="Calibri"/>
                <w:color w:val="000000"/>
                <w:vertAlign w:val="superscript"/>
              </w:rPr>
              <w:t>e</w:t>
            </w:r>
            <w:r w:rsidRPr="00F114A1">
              <w:rPr>
                <w:rFonts w:ascii="Calibri" w:eastAsia="Times New Roman" w:hAnsi="Calibri" w:cs="Calibri"/>
                <w:color w:val="000000"/>
                <w:vertAlign w:val="superscript"/>
              </w:rPr>
              <w:t>)</w:t>
            </w:r>
          </w:p>
        </w:tc>
        <w:tc>
          <w:tcPr>
            <w:tcW w:w="236" w:type="dxa"/>
            <w:noWrap/>
            <w:hideMark/>
          </w:tcPr>
          <w:p w14:paraId="15EE5035"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7287CE34"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tcPr>
          <w:p w14:paraId="5EFE8FA2"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620" w:type="dxa"/>
            <w:noWrap/>
            <w:hideMark/>
          </w:tcPr>
          <w:p w14:paraId="66D925AC"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5</w:t>
            </w:r>
          </w:p>
        </w:tc>
        <w:tc>
          <w:tcPr>
            <w:tcW w:w="1075" w:type="dxa"/>
          </w:tcPr>
          <w:p w14:paraId="33871FEF" w14:textId="77777777" w:rsidR="00317D4F" w:rsidRPr="00F114A1" w:rsidRDefault="00317D4F" w:rsidP="00A40AD0">
            <w:pPr>
              <w:jc w:val="center"/>
              <w:rPr>
                <w:rFonts w:ascii="Calibri" w:hAnsi="Calibri" w:cs="Calibri"/>
                <w:color w:val="000000"/>
              </w:rPr>
            </w:pPr>
            <w:r>
              <w:rPr>
                <w:rFonts w:ascii="Calibri" w:hAnsi="Calibri" w:cs="Calibri"/>
                <w:color w:val="000000"/>
              </w:rPr>
              <w:t>7</w:t>
            </w:r>
          </w:p>
        </w:tc>
      </w:tr>
      <w:tr w:rsidR="00317D4F" w:rsidRPr="00F114A1" w14:paraId="1198D2E9" w14:textId="77777777" w:rsidTr="00A40AD0">
        <w:trPr>
          <w:trHeight w:val="295"/>
        </w:trPr>
        <w:tc>
          <w:tcPr>
            <w:tcW w:w="1558" w:type="dxa"/>
            <w:noWrap/>
            <w:hideMark/>
          </w:tcPr>
          <w:p w14:paraId="0E3B16B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2440</w:t>
            </w:r>
            <w:r w:rsidRPr="00B138B1">
              <w:rPr>
                <w:rFonts w:ascii="Calibri" w:eastAsia="Times New Roman" w:hAnsi="Calibri" w:cs="Calibri"/>
                <w:color w:val="000000"/>
                <w:vertAlign w:val="superscript"/>
              </w:rPr>
              <w:t>f)</w:t>
            </w:r>
          </w:p>
        </w:tc>
        <w:tc>
          <w:tcPr>
            <w:tcW w:w="1558" w:type="dxa"/>
            <w:noWrap/>
            <w:hideMark/>
          </w:tcPr>
          <w:p w14:paraId="0BE381C4"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66000</w:t>
            </w:r>
            <w:r w:rsidRPr="006246FE">
              <w:rPr>
                <w:rFonts w:ascii="Calibri" w:eastAsia="Times New Roman" w:hAnsi="Calibri" w:cs="Calibri"/>
                <w:color w:val="000000"/>
                <w:vertAlign w:val="superscript"/>
              </w:rPr>
              <w:t>f</w:t>
            </w:r>
            <w:r w:rsidRPr="00F114A1">
              <w:rPr>
                <w:rFonts w:ascii="Calibri" w:eastAsia="Times New Roman" w:hAnsi="Calibri" w:cs="Calibri"/>
                <w:color w:val="000000"/>
                <w:vertAlign w:val="superscript"/>
              </w:rPr>
              <w:t>)</w:t>
            </w:r>
          </w:p>
        </w:tc>
        <w:tc>
          <w:tcPr>
            <w:tcW w:w="236" w:type="dxa"/>
            <w:noWrap/>
            <w:hideMark/>
          </w:tcPr>
          <w:p w14:paraId="31F5E56A"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416EE99A"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tcPr>
          <w:p w14:paraId="57048778"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63CDEE38"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3</w:t>
            </w:r>
          </w:p>
        </w:tc>
        <w:tc>
          <w:tcPr>
            <w:tcW w:w="1075" w:type="dxa"/>
          </w:tcPr>
          <w:p w14:paraId="6E38BC33" w14:textId="77777777" w:rsidR="00317D4F" w:rsidRPr="00F114A1" w:rsidRDefault="00317D4F" w:rsidP="00A40AD0">
            <w:pPr>
              <w:jc w:val="center"/>
              <w:rPr>
                <w:rFonts w:ascii="Calibri" w:hAnsi="Calibri" w:cs="Calibri"/>
                <w:color w:val="000000"/>
              </w:rPr>
            </w:pPr>
            <w:r>
              <w:rPr>
                <w:rFonts w:ascii="Calibri" w:hAnsi="Calibri" w:cs="Calibri"/>
                <w:color w:val="000000"/>
              </w:rPr>
              <w:t>6</w:t>
            </w:r>
          </w:p>
        </w:tc>
      </w:tr>
      <w:tr w:rsidR="00317D4F" w:rsidRPr="00F114A1" w14:paraId="4AFD5B6B" w14:textId="77777777" w:rsidTr="00A40AD0">
        <w:trPr>
          <w:trHeight w:val="295"/>
        </w:trPr>
        <w:tc>
          <w:tcPr>
            <w:tcW w:w="1558" w:type="dxa"/>
            <w:noWrap/>
            <w:hideMark/>
          </w:tcPr>
          <w:p w14:paraId="2EDFFB2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2520</w:t>
            </w:r>
          </w:p>
        </w:tc>
        <w:tc>
          <w:tcPr>
            <w:tcW w:w="1558" w:type="dxa"/>
            <w:noWrap/>
            <w:hideMark/>
          </w:tcPr>
          <w:p w14:paraId="61B2DE15"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68000</w:t>
            </w:r>
          </w:p>
        </w:tc>
        <w:tc>
          <w:tcPr>
            <w:tcW w:w="236" w:type="dxa"/>
            <w:noWrap/>
            <w:hideMark/>
          </w:tcPr>
          <w:p w14:paraId="25FEC072"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39298FB6"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800" w:type="dxa"/>
            <w:noWrap/>
          </w:tcPr>
          <w:p w14:paraId="0A7AF8B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620" w:type="dxa"/>
            <w:noWrap/>
            <w:hideMark/>
          </w:tcPr>
          <w:p w14:paraId="2AA4FFF1"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075" w:type="dxa"/>
          </w:tcPr>
          <w:p w14:paraId="16FB8A82" w14:textId="77777777" w:rsidR="00317D4F" w:rsidRPr="00F114A1" w:rsidRDefault="00317D4F" w:rsidP="00A40AD0">
            <w:pPr>
              <w:jc w:val="center"/>
              <w:rPr>
                <w:rFonts w:ascii="Calibri" w:hAnsi="Calibri" w:cs="Calibri"/>
                <w:color w:val="000000"/>
              </w:rPr>
            </w:pPr>
            <w:r>
              <w:rPr>
                <w:rFonts w:ascii="Calibri" w:hAnsi="Calibri" w:cs="Calibri"/>
                <w:color w:val="000000"/>
              </w:rPr>
              <w:t>4</w:t>
            </w:r>
          </w:p>
        </w:tc>
      </w:tr>
      <w:tr w:rsidR="00317D4F" w:rsidRPr="00F114A1" w14:paraId="7EBA2DCC" w14:textId="77777777" w:rsidTr="00A40AD0">
        <w:trPr>
          <w:trHeight w:val="295"/>
        </w:trPr>
        <w:tc>
          <w:tcPr>
            <w:tcW w:w="1558" w:type="dxa"/>
            <w:noWrap/>
            <w:hideMark/>
          </w:tcPr>
          <w:p w14:paraId="74A8E891"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2520</w:t>
            </w:r>
          </w:p>
        </w:tc>
        <w:tc>
          <w:tcPr>
            <w:tcW w:w="1558" w:type="dxa"/>
            <w:noWrap/>
            <w:hideMark/>
          </w:tcPr>
          <w:p w14:paraId="0EEEF49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68001</w:t>
            </w:r>
          </w:p>
        </w:tc>
        <w:tc>
          <w:tcPr>
            <w:tcW w:w="236" w:type="dxa"/>
            <w:noWrap/>
            <w:hideMark/>
          </w:tcPr>
          <w:p w14:paraId="00293C1E"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48F3EB6B"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tcPr>
          <w:p w14:paraId="509B3B44" w14:textId="77777777" w:rsidR="00317D4F" w:rsidRPr="00F114A1" w:rsidRDefault="00317D4F" w:rsidP="00A40AD0">
            <w:pPr>
              <w:jc w:val="center"/>
              <w:rPr>
                <w:rFonts w:ascii="Calibri" w:eastAsia="Times New Roman" w:hAnsi="Calibri" w:cs="Calibri"/>
                <w:color w:val="000000"/>
              </w:rPr>
            </w:pPr>
            <w:r w:rsidRPr="008F672B">
              <w:t>4</w:t>
            </w:r>
          </w:p>
        </w:tc>
        <w:tc>
          <w:tcPr>
            <w:tcW w:w="1620" w:type="dxa"/>
            <w:noWrap/>
            <w:hideMark/>
          </w:tcPr>
          <w:p w14:paraId="6E3D8E4B"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1</w:t>
            </w:r>
          </w:p>
        </w:tc>
        <w:tc>
          <w:tcPr>
            <w:tcW w:w="1075" w:type="dxa"/>
          </w:tcPr>
          <w:p w14:paraId="4A88D758"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7C1B5956" w14:textId="77777777" w:rsidTr="00A40AD0">
        <w:trPr>
          <w:trHeight w:val="295"/>
        </w:trPr>
        <w:tc>
          <w:tcPr>
            <w:tcW w:w="1558" w:type="dxa"/>
            <w:noWrap/>
            <w:hideMark/>
          </w:tcPr>
          <w:p w14:paraId="477BDB5A"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2560</w:t>
            </w:r>
          </w:p>
        </w:tc>
        <w:tc>
          <w:tcPr>
            <w:tcW w:w="1558" w:type="dxa"/>
            <w:noWrap/>
            <w:hideMark/>
          </w:tcPr>
          <w:p w14:paraId="759AE96D"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69000</w:t>
            </w:r>
          </w:p>
        </w:tc>
        <w:tc>
          <w:tcPr>
            <w:tcW w:w="236" w:type="dxa"/>
            <w:noWrap/>
            <w:hideMark/>
          </w:tcPr>
          <w:p w14:paraId="52FA03B7"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5C6D6CE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6CF7C98F"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3</w:t>
            </w:r>
          </w:p>
        </w:tc>
        <w:tc>
          <w:tcPr>
            <w:tcW w:w="1620" w:type="dxa"/>
            <w:noWrap/>
            <w:hideMark/>
          </w:tcPr>
          <w:p w14:paraId="78FC6583"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075" w:type="dxa"/>
          </w:tcPr>
          <w:p w14:paraId="05CF4875"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702B60FE" w14:textId="77777777" w:rsidTr="00A40AD0">
        <w:trPr>
          <w:trHeight w:val="295"/>
        </w:trPr>
        <w:tc>
          <w:tcPr>
            <w:tcW w:w="1558" w:type="dxa"/>
            <w:noWrap/>
            <w:hideMark/>
          </w:tcPr>
          <w:p w14:paraId="403F383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2630</w:t>
            </w:r>
          </w:p>
        </w:tc>
        <w:tc>
          <w:tcPr>
            <w:tcW w:w="1558" w:type="dxa"/>
            <w:noWrap/>
            <w:hideMark/>
          </w:tcPr>
          <w:p w14:paraId="545C9F7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71000</w:t>
            </w:r>
          </w:p>
        </w:tc>
        <w:tc>
          <w:tcPr>
            <w:tcW w:w="236" w:type="dxa"/>
            <w:noWrap/>
            <w:hideMark/>
          </w:tcPr>
          <w:p w14:paraId="005ECAB7"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4F93753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6704BBA9"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3BA03436"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0BFFD217"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73EB1569" w14:textId="77777777" w:rsidTr="00A40AD0">
        <w:trPr>
          <w:trHeight w:val="295"/>
        </w:trPr>
        <w:tc>
          <w:tcPr>
            <w:tcW w:w="1558" w:type="dxa"/>
            <w:noWrap/>
            <w:hideMark/>
          </w:tcPr>
          <w:p w14:paraId="4B34E9A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2670</w:t>
            </w:r>
          </w:p>
        </w:tc>
        <w:tc>
          <w:tcPr>
            <w:tcW w:w="1558" w:type="dxa"/>
            <w:noWrap/>
            <w:hideMark/>
          </w:tcPr>
          <w:p w14:paraId="47F4B5C3"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72000</w:t>
            </w:r>
          </w:p>
        </w:tc>
        <w:tc>
          <w:tcPr>
            <w:tcW w:w="236" w:type="dxa"/>
            <w:noWrap/>
            <w:hideMark/>
          </w:tcPr>
          <w:p w14:paraId="11EDCA9E"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6A82BB87"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800" w:type="dxa"/>
            <w:noWrap/>
            <w:hideMark/>
          </w:tcPr>
          <w:p w14:paraId="346129B9"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0E8A6578"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6E63561A" w14:textId="77777777" w:rsidR="00317D4F" w:rsidRPr="00F114A1" w:rsidRDefault="00317D4F" w:rsidP="00A40AD0">
            <w:pPr>
              <w:jc w:val="center"/>
              <w:rPr>
                <w:rFonts w:ascii="Calibri" w:hAnsi="Calibri" w:cs="Calibri"/>
                <w:color w:val="000000"/>
              </w:rPr>
            </w:pPr>
            <w:r>
              <w:rPr>
                <w:rFonts w:ascii="Calibri" w:hAnsi="Calibri" w:cs="Calibri"/>
                <w:color w:val="000000"/>
              </w:rPr>
              <w:t>4</w:t>
            </w:r>
          </w:p>
        </w:tc>
      </w:tr>
      <w:tr w:rsidR="00317D4F" w:rsidRPr="00F114A1" w14:paraId="6E346F83" w14:textId="77777777" w:rsidTr="00A40AD0">
        <w:trPr>
          <w:trHeight w:val="295"/>
        </w:trPr>
        <w:tc>
          <w:tcPr>
            <w:tcW w:w="1558" w:type="dxa"/>
            <w:noWrap/>
            <w:hideMark/>
          </w:tcPr>
          <w:p w14:paraId="1CA141A0"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2815</w:t>
            </w:r>
          </w:p>
        </w:tc>
        <w:tc>
          <w:tcPr>
            <w:tcW w:w="1558" w:type="dxa"/>
            <w:noWrap/>
            <w:hideMark/>
          </w:tcPr>
          <w:p w14:paraId="715F60ED"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76000</w:t>
            </w:r>
          </w:p>
        </w:tc>
        <w:tc>
          <w:tcPr>
            <w:tcW w:w="236" w:type="dxa"/>
            <w:noWrap/>
            <w:hideMark/>
          </w:tcPr>
          <w:p w14:paraId="73166113"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3C971535"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0B155D1C" w14:textId="77777777" w:rsidR="00317D4F" w:rsidRPr="00F114A1" w:rsidRDefault="00317D4F" w:rsidP="00A40AD0">
            <w:pPr>
              <w:jc w:val="center"/>
              <w:rPr>
                <w:rFonts w:ascii="Calibri" w:eastAsia="Times New Roman" w:hAnsi="Calibri" w:cs="Calibri"/>
                <w:color w:val="000000"/>
              </w:rPr>
            </w:pPr>
            <w:r w:rsidRPr="00F114A1">
              <w:rPr>
                <w:rFonts w:ascii="Calibri" w:hAnsi="Calibri" w:cs="Calibri"/>
                <w:color w:val="000000"/>
              </w:rPr>
              <w:t>3</w:t>
            </w:r>
          </w:p>
        </w:tc>
        <w:tc>
          <w:tcPr>
            <w:tcW w:w="1620" w:type="dxa"/>
            <w:noWrap/>
            <w:hideMark/>
          </w:tcPr>
          <w:p w14:paraId="4DA1C041"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3</w:t>
            </w:r>
          </w:p>
        </w:tc>
        <w:tc>
          <w:tcPr>
            <w:tcW w:w="1075" w:type="dxa"/>
          </w:tcPr>
          <w:p w14:paraId="51596996" w14:textId="77777777" w:rsidR="00317D4F" w:rsidRPr="00F114A1" w:rsidRDefault="00317D4F" w:rsidP="00A40AD0">
            <w:pPr>
              <w:jc w:val="center"/>
              <w:rPr>
                <w:rFonts w:ascii="Calibri" w:hAnsi="Calibri" w:cs="Calibri"/>
                <w:color w:val="000000"/>
              </w:rPr>
            </w:pPr>
            <w:r>
              <w:rPr>
                <w:rFonts w:ascii="Calibri" w:hAnsi="Calibri" w:cs="Calibri"/>
                <w:color w:val="000000"/>
              </w:rPr>
              <w:t>6</w:t>
            </w:r>
          </w:p>
        </w:tc>
      </w:tr>
      <w:tr w:rsidR="00317D4F" w:rsidRPr="00F114A1" w14:paraId="48E9366D" w14:textId="77777777" w:rsidTr="00A40AD0">
        <w:trPr>
          <w:trHeight w:val="295"/>
        </w:trPr>
        <w:tc>
          <w:tcPr>
            <w:tcW w:w="1558" w:type="dxa"/>
            <w:noWrap/>
            <w:hideMark/>
          </w:tcPr>
          <w:p w14:paraId="6CA6F47D"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3190</w:t>
            </w:r>
          </w:p>
        </w:tc>
        <w:tc>
          <w:tcPr>
            <w:tcW w:w="1558" w:type="dxa"/>
            <w:noWrap/>
            <w:hideMark/>
          </w:tcPr>
          <w:p w14:paraId="5BFE620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86000</w:t>
            </w:r>
          </w:p>
        </w:tc>
        <w:tc>
          <w:tcPr>
            <w:tcW w:w="236" w:type="dxa"/>
            <w:noWrap/>
            <w:hideMark/>
          </w:tcPr>
          <w:p w14:paraId="4902D7A5"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D17A485"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5F0F320B"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64FFC4E2"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075" w:type="dxa"/>
          </w:tcPr>
          <w:p w14:paraId="4330F9BA" w14:textId="77777777" w:rsidR="00317D4F" w:rsidRPr="00F114A1"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0C16D822" w14:textId="77777777" w:rsidTr="00A40AD0">
        <w:trPr>
          <w:trHeight w:val="295"/>
        </w:trPr>
        <w:tc>
          <w:tcPr>
            <w:tcW w:w="1558" w:type="dxa"/>
            <w:noWrap/>
            <w:hideMark/>
          </w:tcPr>
          <w:p w14:paraId="35D9D5FB"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3670</w:t>
            </w:r>
          </w:p>
        </w:tc>
        <w:tc>
          <w:tcPr>
            <w:tcW w:w="1558" w:type="dxa"/>
            <w:noWrap/>
            <w:hideMark/>
          </w:tcPr>
          <w:p w14:paraId="00F2C49F"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99000</w:t>
            </w:r>
          </w:p>
        </w:tc>
        <w:tc>
          <w:tcPr>
            <w:tcW w:w="236" w:type="dxa"/>
            <w:noWrap/>
            <w:hideMark/>
          </w:tcPr>
          <w:p w14:paraId="7C6DB158"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173975E8"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800" w:type="dxa"/>
            <w:noWrap/>
            <w:hideMark/>
          </w:tcPr>
          <w:p w14:paraId="126D0ABE"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2</w:t>
            </w:r>
          </w:p>
        </w:tc>
        <w:tc>
          <w:tcPr>
            <w:tcW w:w="1620" w:type="dxa"/>
            <w:noWrap/>
            <w:hideMark/>
          </w:tcPr>
          <w:p w14:paraId="7C41DD1B"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05CC5CF5" w14:textId="77777777" w:rsidR="00317D4F" w:rsidRPr="00F114A1" w:rsidRDefault="00317D4F" w:rsidP="00A40AD0">
            <w:pPr>
              <w:jc w:val="center"/>
              <w:rPr>
                <w:rFonts w:ascii="Calibri" w:hAnsi="Calibri" w:cs="Calibri"/>
                <w:color w:val="000000"/>
              </w:rPr>
            </w:pPr>
            <w:r>
              <w:rPr>
                <w:rFonts w:ascii="Calibri" w:hAnsi="Calibri" w:cs="Calibri"/>
                <w:color w:val="000000"/>
              </w:rPr>
              <w:t>3</w:t>
            </w:r>
          </w:p>
        </w:tc>
      </w:tr>
      <w:tr w:rsidR="00317D4F" w:rsidRPr="00F114A1" w14:paraId="301068F0" w14:textId="77777777" w:rsidTr="00A40AD0">
        <w:trPr>
          <w:trHeight w:val="295"/>
        </w:trPr>
        <w:tc>
          <w:tcPr>
            <w:tcW w:w="1558" w:type="dxa"/>
            <w:noWrap/>
            <w:hideMark/>
          </w:tcPr>
          <w:p w14:paraId="636E3B82"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12960</w:t>
            </w:r>
          </w:p>
          <w:p w14:paraId="16EDDC0C"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(3700)</w:t>
            </w:r>
            <w:r w:rsidRPr="00B138B1">
              <w:rPr>
                <w:rFonts w:ascii="Calibri" w:eastAsia="Times New Roman" w:hAnsi="Calibri" w:cs="Calibri"/>
                <w:color w:val="000000"/>
                <w:vertAlign w:val="superscript"/>
              </w:rPr>
              <w:t>g</w:t>
            </w:r>
            <w:r w:rsidRPr="008D03C8">
              <w:rPr>
                <w:rFonts w:ascii="Calibri" w:eastAsia="Times New Roman" w:hAnsi="Calibri" w:cs="Calibri"/>
                <w:color w:val="000000"/>
                <w:vertAlign w:val="superscript"/>
              </w:rPr>
              <w:t>)</w:t>
            </w:r>
          </w:p>
        </w:tc>
        <w:tc>
          <w:tcPr>
            <w:tcW w:w="1558" w:type="dxa"/>
            <w:noWrap/>
            <w:hideMark/>
          </w:tcPr>
          <w:p w14:paraId="3E1F6877"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350000 (100000)</w:t>
            </w:r>
            <w:r w:rsidRPr="006246FE">
              <w:rPr>
                <w:rFonts w:ascii="Calibri" w:eastAsia="Times New Roman" w:hAnsi="Calibri" w:cs="Calibri"/>
                <w:color w:val="000000"/>
                <w:vertAlign w:val="superscript"/>
              </w:rPr>
              <w:t>g)</w:t>
            </w:r>
          </w:p>
        </w:tc>
        <w:tc>
          <w:tcPr>
            <w:tcW w:w="236" w:type="dxa"/>
            <w:noWrap/>
            <w:hideMark/>
          </w:tcPr>
          <w:p w14:paraId="55F7683C"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F6698D2"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6E016DA7"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47D896CE"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075" w:type="dxa"/>
          </w:tcPr>
          <w:p w14:paraId="5B1E2F7B" w14:textId="77777777" w:rsidR="00317D4F" w:rsidRPr="00F114A1" w:rsidRDefault="00317D4F" w:rsidP="00A40AD0">
            <w:pPr>
              <w:jc w:val="center"/>
              <w:rPr>
                <w:rFonts w:ascii="Calibri" w:hAnsi="Calibri" w:cs="Calibri"/>
                <w:color w:val="000000"/>
              </w:rPr>
            </w:pPr>
            <w:r>
              <w:rPr>
                <w:rFonts w:ascii="Calibri" w:hAnsi="Calibri" w:cs="Calibri"/>
                <w:color w:val="000000"/>
              </w:rPr>
              <w:t>6</w:t>
            </w:r>
          </w:p>
        </w:tc>
      </w:tr>
      <w:tr w:rsidR="00317D4F" w:rsidRPr="00F114A1" w14:paraId="3AAC6999" w14:textId="77777777" w:rsidTr="00A40AD0">
        <w:trPr>
          <w:trHeight w:val="295"/>
        </w:trPr>
        <w:tc>
          <w:tcPr>
            <w:tcW w:w="1558" w:type="dxa"/>
            <w:noWrap/>
            <w:hideMark/>
          </w:tcPr>
          <w:p w14:paraId="00967E35"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4080</w:t>
            </w:r>
          </w:p>
        </w:tc>
        <w:tc>
          <w:tcPr>
            <w:tcW w:w="1558" w:type="dxa"/>
            <w:noWrap/>
            <w:hideMark/>
          </w:tcPr>
          <w:p w14:paraId="28746184"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110000</w:t>
            </w:r>
          </w:p>
        </w:tc>
        <w:tc>
          <w:tcPr>
            <w:tcW w:w="236" w:type="dxa"/>
            <w:noWrap/>
            <w:hideMark/>
          </w:tcPr>
          <w:p w14:paraId="13CDC984"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58B893A6"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3C051C76"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5</w:t>
            </w:r>
          </w:p>
        </w:tc>
        <w:tc>
          <w:tcPr>
            <w:tcW w:w="1620" w:type="dxa"/>
            <w:noWrap/>
            <w:hideMark/>
          </w:tcPr>
          <w:p w14:paraId="2B21B23C"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2</w:t>
            </w:r>
          </w:p>
        </w:tc>
        <w:tc>
          <w:tcPr>
            <w:tcW w:w="1075" w:type="dxa"/>
          </w:tcPr>
          <w:p w14:paraId="46BF79B2" w14:textId="77777777" w:rsidR="00317D4F" w:rsidRPr="00F114A1" w:rsidRDefault="00317D4F" w:rsidP="00A40AD0">
            <w:pPr>
              <w:jc w:val="center"/>
              <w:rPr>
                <w:rFonts w:ascii="Calibri" w:hAnsi="Calibri" w:cs="Calibri"/>
                <w:color w:val="000000"/>
              </w:rPr>
            </w:pPr>
            <w:r>
              <w:rPr>
                <w:rFonts w:ascii="Calibri" w:hAnsi="Calibri" w:cs="Calibri"/>
                <w:color w:val="000000"/>
              </w:rPr>
              <w:t>7</w:t>
            </w:r>
          </w:p>
        </w:tc>
      </w:tr>
      <w:tr w:rsidR="00317D4F" w:rsidRPr="00F114A1" w14:paraId="36C4E672" w14:textId="77777777" w:rsidTr="00A40AD0">
        <w:trPr>
          <w:trHeight w:val="295"/>
        </w:trPr>
        <w:tc>
          <w:tcPr>
            <w:tcW w:w="1558" w:type="dxa"/>
            <w:noWrap/>
            <w:hideMark/>
          </w:tcPr>
          <w:p w14:paraId="035BD473"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5930</w:t>
            </w:r>
          </w:p>
        </w:tc>
        <w:tc>
          <w:tcPr>
            <w:tcW w:w="1558" w:type="dxa"/>
            <w:noWrap/>
            <w:hideMark/>
          </w:tcPr>
          <w:p w14:paraId="74F1E64A"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160000</w:t>
            </w:r>
          </w:p>
        </w:tc>
        <w:tc>
          <w:tcPr>
            <w:tcW w:w="236" w:type="dxa"/>
            <w:noWrap/>
            <w:hideMark/>
          </w:tcPr>
          <w:p w14:paraId="7F1C8CA8"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054CF8E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74F570BC"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06F2CCB1"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0</w:t>
            </w:r>
          </w:p>
        </w:tc>
        <w:tc>
          <w:tcPr>
            <w:tcW w:w="1075" w:type="dxa"/>
          </w:tcPr>
          <w:p w14:paraId="2BA36776" w14:textId="77777777" w:rsidR="00317D4F" w:rsidRPr="00F114A1" w:rsidRDefault="00317D4F" w:rsidP="00A40AD0">
            <w:pPr>
              <w:jc w:val="center"/>
              <w:rPr>
                <w:rFonts w:ascii="Calibri" w:hAnsi="Calibri" w:cs="Calibri"/>
                <w:color w:val="000000"/>
              </w:rPr>
            </w:pPr>
            <w:r>
              <w:rPr>
                <w:rFonts w:ascii="Calibri" w:hAnsi="Calibri" w:cs="Calibri"/>
                <w:color w:val="000000"/>
              </w:rPr>
              <w:t>3</w:t>
            </w:r>
          </w:p>
        </w:tc>
      </w:tr>
      <w:tr w:rsidR="00317D4F" w:rsidRPr="00F114A1" w14:paraId="5A3ADF0A" w14:textId="77777777" w:rsidTr="00A40AD0">
        <w:trPr>
          <w:trHeight w:val="295"/>
        </w:trPr>
        <w:tc>
          <w:tcPr>
            <w:tcW w:w="1558" w:type="dxa"/>
            <w:noWrap/>
            <w:hideMark/>
          </w:tcPr>
          <w:p w14:paraId="3AC96F51"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6670</w:t>
            </w:r>
          </w:p>
        </w:tc>
        <w:tc>
          <w:tcPr>
            <w:tcW w:w="1558" w:type="dxa"/>
            <w:noWrap/>
            <w:hideMark/>
          </w:tcPr>
          <w:p w14:paraId="5CC05057"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180000</w:t>
            </w:r>
          </w:p>
        </w:tc>
        <w:tc>
          <w:tcPr>
            <w:tcW w:w="236" w:type="dxa"/>
            <w:noWrap/>
            <w:hideMark/>
          </w:tcPr>
          <w:p w14:paraId="58D6F23F"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49183028"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3FFC3D22"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4AC20995"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075" w:type="dxa"/>
          </w:tcPr>
          <w:p w14:paraId="10F676DE" w14:textId="77777777" w:rsidR="00317D4F" w:rsidRDefault="00317D4F" w:rsidP="00A40AD0">
            <w:pPr>
              <w:jc w:val="center"/>
              <w:rPr>
                <w:rFonts w:ascii="Calibri" w:hAnsi="Calibri" w:cs="Calibri"/>
                <w:color w:val="000000"/>
              </w:rPr>
            </w:pPr>
            <w:r>
              <w:rPr>
                <w:rFonts w:ascii="Calibri" w:hAnsi="Calibri" w:cs="Calibri"/>
                <w:color w:val="000000"/>
              </w:rPr>
              <w:t>3</w:t>
            </w:r>
          </w:p>
        </w:tc>
      </w:tr>
      <w:tr w:rsidR="00317D4F" w:rsidRPr="00F114A1" w14:paraId="7605407D" w14:textId="77777777" w:rsidTr="00A40AD0">
        <w:trPr>
          <w:trHeight w:val="295"/>
        </w:trPr>
        <w:tc>
          <w:tcPr>
            <w:tcW w:w="1558" w:type="dxa"/>
            <w:noWrap/>
            <w:hideMark/>
          </w:tcPr>
          <w:p w14:paraId="1F8B6BE9"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7780</w:t>
            </w:r>
          </w:p>
        </w:tc>
        <w:tc>
          <w:tcPr>
            <w:tcW w:w="1558" w:type="dxa"/>
            <w:noWrap/>
            <w:hideMark/>
          </w:tcPr>
          <w:p w14:paraId="42B784FD"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210000</w:t>
            </w:r>
          </w:p>
        </w:tc>
        <w:tc>
          <w:tcPr>
            <w:tcW w:w="236" w:type="dxa"/>
            <w:noWrap/>
            <w:hideMark/>
          </w:tcPr>
          <w:p w14:paraId="1575B25B"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5F481BBB"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6C5CCA7E"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4</w:t>
            </w:r>
          </w:p>
        </w:tc>
        <w:tc>
          <w:tcPr>
            <w:tcW w:w="1620" w:type="dxa"/>
            <w:noWrap/>
            <w:hideMark/>
          </w:tcPr>
          <w:p w14:paraId="3ED143C0" w14:textId="77777777" w:rsidR="00317D4F" w:rsidRPr="00F114A1" w:rsidRDefault="00317D4F" w:rsidP="00A40AD0">
            <w:pPr>
              <w:jc w:val="center"/>
              <w:rPr>
                <w:rFonts w:ascii="Calibri" w:eastAsia="Times New Roman" w:hAnsi="Calibri" w:cs="Calibri"/>
                <w:color w:val="000000"/>
              </w:rPr>
            </w:pPr>
            <w:r>
              <w:rPr>
                <w:rFonts w:ascii="Calibri" w:hAnsi="Calibri" w:cs="Calibri"/>
                <w:color w:val="000000"/>
              </w:rPr>
              <w:t>1</w:t>
            </w:r>
          </w:p>
        </w:tc>
        <w:tc>
          <w:tcPr>
            <w:tcW w:w="1075" w:type="dxa"/>
          </w:tcPr>
          <w:p w14:paraId="7D20FFE0" w14:textId="77777777" w:rsidR="00317D4F" w:rsidRDefault="00317D4F" w:rsidP="00A40AD0">
            <w:pPr>
              <w:jc w:val="center"/>
              <w:rPr>
                <w:rFonts w:ascii="Calibri" w:hAnsi="Calibri" w:cs="Calibri"/>
                <w:color w:val="000000"/>
              </w:rPr>
            </w:pPr>
            <w:r>
              <w:rPr>
                <w:rFonts w:ascii="Calibri" w:hAnsi="Calibri" w:cs="Calibri"/>
                <w:color w:val="000000"/>
              </w:rPr>
              <w:t>5</w:t>
            </w:r>
          </w:p>
        </w:tc>
      </w:tr>
      <w:tr w:rsidR="00317D4F" w:rsidRPr="00F114A1" w14:paraId="5D56DEDD" w14:textId="77777777" w:rsidTr="00A40AD0">
        <w:trPr>
          <w:trHeight w:val="295"/>
        </w:trPr>
        <w:tc>
          <w:tcPr>
            <w:tcW w:w="1558" w:type="dxa"/>
            <w:noWrap/>
            <w:hideMark/>
          </w:tcPr>
          <w:p w14:paraId="4287EF06"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44400</w:t>
            </w:r>
          </w:p>
          <w:p w14:paraId="73E99D81"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(20700)</w:t>
            </w:r>
            <w:r w:rsidRPr="00B138B1">
              <w:rPr>
                <w:rFonts w:ascii="Calibri" w:eastAsia="Times New Roman" w:hAnsi="Calibri" w:cs="Calibri"/>
                <w:color w:val="000000"/>
                <w:vertAlign w:val="superscript"/>
              </w:rPr>
              <w:t>g</w:t>
            </w:r>
            <w:r w:rsidRPr="008D03C8">
              <w:rPr>
                <w:rFonts w:ascii="Calibri" w:eastAsia="Times New Roman" w:hAnsi="Calibri" w:cs="Calibri"/>
                <w:color w:val="000000"/>
                <w:vertAlign w:val="superscript"/>
              </w:rPr>
              <w:t>)</w:t>
            </w:r>
          </w:p>
        </w:tc>
        <w:tc>
          <w:tcPr>
            <w:tcW w:w="1558" w:type="dxa"/>
            <w:noWrap/>
            <w:hideMark/>
          </w:tcPr>
          <w:p w14:paraId="644C6661" w14:textId="77777777" w:rsidR="00317D4F" w:rsidRPr="008D03C8" w:rsidRDefault="00317D4F" w:rsidP="00A40AD0">
            <w:pPr>
              <w:jc w:val="center"/>
              <w:rPr>
                <w:rFonts w:ascii="Calibri" w:eastAsia="Times New Roman" w:hAnsi="Calibri" w:cs="Calibri"/>
                <w:color w:val="000000"/>
              </w:rPr>
            </w:pPr>
            <w:r w:rsidRPr="008D03C8">
              <w:rPr>
                <w:rFonts w:ascii="Calibri" w:eastAsia="Times New Roman" w:hAnsi="Calibri" w:cs="Calibri"/>
                <w:color w:val="000000"/>
              </w:rPr>
              <w:t>1200000 (560000)</w:t>
            </w:r>
            <w:r w:rsidRPr="006246FE">
              <w:rPr>
                <w:rFonts w:ascii="Calibri" w:eastAsia="Times New Roman" w:hAnsi="Calibri" w:cs="Calibri"/>
                <w:color w:val="000000"/>
                <w:vertAlign w:val="superscript"/>
              </w:rPr>
              <w:t>g</w:t>
            </w:r>
            <w:r w:rsidRPr="008D03C8">
              <w:rPr>
                <w:rFonts w:ascii="Calibri" w:eastAsia="Times New Roman" w:hAnsi="Calibri" w:cs="Calibri"/>
                <w:color w:val="000000"/>
                <w:vertAlign w:val="superscript"/>
              </w:rPr>
              <w:t>)</w:t>
            </w:r>
          </w:p>
        </w:tc>
        <w:tc>
          <w:tcPr>
            <w:tcW w:w="236" w:type="dxa"/>
            <w:noWrap/>
            <w:hideMark/>
          </w:tcPr>
          <w:p w14:paraId="620095A4" w14:textId="77777777" w:rsidR="00317D4F" w:rsidRPr="00F114A1" w:rsidRDefault="00317D4F" w:rsidP="00A40AD0">
            <w:pPr>
              <w:jc w:val="center"/>
              <w:rPr>
                <w:rFonts w:ascii="Calibri" w:eastAsia="Times New Roman" w:hAnsi="Calibri" w:cs="Calibri"/>
                <w:color w:val="000000"/>
              </w:rPr>
            </w:pPr>
          </w:p>
        </w:tc>
        <w:tc>
          <w:tcPr>
            <w:tcW w:w="1503" w:type="dxa"/>
            <w:noWrap/>
            <w:hideMark/>
          </w:tcPr>
          <w:p w14:paraId="4B799ED3" w14:textId="77777777" w:rsidR="00317D4F" w:rsidRPr="00F114A1" w:rsidRDefault="00317D4F" w:rsidP="00A40AD0">
            <w:pPr>
              <w:jc w:val="center"/>
              <w:rPr>
                <w:rFonts w:ascii="Calibri" w:eastAsia="Times New Roman" w:hAnsi="Calibri" w:cs="Calibri"/>
                <w:color w:val="000000"/>
              </w:rPr>
            </w:pPr>
            <w:r w:rsidRPr="00F114A1">
              <w:rPr>
                <w:rFonts w:ascii="Calibri" w:eastAsia="Times New Roman" w:hAnsi="Calibri" w:cs="Calibri"/>
                <w:color w:val="000000"/>
              </w:rPr>
              <w:t>1</w:t>
            </w:r>
          </w:p>
        </w:tc>
        <w:tc>
          <w:tcPr>
            <w:tcW w:w="1800" w:type="dxa"/>
            <w:noWrap/>
            <w:hideMark/>
          </w:tcPr>
          <w:p w14:paraId="13CEF439"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c>
          <w:tcPr>
            <w:tcW w:w="1620" w:type="dxa"/>
            <w:noWrap/>
            <w:hideMark/>
          </w:tcPr>
          <w:p w14:paraId="057BF3F2" w14:textId="77777777" w:rsidR="00317D4F" w:rsidRPr="00F114A1" w:rsidRDefault="00317D4F" w:rsidP="00A40AD0">
            <w:pPr>
              <w:jc w:val="center"/>
              <w:rPr>
                <w:rFonts w:ascii="Calibri" w:eastAsia="Times New Roman" w:hAnsi="Calibri" w:cs="Calibri"/>
                <w:color w:val="000000"/>
              </w:rPr>
            </w:pPr>
            <w:r>
              <w:rPr>
                <w:rFonts w:ascii="Calibri" w:eastAsia="Times New Roman" w:hAnsi="Calibri" w:cs="Calibri"/>
                <w:color w:val="000000"/>
              </w:rPr>
              <w:t>0</w:t>
            </w:r>
          </w:p>
        </w:tc>
        <w:tc>
          <w:tcPr>
            <w:tcW w:w="1075" w:type="dxa"/>
          </w:tcPr>
          <w:p w14:paraId="7F4A3818" w14:textId="77777777" w:rsidR="00317D4F" w:rsidRDefault="00317D4F" w:rsidP="00A40AD0">
            <w:pPr>
              <w:jc w:val="center"/>
              <w:rPr>
                <w:rFonts w:ascii="Calibri" w:eastAsia="Times New Roman" w:hAnsi="Calibri" w:cs="Calibri"/>
                <w:color w:val="000000"/>
              </w:rPr>
            </w:pPr>
            <w:r>
              <w:rPr>
                <w:rFonts w:ascii="Calibri" w:eastAsia="Times New Roman" w:hAnsi="Calibri" w:cs="Calibri"/>
                <w:color w:val="000000"/>
              </w:rPr>
              <w:t>3</w:t>
            </w:r>
          </w:p>
        </w:tc>
      </w:tr>
      <w:tr w:rsidR="00317D4F" w:rsidRPr="00F114A1" w14:paraId="4C7CEE2E" w14:textId="77777777" w:rsidTr="00A40AD0">
        <w:tc>
          <w:tcPr>
            <w:tcW w:w="9350" w:type="dxa"/>
            <w:gridSpan w:val="7"/>
          </w:tcPr>
          <w:p w14:paraId="68B09EB9" w14:textId="77777777" w:rsidR="00317D4F" w:rsidRPr="00F114A1" w:rsidRDefault="00317D4F" w:rsidP="00A40AD0">
            <w:pPr>
              <w:numPr>
                <w:ilvl w:val="0"/>
                <w:numId w:val="9"/>
              </w:numPr>
              <w:contextualSpacing/>
            </w:pPr>
            <w:r>
              <w:t xml:space="preserve">Extracted from Appendix C of the LA report </w:t>
            </w:r>
            <w:r>
              <w:rPr>
                <w:noProof/>
              </w:rPr>
              <w:t>(LA 2001)</w:t>
            </w:r>
            <w:r>
              <w:t>.</w:t>
            </w:r>
          </w:p>
          <w:p w14:paraId="5AC60243" w14:textId="77777777" w:rsidR="00317D4F" w:rsidRPr="00F114A1" w:rsidRDefault="00317D4F" w:rsidP="00A40AD0">
            <w:pPr>
              <w:numPr>
                <w:ilvl w:val="0"/>
                <w:numId w:val="9"/>
              </w:numPr>
              <w:contextualSpacing/>
            </w:pPr>
            <w:r w:rsidRPr="00F114A1">
              <w:t xml:space="preserve">Baseline intakes correspond to LA’s fits to off-site data only (alpha spectrometry).  For two veterans, LA reported two values in their unpublished, Appendix C.1 </w:t>
            </w:r>
            <w:r>
              <w:rPr>
                <w:noProof/>
              </w:rPr>
              <w:t>(LA 2001)</w:t>
            </w:r>
            <w:r w:rsidRPr="00F114A1">
              <w:t>, with only the lowe</w:t>
            </w:r>
            <w:r>
              <w:t>r</w:t>
            </w:r>
            <w:r w:rsidRPr="00F114A1">
              <w:t xml:space="preserve"> value reported in the public version </w:t>
            </w:r>
            <w:r>
              <w:rPr>
                <w:noProof/>
              </w:rPr>
              <w:t>(LA 2001 at Table E-5)</w:t>
            </w:r>
            <w:r w:rsidRPr="00F114A1">
              <w:t xml:space="preserve">.  The lower values for these two veterans were obtained in both cases, because </w:t>
            </w:r>
            <w:r>
              <w:t>an</w:t>
            </w:r>
            <w:r w:rsidRPr="00F114A1">
              <w:t xml:space="preserve"> off-site, alpha-spectrometry </w:t>
            </w:r>
            <w:r>
              <w:t xml:space="preserve">measurement with high value </w:t>
            </w:r>
            <w:r w:rsidRPr="00F114A1">
              <w:t xml:space="preserve">was excluded.  For this Table, </w:t>
            </w:r>
            <w:r>
              <w:t>both values have been included.</w:t>
            </w:r>
          </w:p>
          <w:p w14:paraId="7951A31F" w14:textId="77777777" w:rsidR="00317D4F" w:rsidRDefault="00317D4F" w:rsidP="00A40AD0">
            <w:pPr>
              <w:numPr>
                <w:ilvl w:val="0"/>
                <w:numId w:val="9"/>
              </w:numPr>
              <w:contextualSpacing/>
            </w:pPr>
            <w:r>
              <w:t>Gross alpha measurements.</w:t>
            </w:r>
          </w:p>
          <w:p w14:paraId="4BEBD3D9" w14:textId="7ED3DC77" w:rsidR="00317D4F" w:rsidRDefault="00317D4F" w:rsidP="00A40AD0">
            <w:pPr>
              <w:numPr>
                <w:ilvl w:val="0"/>
                <w:numId w:val="9"/>
              </w:numPr>
              <w:contextualSpacing/>
            </w:pPr>
            <w:r>
              <w:t>A value of 0.11 mBq</w:t>
            </w:r>
            <w:r w:rsidR="005D4AD3">
              <w:t xml:space="preserve"> </w:t>
            </w:r>
            <w:r>
              <w:t>d</w:t>
            </w:r>
            <w:r w:rsidRPr="00C43949">
              <w:rPr>
                <w:vertAlign w:val="superscript"/>
              </w:rPr>
              <w:t>-1</w:t>
            </w:r>
            <w:r>
              <w:t xml:space="preserve"> (0.003 pCi</w:t>
            </w:r>
            <w:r w:rsidR="005D4AD3">
              <w:t xml:space="preserve"> </w:t>
            </w:r>
            <w:r>
              <w:t>d</w:t>
            </w:r>
            <w:r w:rsidRPr="00C43949">
              <w:rPr>
                <w:vertAlign w:val="superscript"/>
              </w:rPr>
              <w:t>-1</w:t>
            </w:r>
            <w:r>
              <w:t>) was assigned to these measurements in the fits that LA made to the excretion data</w:t>
            </w:r>
          </w:p>
          <w:p w14:paraId="312B01C7" w14:textId="77777777" w:rsidR="00317D4F" w:rsidRPr="00F114A1" w:rsidRDefault="00317D4F" w:rsidP="00A40AD0">
            <w:pPr>
              <w:numPr>
                <w:ilvl w:val="0"/>
                <w:numId w:val="9"/>
              </w:numPr>
              <w:contextualSpacing/>
            </w:pPr>
            <w:r w:rsidRPr="00F114A1">
              <w:t>For this veteran, the LA, Appendix-C-data lists an elapsed time of 22 days for the first off-site measurement</w:t>
            </w:r>
            <w:r>
              <w:t>, which does not match the date differences, which give a value of 140 days</w:t>
            </w:r>
            <w:r w:rsidRPr="00F114A1">
              <w:t xml:space="preserve">.  </w:t>
            </w:r>
          </w:p>
          <w:p w14:paraId="59EFEFE1" w14:textId="5B850AC7" w:rsidR="00317D4F" w:rsidRDefault="00317D4F" w:rsidP="00A40AD0">
            <w:pPr>
              <w:numPr>
                <w:ilvl w:val="0"/>
                <w:numId w:val="9"/>
              </w:numPr>
              <w:contextualSpacing/>
            </w:pPr>
            <w:r w:rsidRPr="00F114A1">
              <w:t>For this veteran, there was an on-site non-detect gross</w:t>
            </w:r>
            <w:r>
              <w:t>-</w:t>
            </w:r>
            <w:r w:rsidRPr="00F114A1">
              <w:t>alpha reading that was followed 3-days later with a reading of 3.09 pCi</w:t>
            </w:r>
            <w:r w:rsidR="005D4AD3">
              <w:t xml:space="preserve"> </w:t>
            </w:r>
            <w:r w:rsidRPr="00F114A1">
              <w:t>d</w:t>
            </w:r>
            <w:r w:rsidRPr="00F114A1">
              <w:rPr>
                <w:vertAlign w:val="superscript"/>
              </w:rPr>
              <w:t>-1</w:t>
            </w:r>
            <w:r w:rsidRPr="00F114A1">
              <w:t xml:space="preserve">.   </w:t>
            </w:r>
          </w:p>
          <w:p w14:paraId="64D27A9B" w14:textId="77777777" w:rsidR="00317D4F" w:rsidRPr="008D03C8" w:rsidRDefault="00317D4F" w:rsidP="00A40AD0">
            <w:pPr>
              <w:numPr>
                <w:ilvl w:val="0"/>
                <w:numId w:val="9"/>
              </w:numPr>
              <w:contextualSpacing/>
            </w:pPr>
            <w:r w:rsidRPr="008D03C8">
              <w:t>Labat-Anderson chose to exclude one alpha-spectrometry data point, generating the intake estimate listed here.  The value in the row above was obtained using all the data points.</w:t>
            </w:r>
          </w:p>
          <w:p w14:paraId="79B66D6A" w14:textId="77777777" w:rsidR="00317D4F" w:rsidRPr="00F114A1" w:rsidRDefault="00317D4F" w:rsidP="00A40AD0">
            <w:pPr>
              <w:ind w:left="720"/>
              <w:contextualSpacing/>
            </w:pPr>
          </w:p>
          <w:p w14:paraId="669064EE" w14:textId="77777777" w:rsidR="00317D4F" w:rsidRPr="00F114A1" w:rsidRDefault="00317D4F" w:rsidP="004A023C">
            <w:pPr>
              <w:ind w:left="720"/>
              <w:contextualSpacing/>
            </w:pPr>
          </w:p>
        </w:tc>
      </w:tr>
    </w:tbl>
    <w:p w14:paraId="6FCA2DE1" w14:textId="77777777" w:rsidR="00317D4F" w:rsidRDefault="00317D4F" w:rsidP="002E569A">
      <w:pPr>
        <w:spacing w:line="480" w:lineRule="auto"/>
        <w:ind w:firstLine="720"/>
        <w:sectPr w:rsidR="00317D4F">
          <w:footerReference w:type="default" r:id="rId9"/>
          <w:pgSz w:w="12240" w:h="15840"/>
          <w:pgMar w:top="1440" w:right="1440" w:bottom="1440" w:left="1440" w:header="720" w:footer="720" w:gutter="0"/>
          <w:cols w:space="720"/>
          <w:docGrid w:linePitch="360"/>
        </w:sectPr>
      </w:pPr>
    </w:p>
    <w:bookmarkEnd w:id="8"/>
    <w:p w14:paraId="3A4F0268" w14:textId="77777777" w:rsidR="00317D4F" w:rsidRDefault="00317D4F"/>
    <w:p w14:paraId="041C1864" w14:textId="77777777" w:rsidR="00317D4F" w:rsidRDefault="00317D4F"/>
    <w:p w14:paraId="44E0682E" w14:textId="77777777" w:rsidR="00317D4F" w:rsidRDefault="00317D4F">
      <w:r>
        <w:rPr>
          <w:noProof/>
        </w:rPr>
        <w:drawing>
          <wp:inline distT="0" distB="0" distL="0" distR="0" wp14:anchorId="27DF9D91" wp14:editId="48AC78BA">
            <wp:extent cx="5943600" cy="4322445"/>
            <wp:effectExtent l="0" t="0" r="0"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 from Labat Anderson Report Vol. 1 Fig 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70097ADC" w14:textId="77777777" w:rsidR="00317D4F" w:rsidRDefault="00317D4F"/>
    <w:p w14:paraId="36BB3512" w14:textId="77777777" w:rsidR="00317D4F" w:rsidRDefault="00317D4F">
      <w:r>
        <w:t>Figure S-1.  Graph of high-26 excretion measurements including non-detects.  Reproduced from LA report.</w:t>
      </w:r>
      <w:r>
        <w:br w:type="page"/>
      </w:r>
    </w:p>
    <w:p w14:paraId="46EFC3CA" w14:textId="77777777" w:rsidR="00317D4F" w:rsidRDefault="00317D4F" w:rsidP="00A013CE">
      <w:bookmarkStart w:id="10" w:name="Figures"/>
    </w:p>
    <w:p w14:paraId="7736E476" w14:textId="77777777" w:rsidR="00317D4F" w:rsidRDefault="00317D4F" w:rsidP="00A013CE"/>
    <w:p w14:paraId="0FE77908" w14:textId="77777777" w:rsidR="00317D4F" w:rsidRDefault="00317D4F" w:rsidP="00A013CE"/>
    <w:p w14:paraId="3E1AEC9E" w14:textId="77777777" w:rsidR="00317D4F" w:rsidRDefault="00317D4F" w:rsidP="007B58C5">
      <w:pPr>
        <w:tabs>
          <w:tab w:val="left" w:pos="2067"/>
        </w:tabs>
        <w:ind w:left="792" w:hanging="792"/>
      </w:pPr>
    </w:p>
    <w:p w14:paraId="29F43288" w14:textId="77777777" w:rsidR="00317D4F" w:rsidRDefault="00317D4F" w:rsidP="00D8350A">
      <w:pPr>
        <w:rPr>
          <w:color w:val="000000" w:themeColor="text1"/>
        </w:rPr>
      </w:pPr>
    </w:p>
    <w:p w14:paraId="184349AD" w14:textId="77777777" w:rsidR="00317D4F" w:rsidRDefault="00317D4F" w:rsidP="00D8350A">
      <w:pPr>
        <w:rPr>
          <w:color w:val="000000" w:themeColor="text1"/>
        </w:rPr>
      </w:pPr>
    </w:p>
    <w:p w14:paraId="686E2326" w14:textId="77777777" w:rsidR="00317D4F" w:rsidRDefault="00317D4F"/>
    <w:p w14:paraId="64475693" w14:textId="77777777" w:rsidR="00317D4F" w:rsidRDefault="00317D4F" w:rsidP="00C05308"/>
    <w:p w14:paraId="1FD12337" w14:textId="77777777" w:rsidR="00317D4F" w:rsidRDefault="00317D4F" w:rsidP="00C05308">
      <w:r w:rsidRPr="001E72CD">
        <w:rPr>
          <w:noProof/>
        </w:rPr>
        <w:drawing>
          <wp:inline distT="0" distB="0" distL="0" distR="0" wp14:anchorId="1BA04220" wp14:editId="6E159532">
            <wp:extent cx="3297115" cy="324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951" cy="3247819"/>
                    </a:xfrm>
                    <a:prstGeom prst="rect">
                      <a:avLst/>
                    </a:prstGeom>
                    <a:noFill/>
                    <a:ln>
                      <a:noFill/>
                    </a:ln>
                  </pic:spPr>
                </pic:pic>
              </a:graphicData>
            </a:graphic>
          </wp:inline>
        </w:drawing>
      </w:r>
      <w:r w:rsidRPr="001E72CD">
        <w:rPr>
          <w:noProof/>
        </w:rPr>
        <w:t xml:space="preserve"> </w:t>
      </w:r>
    </w:p>
    <w:p w14:paraId="3540B858" w14:textId="77777777" w:rsidR="00317D4F" w:rsidRDefault="00317D4F" w:rsidP="00C05308"/>
    <w:p w14:paraId="0EECC6C3" w14:textId="77777777" w:rsidR="00317D4F" w:rsidRDefault="00317D4F" w:rsidP="00C05308"/>
    <w:p w14:paraId="2C91E28F" w14:textId="77777777" w:rsidR="00317D4F" w:rsidRDefault="00317D4F" w:rsidP="00C05308"/>
    <w:p w14:paraId="73AD58DE" w14:textId="2825B375" w:rsidR="00317D4F" w:rsidRDefault="00317D4F" w:rsidP="00C05308">
      <w:r>
        <w:t>Fig. S-</w:t>
      </w:r>
      <w:bookmarkStart w:id="11" w:name="_Hlk533089750"/>
      <w:r>
        <w:t>2.  Histogram of the natural logarithm of the 270 excretion rates above 40 mBq</w:t>
      </w:r>
      <w:r w:rsidR="005D4AD3">
        <w:t xml:space="preserve"> </w:t>
      </w:r>
      <w:r>
        <w:t>d</w:t>
      </w:r>
      <w:r w:rsidRPr="00681070">
        <w:rPr>
          <w:vertAlign w:val="superscript"/>
        </w:rPr>
        <w:t>-1</w:t>
      </w:r>
      <w:r>
        <w:t xml:space="preserve"> (1.08 PCi</w:t>
      </w:r>
      <w:r w:rsidR="005D4AD3">
        <w:t xml:space="preserve"> </w:t>
      </w:r>
      <w:r>
        <w:t>d</w:t>
      </w:r>
      <w:r>
        <w:rPr>
          <w:vertAlign w:val="superscript"/>
        </w:rPr>
        <w:t>-1</w:t>
      </w:r>
      <w:r>
        <w:t xml:space="preserve">) for Palomares veterans including the High 26.  </w:t>
      </w:r>
      <w:bookmarkEnd w:id="11"/>
      <w:r>
        <w:t>These are almost all on-site measurements, which means a potential for contamination.   Maximum value = 4500 mBq</w:t>
      </w:r>
      <w:r w:rsidR="005D4AD3">
        <w:t xml:space="preserve"> </w:t>
      </w:r>
      <w:r>
        <w:t>d</w:t>
      </w:r>
      <w:r w:rsidRPr="00681070">
        <w:rPr>
          <w:vertAlign w:val="superscript"/>
        </w:rPr>
        <w:t>-1</w:t>
      </w:r>
      <w:r>
        <w:t xml:space="preserve">.  The mean was 210, median 76, and geometric mean 100 </w:t>
      </w:r>
      <w:r w:rsidRPr="00923911">
        <w:t>mBq</w:t>
      </w:r>
      <w:r w:rsidR="005D4AD3">
        <w:t xml:space="preserve"> </w:t>
      </w:r>
      <w:r w:rsidRPr="00923911">
        <w:t>d</w:t>
      </w:r>
      <w:r w:rsidRPr="00923911">
        <w:rPr>
          <w:vertAlign w:val="superscript"/>
        </w:rPr>
        <w:t>-1</w:t>
      </w:r>
      <w:r>
        <w:t xml:space="preserve">.  As for the High 26, with the same cutoff of 40 </w:t>
      </w:r>
      <w:r w:rsidRPr="00923911">
        <w:t>mBq</w:t>
      </w:r>
      <w:r w:rsidR="005D4AD3">
        <w:t xml:space="preserve"> </w:t>
      </w:r>
      <w:r w:rsidRPr="00923911">
        <w:t>d</w:t>
      </w:r>
      <w:r w:rsidRPr="00923911">
        <w:rPr>
          <w:vertAlign w:val="superscript"/>
        </w:rPr>
        <w:t>-1</w:t>
      </w:r>
      <w:r>
        <w:t xml:space="preserve">, the resulting 16 values had a mean of </w:t>
      </w:r>
      <w:r w:rsidRPr="00923911">
        <w:t>15</w:t>
      </w:r>
      <w:r>
        <w:t xml:space="preserve">5, a median of 71, and a geometric mean of 88 </w:t>
      </w:r>
      <w:r w:rsidRPr="00923911">
        <w:t>mBq</w:t>
      </w:r>
      <w:r w:rsidR="005D4AD3">
        <w:t xml:space="preserve"> </w:t>
      </w:r>
      <w:r w:rsidRPr="00923911">
        <w:t>d</w:t>
      </w:r>
      <w:r w:rsidRPr="00923911">
        <w:rPr>
          <w:vertAlign w:val="superscript"/>
        </w:rPr>
        <w:t>-1</w:t>
      </w:r>
      <w:r>
        <w:t>.  The maximum on-site value for the High 26 was 1300 mBq</w:t>
      </w:r>
      <w:r w:rsidR="005D4AD3">
        <w:t xml:space="preserve"> </w:t>
      </w:r>
      <w:r>
        <w:t>d</w:t>
      </w:r>
      <w:r w:rsidRPr="00681070">
        <w:rPr>
          <w:vertAlign w:val="superscript"/>
        </w:rPr>
        <w:t>-1</w:t>
      </w:r>
      <w:r>
        <w:t>.  Two of the 26 had no valid on-site readings at all.  The mean on-site value for all of the High 26 was 112</w:t>
      </w:r>
      <w:r w:rsidRPr="0048722D">
        <w:t xml:space="preserve"> </w:t>
      </w:r>
      <w:r>
        <w:t>mBq</w:t>
      </w:r>
      <w:r w:rsidR="005D4AD3">
        <w:t xml:space="preserve"> </w:t>
      </w:r>
      <w:r>
        <w:t>d</w:t>
      </w:r>
      <w:r w:rsidRPr="00681070">
        <w:rPr>
          <w:vertAlign w:val="superscript"/>
        </w:rPr>
        <w:t>-1</w:t>
      </w:r>
      <w:r>
        <w:t>.  The median was 61 mBq</w:t>
      </w:r>
      <w:r w:rsidR="005D4AD3">
        <w:t xml:space="preserve"> </w:t>
      </w:r>
      <w:r>
        <w:t>d</w:t>
      </w:r>
      <w:r w:rsidRPr="00681070">
        <w:rPr>
          <w:vertAlign w:val="superscript"/>
        </w:rPr>
        <w:t>-1</w:t>
      </w:r>
      <w:r>
        <w:t>, and the geometric mean was 55 mBq</w:t>
      </w:r>
      <w:r w:rsidR="005D4AD3">
        <w:t xml:space="preserve"> </w:t>
      </w:r>
      <w:r>
        <w:t>d</w:t>
      </w:r>
      <w:r w:rsidRPr="00681070">
        <w:rPr>
          <w:vertAlign w:val="superscript"/>
        </w:rPr>
        <w:t>-1</w:t>
      </w:r>
      <w:r>
        <w:t xml:space="preserve">.  All figures for the High 26 are based on the numbers in the (draft) Volume 2 of the Labat-Anderson Report,  Appendix C1 </w:t>
      </w:r>
      <w:r>
        <w:rPr>
          <w:noProof/>
        </w:rPr>
        <w:t>(LA 2001)</w:t>
      </w:r>
      <w:r>
        <w:t>.</w:t>
      </w:r>
    </w:p>
    <w:p w14:paraId="5C374371" w14:textId="77777777" w:rsidR="00317D4F" w:rsidRDefault="00317D4F"/>
    <w:bookmarkEnd w:id="10"/>
    <w:p w14:paraId="4F233D90" w14:textId="77777777" w:rsidR="00317D4F" w:rsidRDefault="00317D4F"/>
    <w:p w14:paraId="15FD8C4A" w14:textId="77777777" w:rsidR="00317D4F" w:rsidRDefault="00317D4F"/>
    <w:p w14:paraId="3AFBB798" w14:textId="77777777" w:rsidR="00317D4F" w:rsidRDefault="00317D4F"/>
    <w:p w14:paraId="65BF0B59" w14:textId="77777777" w:rsidR="00317D4F" w:rsidRDefault="00317D4F">
      <w:pPr>
        <w:rPr>
          <w:b/>
        </w:rPr>
      </w:pPr>
      <w:r w:rsidRPr="00CD5B19">
        <w:rPr>
          <w:b/>
        </w:rPr>
        <w:t>Citations.</w:t>
      </w:r>
    </w:p>
    <w:p w14:paraId="6D2339F5" w14:textId="77777777" w:rsidR="00317D4F" w:rsidRDefault="00317D4F">
      <w:pPr>
        <w:rPr>
          <w:b/>
        </w:rPr>
      </w:pPr>
    </w:p>
    <w:p w14:paraId="7B736A08" w14:textId="77777777" w:rsidR="00317D4F" w:rsidRPr="001D22F0" w:rsidRDefault="00317D4F" w:rsidP="001D22F0">
      <w:pPr>
        <w:pStyle w:val="EndNoteBibliography"/>
        <w:spacing w:after="0"/>
        <w:ind w:left="720" w:hanging="720"/>
      </w:pPr>
      <w:r w:rsidRPr="001D22F0">
        <w:t xml:space="preserve">LA. Palomares-Dose-Evaluation-Report Vol 2, (Appendix C.1,"High 26")  From Yale Law Clinic (Available at: </w:t>
      </w:r>
      <w:r w:rsidRPr="00317D4F">
        <w:t>https://law.yale.edu/studying-law-yale/clinical-and-experiential-learning/our-clinics/veterans-legal-services-clinic/palomares-foia-litigation</w:t>
      </w:r>
      <w:r w:rsidRPr="001D22F0">
        <w:t xml:space="preserve">  Accessed 24 July 2018). Labat-Anderson, Inc.; 2001.</w:t>
      </w:r>
    </w:p>
    <w:p w14:paraId="15B7A2D4" w14:textId="77777777" w:rsidR="00317D4F" w:rsidRPr="001D22F0" w:rsidRDefault="00317D4F" w:rsidP="001D22F0">
      <w:pPr>
        <w:pStyle w:val="EndNoteBibliography"/>
        <w:ind w:left="720" w:hanging="720"/>
      </w:pPr>
      <w:r w:rsidRPr="001D22F0">
        <w:t xml:space="preserve">LA. Palomares nuclear weapons accident: revised dose evaluation report (without Appendix C) (Available at </w:t>
      </w:r>
      <w:r w:rsidRPr="00317D4F">
        <w:t>http://www.airforcemedicine.af.mil/Portals/1/Images/About/Palomares/2001-Palomares-Dose-Evaluation-Report.pdf</w:t>
      </w:r>
      <w:r w:rsidRPr="001D22F0">
        <w:t>, Accessed 4/6/2018). McLean, VA: Labat-Anderson, Inc.; 2001.</w:t>
      </w:r>
    </w:p>
    <w:p w14:paraId="40EE6479" w14:textId="77777777" w:rsidR="00317D4F" w:rsidRPr="00CD5B19" w:rsidRDefault="00317D4F" w:rsidP="00422AFC">
      <w:pPr>
        <w:spacing w:after="120" w:line="360" w:lineRule="auto"/>
        <w:rPr>
          <w:b/>
        </w:rPr>
      </w:pPr>
    </w:p>
    <w:p w14:paraId="14915E69" w14:textId="77777777" w:rsidR="00793B6C" w:rsidRDefault="00793B6C"/>
    <w:sectPr w:rsidR="00793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83A0" w14:textId="77777777" w:rsidR="00B40F69" w:rsidRDefault="00B40F69" w:rsidP="00317D4F">
      <w:pPr>
        <w:spacing w:after="0" w:line="240" w:lineRule="auto"/>
      </w:pPr>
      <w:r>
        <w:separator/>
      </w:r>
    </w:p>
  </w:endnote>
  <w:endnote w:type="continuationSeparator" w:id="0">
    <w:p w14:paraId="6CACDD26" w14:textId="77777777" w:rsidR="00B40F69" w:rsidRDefault="00B40F69" w:rsidP="0031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0335"/>
      <w:docPartObj>
        <w:docPartGallery w:val="Page Numbers (Bottom of Page)"/>
        <w:docPartUnique/>
      </w:docPartObj>
    </w:sdtPr>
    <w:sdtEndPr>
      <w:rPr>
        <w:noProof/>
      </w:rPr>
    </w:sdtEndPr>
    <w:sdtContent>
      <w:p w14:paraId="01D815D4" w14:textId="7A9CBA68" w:rsidR="00317D4F" w:rsidRDefault="00317D4F">
        <w:pPr>
          <w:pStyle w:val="Footer"/>
          <w:jc w:val="center"/>
        </w:pPr>
        <w:r>
          <w:fldChar w:fldCharType="begin"/>
        </w:r>
        <w:r>
          <w:instrText xml:space="preserve"> PAGE   \* MERGEFORMAT </w:instrText>
        </w:r>
        <w:r>
          <w:fldChar w:fldCharType="separate"/>
        </w:r>
        <w:r w:rsidR="00C46D93">
          <w:rPr>
            <w:noProof/>
          </w:rPr>
          <w:t>1</w:t>
        </w:r>
        <w:r>
          <w:rPr>
            <w:noProof/>
          </w:rPr>
          <w:fldChar w:fldCharType="end"/>
        </w:r>
      </w:p>
    </w:sdtContent>
  </w:sdt>
  <w:p w14:paraId="59CA17D7" w14:textId="77777777" w:rsidR="00317D4F" w:rsidRDefault="00317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A1E3" w14:textId="77777777" w:rsidR="00B40F69" w:rsidRDefault="00B40F69" w:rsidP="00317D4F">
      <w:pPr>
        <w:spacing w:after="0" w:line="240" w:lineRule="auto"/>
      </w:pPr>
      <w:r>
        <w:separator/>
      </w:r>
    </w:p>
  </w:footnote>
  <w:footnote w:type="continuationSeparator" w:id="0">
    <w:p w14:paraId="13EB7419" w14:textId="77777777" w:rsidR="00B40F69" w:rsidRDefault="00B40F69" w:rsidP="00317D4F">
      <w:pPr>
        <w:spacing w:after="0" w:line="240" w:lineRule="auto"/>
      </w:pPr>
      <w:r>
        <w:continuationSeparator/>
      </w:r>
    </w:p>
  </w:footnote>
  <w:footnote w:id="1">
    <w:p w14:paraId="20C7BEE6" w14:textId="77777777" w:rsidR="00317D4F" w:rsidRDefault="00317D4F">
      <w:pPr>
        <w:pStyle w:val="FootnoteText"/>
      </w:pPr>
      <w:r>
        <w:rPr>
          <w:rStyle w:val="FootnoteReference"/>
        </w:rPr>
        <w:footnoteRef/>
      </w:r>
      <w:r>
        <w:t xml:space="preserve"> </w:t>
      </w:r>
      <w:r w:rsidRPr="00366E1C">
        <w:rPr>
          <w:rFonts w:ascii="Calibri" w:hAnsi="Calibri" w:cs="Calibri"/>
          <w:sz w:val="22"/>
          <w:szCs w:val="22"/>
        </w:rPr>
        <w:t xml:space="preserve">provided to documentcloud.org by </w:t>
      </w:r>
      <w:r w:rsidRPr="00366E1C">
        <w:rPr>
          <w:rStyle w:val="quietlink"/>
          <w:rFonts w:ascii="Calibri" w:hAnsi="Calibri" w:cs="Calibri"/>
          <w:sz w:val="22"/>
          <w:szCs w:val="22"/>
        </w:rPr>
        <w:t>News Documents</w:t>
      </w:r>
      <w:r w:rsidRPr="00366E1C">
        <w:rPr>
          <w:rStyle w:val="noselect"/>
          <w:rFonts w:ascii="Calibri" w:hAnsi="Calibri" w:cs="Calibri"/>
          <w:sz w:val="22"/>
          <w:szCs w:val="22"/>
        </w:rPr>
        <w:t xml:space="preserve">, </w:t>
      </w:r>
      <w:r w:rsidRPr="00366E1C">
        <w:rPr>
          <w:rStyle w:val="quietlink"/>
          <w:rFonts w:ascii="Calibri" w:hAnsi="Calibri" w:cs="Calibri"/>
          <w:sz w:val="22"/>
          <w:szCs w:val="22"/>
        </w:rPr>
        <w:t>The New York Times</w:t>
      </w:r>
      <w:r w:rsidRPr="00366E1C">
        <w:rPr>
          <w:rStyle w:val="noselect"/>
          <w:rFonts w:ascii="Calibri" w:hAnsi="Calibri" w:cs="Calibri"/>
          <w:sz w:val="22"/>
          <w:szCs w:val="22"/>
        </w:rPr>
        <w:t xml:space="preserve"> - Apr 08,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CF"/>
    <w:multiLevelType w:val="hybridMultilevel"/>
    <w:tmpl w:val="E4A89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55B"/>
    <w:multiLevelType w:val="hybridMultilevel"/>
    <w:tmpl w:val="A134E7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AE3E91"/>
    <w:multiLevelType w:val="hybridMultilevel"/>
    <w:tmpl w:val="77C66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3E8"/>
    <w:multiLevelType w:val="hybridMultilevel"/>
    <w:tmpl w:val="AEA0BBA4"/>
    <w:lvl w:ilvl="0" w:tplc="D71E4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E8A"/>
    <w:multiLevelType w:val="hybridMultilevel"/>
    <w:tmpl w:val="95A45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7016B"/>
    <w:multiLevelType w:val="multilevel"/>
    <w:tmpl w:val="0A12DA2A"/>
    <w:lvl w:ilvl="0">
      <w:numFmt w:val="decimal"/>
      <w:lvlText w:val="%1"/>
      <w:lvlJc w:val="left"/>
      <w:pPr>
        <w:ind w:left="715" w:hanging="715"/>
      </w:pPr>
      <w:rPr>
        <w:rFonts w:hint="default"/>
      </w:rPr>
    </w:lvl>
    <w:lvl w:ilvl="1">
      <w:start w:val="22"/>
      <w:numFmt w:val="decimalZero"/>
      <w:lvlText w:val="%1.%2"/>
      <w:lvlJc w:val="left"/>
      <w:pPr>
        <w:ind w:left="2020" w:hanging="71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B5915A1"/>
    <w:multiLevelType w:val="hybridMultilevel"/>
    <w:tmpl w:val="DAA0B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60850"/>
    <w:multiLevelType w:val="hybridMultilevel"/>
    <w:tmpl w:val="F042DA9C"/>
    <w:lvl w:ilvl="0" w:tplc="20722354">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3307E"/>
    <w:multiLevelType w:val="hybridMultilevel"/>
    <w:tmpl w:val="0CE4C908"/>
    <w:lvl w:ilvl="0" w:tplc="E9C6F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50C29"/>
    <w:multiLevelType w:val="multilevel"/>
    <w:tmpl w:val="8B3627F4"/>
    <w:lvl w:ilvl="0">
      <w:numFmt w:val="decimal"/>
      <w:lvlText w:val="%1"/>
      <w:lvlJc w:val="left"/>
      <w:pPr>
        <w:ind w:left="715" w:hanging="715"/>
      </w:pPr>
      <w:rPr>
        <w:rFonts w:hint="default"/>
      </w:rPr>
    </w:lvl>
    <w:lvl w:ilvl="1">
      <w:start w:val="40"/>
      <w:numFmt w:val="decimalZero"/>
      <w:lvlText w:val="%1.%2"/>
      <w:lvlJc w:val="left"/>
      <w:pPr>
        <w:ind w:left="2730" w:hanging="715"/>
      </w:pPr>
      <w:rPr>
        <w:rFonts w:hint="default"/>
      </w:rPr>
    </w:lvl>
    <w:lvl w:ilvl="2">
      <w:start w:val="1"/>
      <w:numFmt w:val="decimal"/>
      <w:lvlText w:val="%1.%2.%3"/>
      <w:lvlJc w:val="left"/>
      <w:pPr>
        <w:ind w:left="4750" w:hanging="720"/>
      </w:pPr>
      <w:rPr>
        <w:rFonts w:hint="default"/>
      </w:rPr>
    </w:lvl>
    <w:lvl w:ilvl="3">
      <w:start w:val="1"/>
      <w:numFmt w:val="decimal"/>
      <w:lvlText w:val="%1.%2.%3.%4"/>
      <w:lvlJc w:val="left"/>
      <w:pPr>
        <w:ind w:left="6765" w:hanging="720"/>
      </w:pPr>
      <w:rPr>
        <w:rFonts w:hint="default"/>
      </w:rPr>
    </w:lvl>
    <w:lvl w:ilvl="4">
      <w:start w:val="1"/>
      <w:numFmt w:val="decimal"/>
      <w:lvlText w:val="%1.%2.%3.%4.%5"/>
      <w:lvlJc w:val="left"/>
      <w:pPr>
        <w:ind w:left="9140" w:hanging="1080"/>
      </w:pPr>
      <w:rPr>
        <w:rFonts w:hint="default"/>
      </w:rPr>
    </w:lvl>
    <w:lvl w:ilvl="5">
      <w:start w:val="1"/>
      <w:numFmt w:val="decimal"/>
      <w:lvlText w:val="%1.%2.%3.%4.%5.%6"/>
      <w:lvlJc w:val="left"/>
      <w:pPr>
        <w:ind w:left="11155" w:hanging="1080"/>
      </w:pPr>
      <w:rPr>
        <w:rFonts w:hint="default"/>
      </w:rPr>
    </w:lvl>
    <w:lvl w:ilvl="6">
      <w:start w:val="1"/>
      <w:numFmt w:val="decimal"/>
      <w:lvlText w:val="%1.%2.%3.%4.%5.%6.%7"/>
      <w:lvlJc w:val="left"/>
      <w:pPr>
        <w:ind w:left="13530" w:hanging="1440"/>
      </w:pPr>
      <w:rPr>
        <w:rFonts w:hint="default"/>
      </w:rPr>
    </w:lvl>
    <w:lvl w:ilvl="7">
      <w:start w:val="1"/>
      <w:numFmt w:val="decimal"/>
      <w:lvlText w:val="%1.%2.%3.%4.%5.%6.%7.%8"/>
      <w:lvlJc w:val="left"/>
      <w:pPr>
        <w:ind w:left="15545" w:hanging="1440"/>
      </w:pPr>
      <w:rPr>
        <w:rFonts w:hint="default"/>
      </w:rPr>
    </w:lvl>
    <w:lvl w:ilvl="8">
      <w:start w:val="1"/>
      <w:numFmt w:val="decimal"/>
      <w:lvlText w:val="%1.%2.%3.%4.%5.%6.%7.%8.%9"/>
      <w:lvlJc w:val="left"/>
      <w:pPr>
        <w:ind w:left="17920" w:hanging="1800"/>
      </w:pPr>
      <w:rPr>
        <w:rFonts w:hint="default"/>
      </w:rPr>
    </w:lvl>
  </w:abstractNum>
  <w:abstractNum w:abstractNumId="10" w15:restartNumberingAfterBreak="0">
    <w:nsid w:val="7CE701C8"/>
    <w:multiLevelType w:val="hybridMultilevel"/>
    <w:tmpl w:val="5AF6F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0"/>
  </w:num>
  <w:num w:numId="5">
    <w:abstractNumId w:val="6"/>
  </w:num>
  <w:num w:numId="6">
    <w:abstractNumId w:val="5"/>
  </w:num>
  <w:num w:numId="7">
    <w:abstractNumId w:val="7"/>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17D4F"/>
    <w:rsid w:val="002001B2"/>
    <w:rsid w:val="00317D4F"/>
    <w:rsid w:val="00426BFF"/>
    <w:rsid w:val="0058737D"/>
    <w:rsid w:val="005D4AD3"/>
    <w:rsid w:val="00740A86"/>
    <w:rsid w:val="00793B6C"/>
    <w:rsid w:val="00B40F69"/>
    <w:rsid w:val="00C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86DC"/>
  <w15:chartTrackingRefBased/>
  <w15:docId w15:val="{D2C1FA32-4980-4B0C-BC28-FB02DD7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4F"/>
    <w:rPr>
      <w:color w:val="0563C1" w:themeColor="hyperlink"/>
      <w:u w:val="single"/>
    </w:rPr>
  </w:style>
  <w:style w:type="table" w:styleId="TableGrid">
    <w:name w:val="Table Grid"/>
    <w:basedOn w:val="TableNormal"/>
    <w:uiPriority w:val="39"/>
    <w:rsid w:val="0031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7D4F"/>
    <w:pPr>
      <w:spacing w:after="0" w:line="240" w:lineRule="auto"/>
    </w:pPr>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317D4F"/>
    <w:rPr>
      <w:rFonts w:ascii="Times New Roman" w:eastAsiaTheme="minorEastAsia" w:hAnsi="Times New Roman"/>
      <w:sz w:val="24"/>
      <w:szCs w:val="24"/>
    </w:rPr>
  </w:style>
  <w:style w:type="character" w:styleId="EndnoteReference">
    <w:name w:val="endnote reference"/>
    <w:basedOn w:val="DefaultParagraphFont"/>
    <w:uiPriority w:val="99"/>
    <w:unhideWhenUsed/>
    <w:rsid w:val="00317D4F"/>
    <w:rPr>
      <w:vertAlign w:val="superscript"/>
    </w:rPr>
  </w:style>
  <w:style w:type="character" w:customStyle="1" w:styleId="noselect">
    <w:name w:val="noselect"/>
    <w:basedOn w:val="DefaultParagraphFont"/>
    <w:rsid w:val="00317D4F"/>
  </w:style>
  <w:style w:type="character" w:customStyle="1" w:styleId="quietlink">
    <w:name w:val="quiet_link"/>
    <w:basedOn w:val="DefaultParagraphFont"/>
    <w:rsid w:val="00317D4F"/>
  </w:style>
  <w:style w:type="paragraph" w:styleId="FootnoteText">
    <w:name w:val="footnote text"/>
    <w:basedOn w:val="Normal"/>
    <w:link w:val="FootnoteTextChar"/>
    <w:uiPriority w:val="99"/>
    <w:unhideWhenUsed/>
    <w:rsid w:val="00317D4F"/>
    <w:pPr>
      <w:spacing w:after="0" w:line="240" w:lineRule="auto"/>
    </w:pPr>
    <w:rPr>
      <w:rFonts w:ascii="Times New Roman" w:eastAsiaTheme="minorEastAsia" w:hAnsi="Times New Roman"/>
      <w:sz w:val="24"/>
      <w:szCs w:val="24"/>
    </w:rPr>
  </w:style>
  <w:style w:type="character" w:customStyle="1" w:styleId="FootnoteTextChar">
    <w:name w:val="Footnote Text Char"/>
    <w:basedOn w:val="DefaultParagraphFont"/>
    <w:link w:val="FootnoteText"/>
    <w:uiPriority w:val="99"/>
    <w:rsid w:val="00317D4F"/>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317D4F"/>
    <w:rPr>
      <w:vertAlign w:val="superscript"/>
    </w:rPr>
  </w:style>
  <w:style w:type="paragraph" w:styleId="ListParagraph">
    <w:name w:val="List Paragraph"/>
    <w:basedOn w:val="Normal"/>
    <w:uiPriority w:val="34"/>
    <w:qFormat/>
    <w:rsid w:val="00317D4F"/>
    <w:pPr>
      <w:spacing w:after="0" w:line="240" w:lineRule="auto"/>
      <w:ind w:left="720"/>
      <w:contextualSpacing/>
    </w:pPr>
    <w:rPr>
      <w:rFonts w:ascii="Times New Roman" w:eastAsiaTheme="minorEastAsia" w:hAnsi="Times New Roman"/>
      <w:sz w:val="24"/>
      <w:szCs w:val="24"/>
    </w:rPr>
  </w:style>
  <w:style w:type="paragraph" w:customStyle="1" w:styleId="EndNoteBibliographyTitle">
    <w:name w:val="EndNote Bibliography Title"/>
    <w:basedOn w:val="Normal"/>
    <w:link w:val="EndNoteBibliographyTitleChar"/>
    <w:rsid w:val="00317D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17D4F"/>
    <w:rPr>
      <w:rFonts w:ascii="Calibri" w:hAnsi="Calibri" w:cs="Calibri"/>
      <w:noProof/>
    </w:rPr>
  </w:style>
  <w:style w:type="paragraph" w:customStyle="1" w:styleId="EndNoteBibliography">
    <w:name w:val="EndNote Bibliography"/>
    <w:basedOn w:val="Normal"/>
    <w:link w:val="EndNoteBibliographyChar"/>
    <w:rsid w:val="00317D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17D4F"/>
    <w:rPr>
      <w:rFonts w:ascii="Calibri" w:hAnsi="Calibri" w:cs="Calibri"/>
      <w:noProof/>
    </w:rPr>
  </w:style>
  <w:style w:type="character" w:customStyle="1" w:styleId="UnresolvedMention">
    <w:name w:val="Unresolved Mention"/>
    <w:basedOn w:val="DefaultParagraphFont"/>
    <w:uiPriority w:val="99"/>
    <w:semiHidden/>
    <w:unhideWhenUsed/>
    <w:rsid w:val="00317D4F"/>
    <w:rPr>
      <w:color w:val="808080"/>
      <w:shd w:val="clear" w:color="auto" w:fill="E6E6E6"/>
    </w:rPr>
  </w:style>
  <w:style w:type="paragraph" w:styleId="Header">
    <w:name w:val="header"/>
    <w:basedOn w:val="Normal"/>
    <w:link w:val="HeaderChar"/>
    <w:uiPriority w:val="99"/>
    <w:unhideWhenUsed/>
    <w:rsid w:val="0031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4F"/>
  </w:style>
  <w:style w:type="paragraph" w:styleId="Footer">
    <w:name w:val="footer"/>
    <w:basedOn w:val="Normal"/>
    <w:link w:val="FooterChar"/>
    <w:uiPriority w:val="99"/>
    <w:unhideWhenUsed/>
    <w:rsid w:val="0031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4F"/>
  </w:style>
  <w:style w:type="paragraph" w:styleId="BalloonText">
    <w:name w:val="Balloon Text"/>
    <w:basedOn w:val="Normal"/>
    <w:link w:val="BalloonTextChar"/>
    <w:uiPriority w:val="99"/>
    <w:semiHidden/>
    <w:unhideWhenUsed/>
    <w:rsid w:val="0031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4F"/>
    <w:rPr>
      <w:rFonts w:ascii="Segoe UI" w:hAnsi="Segoe UI" w:cs="Segoe UI"/>
      <w:sz w:val="18"/>
      <w:szCs w:val="18"/>
    </w:rPr>
  </w:style>
  <w:style w:type="character" w:styleId="CommentReference">
    <w:name w:val="annotation reference"/>
    <w:basedOn w:val="DefaultParagraphFont"/>
    <w:uiPriority w:val="99"/>
    <w:semiHidden/>
    <w:unhideWhenUsed/>
    <w:rsid w:val="00317D4F"/>
    <w:rPr>
      <w:sz w:val="16"/>
      <w:szCs w:val="16"/>
    </w:rPr>
  </w:style>
  <w:style w:type="paragraph" w:styleId="CommentText">
    <w:name w:val="annotation text"/>
    <w:basedOn w:val="Normal"/>
    <w:link w:val="CommentTextChar"/>
    <w:uiPriority w:val="99"/>
    <w:unhideWhenUsed/>
    <w:rsid w:val="00317D4F"/>
    <w:pPr>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17D4F"/>
    <w:rPr>
      <w:rFonts w:ascii="Times New Roman" w:hAnsi="Times New Roman" w:cs="Times New Roman"/>
      <w:sz w:val="20"/>
      <w:szCs w:val="20"/>
    </w:rPr>
  </w:style>
  <w:style w:type="paragraph" w:styleId="Revision">
    <w:name w:val="Revision"/>
    <w:hidden/>
    <w:uiPriority w:val="99"/>
    <w:semiHidden/>
    <w:rsid w:val="00317D4F"/>
    <w:pPr>
      <w:spacing w:after="0" w:line="240" w:lineRule="auto"/>
    </w:pPr>
  </w:style>
  <w:style w:type="table" w:customStyle="1" w:styleId="TableGrid1">
    <w:name w:val="Table Grid1"/>
    <w:basedOn w:val="TableNormal"/>
    <w:next w:val="TableGrid"/>
    <w:uiPriority w:val="39"/>
    <w:rsid w:val="0031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7D4F"/>
    <w:pPr>
      <w:autoSpaceDE/>
      <w:autoSpaceDN/>
      <w:adjustRightInd/>
      <w:spacing w:after="160"/>
    </w:pPr>
    <w:rPr>
      <w:b/>
      <w:bCs/>
    </w:rPr>
  </w:style>
  <w:style w:type="character" w:customStyle="1" w:styleId="CommentSubjectChar">
    <w:name w:val="Comment Subject Char"/>
    <w:basedOn w:val="CommentTextChar"/>
    <w:link w:val="CommentSubject"/>
    <w:uiPriority w:val="99"/>
    <w:semiHidden/>
    <w:rsid w:val="00317D4F"/>
    <w:rPr>
      <w:rFonts w:ascii="Times New Roman" w:hAnsi="Times New Roman" w:cs="Times New Roman"/>
      <w:b/>
      <w:bCs/>
      <w:sz w:val="20"/>
      <w:szCs w:val="20"/>
    </w:rPr>
  </w:style>
  <w:style w:type="paragraph" w:customStyle="1" w:styleId="Default">
    <w:name w:val="Default"/>
    <w:rsid w:val="00317D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2797062-xxplutonium-1967-DOE-secret-brief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eyea@cip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Beyea</dc:creator>
  <cp:keywords/>
  <dc:description/>
  <cp:lastModifiedBy>Beckett, Elana</cp:lastModifiedBy>
  <cp:revision>2</cp:revision>
  <dcterms:created xsi:type="dcterms:W3CDTF">2019-03-20T17:32:00Z</dcterms:created>
  <dcterms:modified xsi:type="dcterms:W3CDTF">2019-03-20T17:32:00Z</dcterms:modified>
</cp:coreProperties>
</file>