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0B13A" w14:textId="277B0F67" w:rsidR="00F15DEA" w:rsidRDefault="009C7B31" w:rsidP="00F15DEA">
      <w:pPr>
        <w:pageBreakBefore/>
        <w:rPr>
          <w:b/>
          <w:bCs/>
          <w:sz w:val="18"/>
          <w:szCs w:val="18"/>
        </w:rPr>
      </w:pPr>
      <w:r>
        <w:rPr>
          <w:b/>
          <w:bCs/>
          <w:sz w:val="18"/>
          <w:szCs w:val="18"/>
        </w:rPr>
        <w:t xml:space="preserve">Supplemental </w:t>
      </w:r>
      <w:bookmarkStart w:id="0" w:name="_GoBack"/>
      <w:bookmarkEnd w:id="0"/>
      <w:r w:rsidR="00F15DEA">
        <w:rPr>
          <w:b/>
          <w:bCs/>
          <w:sz w:val="18"/>
          <w:szCs w:val="18"/>
        </w:rPr>
        <w:t>Table 3. Overview about antipsychotic (AP) medication of participants in the reviewed studies. Participants for which treatment was unknown are included in calculations as not treated with APs. If an equal proportion of participants was treated with typical and atypical APs, predominant type of AP is denoted as equal.</w:t>
      </w:r>
    </w:p>
    <w:p w14:paraId="755BDAC1" w14:textId="77777777" w:rsidR="00F15DEA" w:rsidRDefault="00F15DEA" w:rsidP="00F15DEA">
      <w:pPr>
        <w:rPr>
          <w:b/>
          <w:bCs/>
          <w:sz w:val="18"/>
          <w:szCs w:val="18"/>
        </w:rPr>
      </w:pPr>
    </w:p>
    <w:p w14:paraId="5FE41266" w14:textId="77777777" w:rsidR="00F15DEA" w:rsidRDefault="00F15DEA" w:rsidP="00F15DEA">
      <w:pPr>
        <w:rPr>
          <w:b/>
          <w:bCs/>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24"/>
        <w:gridCol w:w="2340"/>
        <w:gridCol w:w="2070"/>
        <w:gridCol w:w="2520"/>
      </w:tblGrid>
      <w:tr w:rsidR="00F15DEA" w14:paraId="5E59F3DE" w14:textId="77777777" w:rsidTr="00F15DEA">
        <w:tc>
          <w:tcPr>
            <w:tcW w:w="2824" w:type="dxa"/>
            <w:tcBorders>
              <w:top w:val="single" w:sz="1" w:space="0" w:color="000000"/>
              <w:left w:val="single" w:sz="1" w:space="0" w:color="000000"/>
              <w:bottom w:val="single" w:sz="1" w:space="0" w:color="000000"/>
            </w:tcBorders>
            <w:shd w:val="clear" w:color="auto" w:fill="auto"/>
          </w:tcPr>
          <w:p w14:paraId="4BA2CFA9" w14:textId="77777777" w:rsidR="00F15DEA" w:rsidRDefault="00F15DEA" w:rsidP="007F615F">
            <w:pPr>
              <w:rPr>
                <w:sz w:val="18"/>
                <w:szCs w:val="18"/>
              </w:rPr>
            </w:pPr>
            <w:r>
              <w:rPr>
                <w:sz w:val="18"/>
                <w:szCs w:val="18"/>
              </w:rPr>
              <w:t>Reference</w:t>
            </w:r>
          </w:p>
        </w:tc>
        <w:tc>
          <w:tcPr>
            <w:tcW w:w="2340" w:type="dxa"/>
            <w:tcBorders>
              <w:top w:val="single" w:sz="1" w:space="0" w:color="000000"/>
              <w:left w:val="single" w:sz="1" w:space="0" w:color="000000"/>
              <w:bottom w:val="single" w:sz="1" w:space="0" w:color="000000"/>
            </w:tcBorders>
            <w:shd w:val="clear" w:color="auto" w:fill="auto"/>
          </w:tcPr>
          <w:p w14:paraId="400562DB" w14:textId="77777777" w:rsidR="00F15DEA" w:rsidRDefault="00F15DEA" w:rsidP="007F615F">
            <w:pPr>
              <w:pStyle w:val="TabellenInhalt"/>
              <w:rPr>
                <w:sz w:val="18"/>
                <w:szCs w:val="18"/>
              </w:rPr>
            </w:pPr>
            <w:r>
              <w:rPr>
                <w:sz w:val="18"/>
                <w:szCs w:val="18"/>
              </w:rPr>
              <w:t>Proportion treated with APs</w:t>
            </w:r>
          </w:p>
        </w:tc>
        <w:tc>
          <w:tcPr>
            <w:tcW w:w="2070" w:type="dxa"/>
            <w:tcBorders>
              <w:top w:val="single" w:sz="1" w:space="0" w:color="000000"/>
              <w:left w:val="single" w:sz="1" w:space="0" w:color="000000"/>
              <w:bottom w:val="single" w:sz="1" w:space="0" w:color="000000"/>
            </w:tcBorders>
            <w:shd w:val="clear" w:color="auto" w:fill="auto"/>
          </w:tcPr>
          <w:p w14:paraId="29AE4AF2" w14:textId="77777777" w:rsidR="00F15DEA" w:rsidRDefault="00F15DEA" w:rsidP="007F615F">
            <w:pPr>
              <w:pStyle w:val="TabellenInhalt"/>
              <w:rPr>
                <w:sz w:val="18"/>
                <w:szCs w:val="18"/>
              </w:rPr>
            </w:pPr>
            <w:r>
              <w:rPr>
                <w:sz w:val="18"/>
                <w:szCs w:val="18"/>
              </w:rPr>
              <w:t>Predominant type of AP</w:t>
            </w:r>
          </w:p>
        </w:tc>
        <w:tc>
          <w:tcPr>
            <w:tcW w:w="2520" w:type="dxa"/>
            <w:tcBorders>
              <w:top w:val="single" w:sz="1" w:space="0" w:color="000000"/>
              <w:left w:val="single" w:sz="1" w:space="0" w:color="000000"/>
              <w:bottom w:val="single" w:sz="1" w:space="0" w:color="000000"/>
              <w:right w:val="single" w:sz="1" w:space="0" w:color="000000"/>
            </w:tcBorders>
            <w:shd w:val="clear" w:color="auto" w:fill="auto"/>
          </w:tcPr>
          <w:p w14:paraId="1E7DE229" w14:textId="77777777" w:rsidR="00F15DEA" w:rsidRDefault="00F15DEA" w:rsidP="007F615F">
            <w:pPr>
              <w:pStyle w:val="TabellenInhalt"/>
            </w:pPr>
            <w:r>
              <w:rPr>
                <w:sz w:val="18"/>
                <w:szCs w:val="18"/>
              </w:rPr>
              <w:t>Comment</w:t>
            </w:r>
          </w:p>
        </w:tc>
      </w:tr>
      <w:tr w:rsidR="00F15DEA" w14:paraId="482E5528" w14:textId="77777777" w:rsidTr="00F15DEA">
        <w:tc>
          <w:tcPr>
            <w:tcW w:w="2824" w:type="dxa"/>
            <w:tcBorders>
              <w:left w:val="single" w:sz="1" w:space="0" w:color="000000"/>
              <w:bottom w:val="single" w:sz="1" w:space="0" w:color="000000"/>
            </w:tcBorders>
            <w:shd w:val="clear" w:color="auto" w:fill="auto"/>
          </w:tcPr>
          <w:p w14:paraId="3BED7599" w14:textId="77777777" w:rsidR="00F15DEA" w:rsidRDefault="00F15DEA" w:rsidP="007F615F">
            <w:pPr>
              <w:snapToGrid w:val="0"/>
              <w:rPr>
                <w:sz w:val="18"/>
                <w:szCs w:val="18"/>
              </w:rPr>
            </w:pPr>
          </w:p>
        </w:tc>
        <w:tc>
          <w:tcPr>
            <w:tcW w:w="2340" w:type="dxa"/>
            <w:tcBorders>
              <w:left w:val="single" w:sz="1" w:space="0" w:color="000000"/>
              <w:bottom w:val="single" w:sz="1" w:space="0" w:color="000000"/>
            </w:tcBorders>
            <w:shd w:val="clear" w:color="auto" w:fill="auto"/>
          </w:tcPr>
          <w:p w14:paraId="1FC54247"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6D8C7382"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40383AA3" w14:textId="77777777" w:rsidR="00F15DEA" w:rsidRDefault="00F15DEA" w:rsidP="007F615F">
            <w:pPr>
              <w:pStyle w:val="TabellenInhalt"/>
              <w:snapToGrid w:val="0"/>
              <w:rPr>
                <w:sz w:val="18"/>
                <w:szCs w:val="18"/>
              </w:rPr>
            </w:pPr>
          </w:p>
        </w:tc>
      </w:tr>
      <w:tr w:rsidR="00F15DEA" w14:paraId="1A6917D5" w14:textId="77777777" w:rsidTr="00F15DEA">
        <w:tc>
          <w:tcPr>
            <w:tcW w:w="2824" w:type="dxa"/>
            <w:tcBorders>
              <w:left w:val="single" w:sz="1" w:space="0" w:color="000000"/>
              <w:bottom w:val="single" w:sz="1" w:space="0" w:color="000000"/>
            </w:tcBorders>
            <w:shd w:val="clear" w:color="auto" w:fill="auto"/>
          </w:tcPr>
          <w:p w14:paraId="3485C67C" w14:textId="77777777" w:rsidR="00F15DEA" w:rsidRDefault="00F15DEA" w:rsidP="007F615F">
            <w:pPr>
              <w:rPr>
                <w:sz w:val="18"/>
                <w:szCs w:val="18"/>
              </w:rPr>
            </w:pPr>
            <w:r>
              <w:rPr>
                <w:i/>
                <w:sz w:val="18"/>
                <w:szCs w:val="18"/>
              </w:rPr>
              <w:t>Positive and negative symptoms</w:t>
            </w:r>
          </w:p>
        </w:tc>
        <w:tc>
          <w:tcPr>
            <w:tcW w:w="2340" w:type="dxa"/>
            <w:tcBorders>
              <w:left w:val="single" w:sz="1" w:space="0" w:color="000000"/>
              <w:bottom w:val="single" w:sz="1" w:space="0" w:color="000000"/>
            </w:tcBorders>
            <w:shd w:val="clear" w:color="auto" w:fill="auto"/>
          </w:tcPr>
          <w:p w14:paraId="0B1C4C8E"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57B19E54"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5413E5F0" w14:textId="77777777" w:rsidR="00F15DEA" w:rsidRDefault="00F15DEA" w:rsidP="007F615F">
            <w:pPr>
              <w:pStyle w:val="TabellenInhalt"/>
              <w:snapToGrid w:val="0"/>
              <w:rPr>
                <w:sz w:val="18"/>
                <w:szCs w:val="18"/>
              </w:rPr>
            </w:pPr>
          </w:p>
        </w:tc>
      </w:tr>
      <w:tr w:rsidR="00F15DEA" w14:paraId="62100742" w14:textId="77777777" w:rsidTr="00F15DEA">
        <w:tc>
          <w:tcPr>
            <w:tcW w:w="2824" w:type="dxa"/>
            <w:tcBorders>
              <w:left w:val="single" w:sz="1" w:space="0" w:color="000000"/>
              <w:bottom w:val="single" w:sz="1" w:space="0" w:color="000000"/>
            </w:tcBorders>
            <w:shd w:val="clear" w:color="auto" w:fill="auto"/>
          </w:tcPr>
          <w:p w14:paraId="4CC41295" w14:textId="77777777" w:rsidR="00F15DEA" w:rsidRDefault="00F15DEA" w:rsidP="007F615F">
            <w:pPr>
              <w:rPr>
                <w:sz w:val="18"/>
                <w:szCs w:val="18"/>
              </w:rPr>
            </w:pPr>
            <w:r>
              <w:rPr>
                <w:sz w:val="18"/>
                <w:szCs w:val="18"/>
              </w:rPr>
              <w:t>Arndt et al. (1995)</w:t>
            </w:r>
            <w:r w:rsidRPr="00A61DEF">
              <w:rPr>
                <w:sz w:val="18"/>
                <w:vertAlign w:val="superscript"/>
              </w:rPr>
              <w:t>7</w:t>
            </w:r>
          </w:p>
        </w:tc>
        <w:tc>
          <w:tcPr>
            <w:tcW w:w="2340" w:type="dxa"/>
            <w:tcBorders>
              <w:left w:val="single" w:sz="1" w:space="0" w:color="000000"/>
              <w:bottom w:val="single" w:sz="1" w:space="0" w:color="000000"/>
            </w:tcBorders>
            <w:shd w:val="clear" w:color="auto" w:fill="auto"/>
          </w:tcPr>
          <w:p w14:paraId="1909AD8E" w14:textId="77777777" w:rsidR="00F15DEA" w:rsidRDefault="00F15DEA" w:rsidP="007F615F">
            <w:pPr>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2353E8BE" w14:textId="77777777" w:rsidR="00F15DEA" w:rsidRDefault="00F15DEA" w:rsidP="007F615F">
            <w:pPr>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651497CA" w14:textId="77777777" w:rsidR="00F15DEA" w:rsidRDefault="00F15DEA" w:rsidP="007F615F">
            <w:pPr>
              <w:pStyle w:val="TabellenInhalt"/>
            </w:pPr>
            <w:r>
              <w:rPr>
                <w:sz w:val="18"/>
                <w:szCs w:val="18"/>
              </w:rPr>
              <w:t>-</w:t>
            </w:r>
          </w:p>
        </w:tc>
      </w:tr>
      <w:tr w:rsidR="00F15DEA" w14:paraId="2327F17F" w14:textId="77777777" w:rsidTr="00F15DEA">
        <w:tc>
          <w:tcPr>
            <w:tcW w:w="2824" w:type="dxa"/>
            <w:tcBorders>
              <w:left w:val="single" w:sz="1" w:space="0" w:color="000000"/>
              <w:bottom w:val="single" w:sz="1" w:space="0" w:color="000000"/>
            </w:tcBorders>
            <w:shd w:val="clear" w:color="auto" w:fill="auto"/>
          </w:tcPr>
          <w:p w14:paraId="1BF357E1" w14:textId="77777777" w:rsidR="00F15DEA" w:rsidRDefault="00F15DEA" w:rsidP="007F615F">
            <w:pPr>
              <w:rPr>
                <w:sz w:val="18"/>
                <w:szCs w:val="18"/>
              </w:rPr>
            </w:pPr>
            <w:r>
              <w:rPr>
                <w:sz w:val="18"/>
                <w:szCs w:val="18"/>
              </w:rPr>
              <w:t>Harvey et al. (1996)</w:t>
            </w:r>
            <w:r w:rsidRPr="00A61DEF">
              <w:rPr>
                <w:sz w:val="18"/>
                <w:vertAlign w:val="superscript"/>
              </w:rPr>
              <w:t>16</w:t>
            </w:r>
          </w:p>
        </w:tc>
        <w:tc>
          <w:tcPr>
            <w:tcW w:w="2340" w:type="dxa"/>
            <w:tcBorders>
              <w:left w:val="single" w:sz="1" w:space="0" w:color="000000"/>
              <w:bottom w:val="single" w:sz="1" w:space="0" w:color="000000"/>
            </w:tcBorders>
            <w:shd w:val="clear" w:color="auto" w:fill="auto"/>
          </w:tcPr>
          <w:p w14:paraId="617F119A"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62D329FE" w14:textId="77777777" w:rsidR="00F15DEA" w:rsidRDefault="00F15DEA" w:rsidP="007F615F">
            <w:pPr>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59FEE870" w14:textId="77777777" w:rsidR="00F15DEA" w:rsidRDefault="00F15DEA" w:rsidP="007F615F">
            <w:r>
              <w:rPr>
                <w:sz w:val="18"/>
                <w:szCs w:val="18"/>
              </w:rPr>
              <w:t>97% were receiving psychotropic medication</w:t>
            </w:r>
          </w:p>
        </w:tc>
      </w:tr>
      <w:tr w:rsidR="00F15DEA" w14:paraId="35738649" w14:textId="77777777" w:rsidTr="00F15DEA">
        <w:tc>
          <w:tcPr>
            <w:tcW w:w="2824" w:type="dxa"/>
            <w:tcBorders>
              <w:left w:val="single" w:sz="1" w:space="0" w:color="000000"/>
              <w:bottom w:val="single" w:sz="1" w:space="0" w:color="000000"/>
            </w:tcBorders>
            <w:shd w:val="clear" w:color="auto" w:fill="auto"/>
          </w:tcPr>
          <w:p w14:paraId="4E6862B0" w14:textId="77777777" w:rsidR="00F15DEA" w:rsidRDefault="00F15DEA" w:rsidP="007F615F">
            <w:pPr>
              <w:rPr>
                <w:sz w:val="18"/>
                <w:szCs w:val="18"/>
              </w:rPr>
            </w:pPr>
            <w:r>
              <w:rPr>
                <w:sz w:val="18"/>
                <w:szCs w:val="18"/>
              </w:rPr>
              <w:t>McGurk et al. (2000)</w:t>
            </w:r>
            <w:r w:rsidRPr="00A61DEF">
              <w:rPr>
                <w:sz w:val="18"/>
                <w:vertAlign w:val="superscript"/>
              </w:rPr>
              <w:t>17</w:t>
            </w:r>
          </w:p>
        </w:tc>
        <w:tc>
          <w:tcPr>
            <w:tcW w:w="2340" w:type="dxa"/>
            <w:tcBorders>
              <w:left w:val="single" w:sz="1" w:space="0" w:color="000000"/>
              <w:bottom w:val="single" w:sz="1" w:space="0" w:color="000000"/>
            </w:tcBorders>
            <w:shd w:val="clear" w:color="auto" w:fill="auto"/>
          </w:tcPr>
          <w:p w14:paraId="159ED3B4"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092C6B19" w14:textId="77777777" w:rsidR="00F15DEA" w:rsidRDefault="00F15DEA" w:rsidP="007F615F">
            <w:pPr>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0815553C" w14:textId="77777777" w:rsidR="00F15DEA" w:rsidRDefault="00F15DEA" w:rsidP="007F615F">
            <w:pPr>
              <w:pStyle w:val="TabellenInhalt"/>
            </w:pPr>
            <w:r>
              <w:rPr>
                <w:sz w:val="18"/>
                <w:szCs w:val="18"/>
              </w:rPr>
              <w:t>-</w:t>
            </w:r>
          </w:p>
        </w:tc>
      </w:tr>
      <w:tr w:rsidR="00F15DEA" w14:paraId="2A6FF6DB" w14:textId="77777777" w:rsidTr="00F15DEA">
        <w:tc>
          <w:tcPr>
            <w:tcW w:w="2824" w:type="dxa"/>
            <w:tcBorders>
              <w:left w:val="single" w:sz="1" w:space="0" w:color="000000"/>
              <w:bottom w:val="single" w:sz="1" w:space="0" w:color="000000"/>
            </w:tcBorders>
            <w:shd w:val="clear" w:color="auto" w:fill="auto"/>
          </w:tcPr>
          <w:p w14:paraId="2BF36DCC" w14:textId="77777777" w:rsidR="00F15DEA" w:rsidRDefault="00F15DEA" w:rsidP="007F615F">
            <w:pPr>
              <w:rPr>
                <w:sz w:val="18"/>
                <w:szCs w:val="18"/>
              </w:rPr>
            </w:pPr>
            <w:r>
              <w:rPr>
                <w:sz w:val="18"/>
                <w:szCs w:val="18"/>
              </w:rPr>
              <w:t>Möller et al. (2010)</w:t>
            </w:r>
            <w:r w:rsidRPr="00A61DEF">
              <w:rPr>
                <w:sz w:val="18"/>
                <w:vertAlign w:val="superscript"/>
              </w:rPr>
              <w:t>13</w:t>
            </w:r>
          </w:p>
        </w:tc>
        <w:tc>
          <w:tcPr>
            <w:tcW w:w="2340" w:type="dxa"/>
            <w:tcBorders>
              <w:left w:val="single" w:sz="1" w:space="0" w:color="000000"/>
              <w:bottom w:val="single" w:sz="1" w:space="0" w:color="000000"/>
            </w:tcBorders>
            <w:shd w:val="clear" w:color="auto" w:fill="auto"/>
          </w:tcPr>
          <w:p w14:paraId="34C7E554" w14:textId="77777777" w:rsidR="00F15DEA" w:rsidRDefault="00F15DEA" w:rsidP="007F615F">
            <w:pPr>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73B5A686" w14:textId="77777777" w:rsidR="00F15DEA" w:rsidRDefault="00F15DEA" w:rsidP="007F615F">
            <w:pPr>
              <w:rPr>
                <w:sz w:val="18"/>
                <w:szCs w:val="18"/>
              </w:rPr>
            </w:pPr>
            <w:r>
              <w:rPr>
                <w:sz w:val="18"/>
                <w:szCs w:val="18"/>
              </w:rPr>
              <w:t>Typical</w:t>
            </w:r>
          </w:p>
        </w:tc>
        <w:tc>
          <w:tcPr>
            <w:tcW w:w="2520" w:type="dxa"/>
            <w:tcBorders>
              <w:left w:val="single" w:sz="1" w:space="0" w:color="000000"/>
              <w:bottom w:val="single" w:sz="1" w:space="0" w:color="000000"/>
              <w:right w:val="single" w:sz="1" w:space="0" w:color="000000"/>
            </w:tcBorders>
            <w:shd w:val="clear" w:color="auto" w:fill="auto"/>
          </w:tcPr>
          <w:p w14:paraId="1AC248CF" w14:textId="77777777" w:rsidR="00F15DEA" w:rsidRDefault="00F15DEA" w:rsidP="007F615F">
            <w:pPr>
              <w:pStyle w:val="TabellenInhalt"/>
            </w:pPr>
            <w:r>
              <w:rPr>
                <w:sz w:val="18"/>
                <w:szCs w:val="18"/>
              </w:rPr>
              <w:t>-</w:t>
            </w:r>
          </w:p>
        </w:tc>
      </w:tr>
      <w:tr w:rsidR="00F15DEA" w14:paraId="28C15D79" w14:textId="77777777" w:rsidTr="00F15DEA">
        <w:tc>
          <w:tcPr>
            <w:tcW w:w="2824" w:type="dxa"/>
            <w:tcBorders>
              <w:left w:val="single" w:sz="1" w:space="0" w:color="000000"/>
              <w:bottom w:val="single" w:sz="1" w:space="0" w:color="000000"/>
            </w:tcBorders>
            <w:shd w:val="clear" w:color="auto" w:fill="auto"/>
          </w:tcPr>
          <w:p w14:paraId="245DF83E" w14:textId="77777777" w:rsidR="00F15DEA" w:rsidRDefault="00F15DEA" w:rsidP="007F615F">
            <w:pPr>
              <w:rPr>
                <w:sz w:val="18"/>
                <w:szCs w:val="18"/>
              </w:rPr>
            </w:pPr>
            <w:r>
              <w:rPr>
                <w:sz w:val="18"/>
                <w:szCs w:val="18"/>
              </w:rPr>
              <w:t>Rosen et al. (2011)</w:t>
            </w:r>
            <w:r w:rsidRPr="00A61DEF">
              <w:rPr>
                <w:sz w:val="18"/>
                <w:vertAlign w:val="superscript"/>
              </w:rPr>
              <w:t>14</w:t>
            </w:r>
          </w:p>
        </w:tc>
        <w:tc>
          <w:tcPr>
            <w:tcW w:w="2340" w:type="dxa"/>
            <w:tcBorders>
              <w:left w:val="single" w:sz="1" w:space="0" w:color="000000"/>
              <w:bottom w:val="single" w:sz="1" w:space="0" w:color="000000"/>
            </w:tcBorders>
            <w:shd w:val="clear" w:color="auto" w:fill="auto"/>
          </w:tcPr>
          <w:p w14:paraId="44091D58" w14:textId="77777777" w:rsidR="00F15DEA" w:rsidRDefault="00F15DEA" w:rsidP="007F615F">
            <w:pPr>
              <w:rPr>
                <w:sz w:val="18"/>
                <w:szCs w:val="18"/>
              </w:rPr>
            </w:pPr>
            <w:r>
              <w:rPr>
                <w:sz w:val="18"/>
                <w:szCs w:val="18"/>
              </w:rPr>
              <w:t>65%</w:t>
            </w:r>
          </w:p>
        </w:tc>
        <w:tc>
          <w:tcPr>
            <w:tcW w:w="2070" w:type="dxa"/>
            <w:tcBorders>
              <w:left w:val="single" w:sz="1" w:space="0" w:color="000000"/>
              <w:bottom w:val="single" w:sz="1" w:space="0" w:color="000000"/>
            </w:tcBorders>
            <w:shd w:val="clear" w:color="auto" w:fill="auto"/>
          </w:tcPr>
          <w:p w14:paraId="2CB78300" w14:textId="77777777" w:rsidR="00F15DEA" w:rsidRDefault="00F15DEA" w:rsidP="007F615F">
            <w:pPr>
              <w:rPr>
                <w:sz w:val="18"/>
                <w:szCs w:val="18"/>
              </w:rPr>
            </w:pPr>
            <w:r>
              <w:rPr>
                <w:sz w:val="18"/>
                <w:szCs w:val="18"/>
              </w:rPr>
              <w:t xml:space="preserve">? </w:t>
            </w:r>
          </w:p>
        </w:tc>
        <w:tc>
          <w:tcPr>
            <w:tcW w:w="2520" w:type="dxa"/>
            <w:tcBorders>
              <w:left w:val="single" w:sz="1" w:space="0" w:color="000000"/>
              <w:bottom w:val="single" w:sz="1" w:space="0" w:color="000000"/>
              <w:right w:val="single" w:sz="1" w:space="0" w:color="000000"/>
            </w:tcBorders>
            <w:shd w:val="clear" w:color="auto" w:fill="auto"/>
          </w:tcPr>
          <w:p w14:paraId="17295C29" w14:textId="77777777" w:rsidR="00F15DEA" w:rsidRDefault="00F15DEA" w:rsidP="007F615F">
            <w:r>
              <w:rPr>
                <w:sz w:val="18"/>
                <w:szCs w:val="18"/>
              </w:rPr>
              <w:t>Numbers refer to the 20-year follow-up</w:t>
            </w:r>
          </w:p>
        </w:tc>
      </w:tr>
      <w:tr w:rsidR="00F15DEA" w14:paraId="5BE1929C" w14:textId="77777777" w:rsidTr="00F15DEA">
        <w:tc>
          <w:tcPr>
            <w:tcW w:w="2824" w:type="dxa"/>
            <w:tcBorders>
              <w:left w:val="single" w:sz="1" w:space="0" w:color="000000"/>
              <w:bottom w:val="single" w:sz="1" w:space="0" w:color="000000"/>
            </w:tcBorders>
            <w:shd w:val="clear" w:color="auto" w:fill="auto"/>
          </w:tcPr>
          <w:p w14:paraId="1D2BB6DD" w14:textId="77777777" w:rsidR="00F15DEA" w:rsidRDefault="00F15DEA" w:rsidP="007F615F">
            <w:pPr>
              <w:rPr>
                <w:sz w:val="18"/>
                <w:szCs w:val="18"/>
              </w:rPr>
            </w:pPr>
            <w:r>
              <w:rPr>
                <w:sz w:val="18"/>
                <w:szCs w:val="18"/>
              </w:rPr>
              <w:t>Gohari et al. (2012)</w:t>
            </w:r>
            <w:r w:rsidRPr="00A61DEF">
              <w:rPr>
                <w:sz w:val="18"/>
                <w:vertAlign w:val="superscript"/>
              </w:rPr>
              <w:t>15</w:t>
            </w:r>
          </w:p>
        </w:tc>
        <w:tc>
          <w:tcPr>
            <w:tcW w:w="2340" w:type="dxa"/>
            <w:tcBorders>
              <w:left w:val="single" w:sz="1" w:space="0" w:color="000000"/>
              <w:bottom w:val="single" w:sz="1" w:space="0" w:color="000000"/>
            </w:tcBorders>
            <w:shd w:val="clear" w:color="auto" w:fill="auto"/>
          </w:tcPr>
          <w:p w14:paraId="3112EFD6" w14:textId="77777777" w:rsidR="00F15DEA" w:rsidRDefault="00F15DEA" w:rsidP="007F615F">
            <w:pPr>
              <w:rPr>
                <w:sz w:val="18"/>
                <w:szCs w:val="18"/>
              </w:rPr>
            </w:pPr>
            <w:r>
              <w:rPr>
                <w:sz w:val="18"/>
                <w:szCs w:val="18"/>
              </w:rPr>
              <w:t>64%</w:t>
            </w:r>
          </w:p>
        </w:tc>
        <w:tc>
          <w:tcPr>
            <w:tcW w:w="2070" w:type="dxa"/>
            <w:tcBorders>
              <w:left w:val="single" w:sz="1" w:space="0" w:color="000000"/>
              <w:bottom w:val="single" w:sz="1" w:space="0" w:color="000000"/>
            </w:tcBorders>
            <w:shd w:val="clear" w:color="auto" w:fill="auto"/>
          </w:tcPr>
          <w:p w14:paraId="3E87BD62" w14:textId="77777777" w:rsidR="00F15DEA" w:rsidRDefault="00F15DEA" w:rsidP="007F615F">
            <w:pPr>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78792DDE" w14:textId="77777777" w:rsidR="00F15DEA" w:rsidRDefault="00F15DEA" w:rsidP="007F615F">
            <w:r>
              <w:rPr>
                <w:sz w:val="18"/>
                <w:szCs w:val="18"/>
              </w:rPr>
              <w:t>Numbers refer to the 2-year follow-up</w:t>
            </w:r>
          </w:p>
        </w:tc>
      </w:tr>
      <w:tr w:rsidR="00F15DEA" w14:paraId="5C0BB319" w14:textId="77777777" w:rsidTr="00F15DEA">
        <w:tc>
          <w:tcPr>
            <w:tcW w:w="2824" w:type="dxa"/>
            <w:tcBorders>
              <w:left w:val="single" w:sz="1" w:space="0" w:color="000000"/>
              <w:bottom w:val="single" w:sz="1" w:space="0" w:color="000000"/>
            </w:tcBorders>
            <w:shd w:val="clear" w:color="auto" w:fill="auto"/>
          </w:tcPr>
          <w:p w14:paraId="77C25956" w14:textId="77777777" w:rsidR="00F15DEA" w:rsidRDefault="00F15DEA" w:rsidP="007F615F">
            <w:pPr>
              <w:pStyle w:val="TabellenInhalt"/>
              <w:snapToGrid w:val="0"/>
              <w:rPr>
                <w:sz w:val="18"/>
                <w:szCs w:val="18"/>
              </w:rPr>
            </w:pPr>
          </w:p>
        </w:tc>
        <w:tc>
          <w:tcPr>
            <w:tcW w:w="2340" w:type="dxa"/>
            <w:tcBorders>
              <w:left w:val="single" w:sz="1" w:space="0" w:color="000000"/>
              <w:bottom w:val="single" w:sz="1" w:space="0" w:color="000000"/>
            </w:tcBorders>
            <w:shd w:val="clear" w:color="auto" w:fill="auto"/>
          </w:tcPr>
          <w:p w14:paraId="75EA434E"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37250C56"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2357029B" w14:textId="77777777" w:rsidR="00F15DEA" w:rsidRDefault="00F15DEA" w:rsidP="007F615F">
            <w:pPr>
              <w:pStyle w:val="TabellenInhalt"/>
              <w:snapToGrid w:val="0"/>
              <w:rPr>
                <w:sz w:val="18"/>
                <w:szCs w:val="18"/>
              </w:rPr>
            </w:pPr>
          </w:p>
        </w:tc>
      </w:tr>
      <w:tr w:rsidR="00F15DEA" w14:paraId="6B4D5CF5" w14:textId="77777777" w:rsidTr="00F15DEA">
        <w:tc>
          <w:tcPr>
            <w:tcW w:w="2824" w:type="dxa"/>
            <w:tcBorders>
              <w:left w:val="single" w:sz="1" w:space="0" w:color="000000"/>
              <w:bottom w:val="single" w:sz="1" w:space="0" w:color="000000"/>
            </w:tcBorders>
            <w:shd w:val="clear" w:color="auto" w:fill="auto"/>
          </w:tcPr>
          <w:p w14:paraId="47E2A82A" w14:textId="77777777" w:rsidR="00F15DEA" w:rsidRDefault="00F15DEA" w:rsidP="007F615F">
            <w:pPr>
              <w:rPr>
                <w:sz w:val="18"/>
                <w:szCs w:val="18"/>
              </w:rPr>
            </w:pPr>
            <w:r>
              <w:rPr>
                <w:i/>
                <w:sz w:val="18"/>
                <w:szCs w:val="18"/>
              </w:rPr>
              <w:t>Cognition</w:t>
            </w:r>
          </w:p>
        </w:tc>
        <w:tc>
          <w:tcPr>
            <w:tcW w:w="2340" w:type="dxa"/>
            <w:tcBorders>
              <w:left w:val="single" w:sz="1" w:space="0" w:color="000000"/>
              <w:bottom w:val="single" w:sz="1" w:space="0" w:color="000000"/>
            </w:tcBorders>
            <w:shd w:val="clear" w:color="auto" w:fill="auto"/>
          </w:tcPr>
          <w:p w14:paraId="5D5A242E"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662AD924"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14D93184" w14:textId="77777777" w:rsidR="00F15DEA" w:rsidRDefault="00F15DEA" w:rsidP="007F615F">
            <w:pPr>
              <w:pStyle w:val="TabellenInhalt"/>
              <w:snapToGrid w:val="0"/>
              <w:rPr>
                <w:sz w:val="18"/>
                <w:szCs w:val="18"/>
              </w:rPr>
            </w:pPr>
          </w:p>
        </w:tc>
      </w:tr>
      <w:tr w:rsidR="00F15DEA" w14:paraId="1B506735" w14:textId="77777777" w:rsidTr="00F15DEA">
        <w:tc>
          <w:tcPr>
            <w:tcW w:w="2824" w:type="dxa"/>
            <w:tcBorders>
              <w:left w:val="single" w:sz="1" w:space="0" w:color="000000"/>
              <w:bottom w:val="single" w:sz="1" w:space="0" w:color="000000"/>
            </w:tcBorders>
            <w:shd w:val="clear" w:color="auto" w:fill="auto"/>
          </w:tcPr>
          <w:p w14:paraId="11F41233" w14:textId="77777777" w:rsidR="00F15DEA" w:rsidRDefault="00F15DEA" w:rsidP="007F615F">
            <w:pPr>
              <w:rPr>
                <w:sz w:val="18"/>
                <w:szCs w:val="18"/>
              </w:rPr>
            </w:pPr>
            <w:r>
              <w:rPr>
                <w:sz w:val="18"/>
                <w:szCs w:val="18"/>
              </w:rPr>
              <w:t>Rund et al. (1989)</w:t>
            </w:r>
            <w:r w:rsidRPr="00A61DEF">
              <w:rPr>
                <w:sz w:val="18"/>
                <w:vertAlign w:val="superscript"/>
              </w:rPr>
              <w:t>22</w:t>
            </w:r>
            <w:r>
              <w:rPr>
                <w:sz w:val="18"/>
                <w:szCs w:val="18"/>
              </w:rPr>
              <w:t xml:space="preserve"> </w:t>
            </w:r>
          </w:p>
        </w:tc>
        <w:tc>
          <w:tcPr>
            <w:tcW w:w="2340" w:type="dxa"/>
            <w:tcBorders>
              <w:left w:val="single" w:sz="1" w:space="0" w:color="000000"/>
              <w:bottom w:val="single" w:sz="1" w:space="0" w:color="000000"/>
            </w:tcBorders>
            <w:shd w:val="clear" w:color="auto" w:fill="auto"/>
          </w:tcPr>
          <w:p w14:paraId="5B6AF748" w14:textId="77777777" w:rsidR="00F15DEA" w:rsidRDefault="00F15DEA" w:rsidP="007F615F">
            <w:pPr>
              <w:rPr>
                <w:sz w:val="18"/>
                <w:szCs w:val="18"/>
              </w:rPr>
            </w:pPr>
            <w:r>
              <w:rPr>
                <w:sz w:val="18"/>
                <w:szCs w:val="18"/>
              </w:rPr>
              <w:t>71%</w:t>
            </w:r>
          </w:p>
        </w:tc>
        <w:tc>
          <w:tcPr>
            <w:tcW w:w="2070" w:type="dxa"/>
            <w:tcBorders>
              <w:left w:val="single" w:sz="1" w:space="0" w:color="000000"/>
              <w:bottom w:val="single" w:sz="1" w:space="0" w:color="000000"/>
            </w:tcBorders>
            <w:shd w:val="clear" w:color="auto" w:fill="auto"/>
          </w:tcPr>
          <w:p w14:paraId="319D6D4F" w14:textId="77777777" w:rsidR="00F15DEA" w:rsidRDefault="00F15DEA" w:rsidP="007F615F">
            <w:pPr>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7F77359B" w14:textId="77777777" w:rsidR="00F15DEA" w:rsidRDefault="00F15DEA" w:rsidP="007F615F">
            <w:pPr>
              <w:pStyle w:val="TabellenInhalt"/>
            </w:pPr>
            <w:r>
              <w:rPr>
                <w:sz w:val="18"/>
                <w:szCs w:val="18"/>
              </w:rPr>
              <w:t>-</w:t>
            </w:r>
          </w:p>
        </w:tc>
      </w:tr>
      <w:tr w:rsidR="00F15DEA" w14:paraId="2FE8816B" w14:textId="77777777" w:rsidTr="00F15DEA">
        <w:tc>
          <w:tcPr>
            <w:tcW w:w="2824" w:type="dxa"/>
            <w:tcBorders>
              <w:left w:val="single" w:sz="1" w:space="0" w:color="000000"/>
              <w:bottom w:val="single" w:sz="1" w:space="0" w:color="000000"/>
            </w:tcBorders>
            <w:shd w:val="clear" w:color="auto" w:fill="auto"/>
          </w:tcPr>
          <w:p w14:paraId="7694254E" w14:textId="77777777" w:rsidR="00F15DEA" w:rsidRDefault="00F15DEA" w:rsidP="007F615F">
            <w:pPr>
              <w:rPr>
                <w:sz w:val="18"/>
                <w:szCs w:val="18"/>
              </w:rPr>
            </w:pPr>
            <w:r>
              <w:rPr>
                <w:sz w:val="18"/>
                <w:szCs w:val="18"/>
              </w:rPr>
              <w:t>Friedman et al. (2001)</w:t>
            </w:r>
            <w:r w:rsidRPr="00A61DEF">
              <w:rPr>
                <w:sz w:val="18"/>
                <w:vertAlign w:val="superscript"/>
              </w:rPr>
              <w:t>23</w:t>
            </w:r>
            <w:r>
              <w:rPr>
                <w:sz w:val="18"/>
                <w:szCs w:val="18"/>
              </w:rPr>
              <w:t xml:space="preserve"> </w:t>
            </w:r>
          </w:p>
        </w:tc>
        <w:tc>
          <w:tcPr>
            <w:tcW w:w="2340" w:type="dxa"/>
            <w:tcBorders>
              <w:left w:val="single" w:sz="1" w:space="0" w:color="000000"/>
              <w:bottom w:val="single" w:sz="1" w:space="0" w:color="000000"/>
            </w:tcBorders>
            <w:shd w:val="clear" w:color="auto" w:fill="auto"/>
          </w:tcPr>
          <w:p w14:paraId="2C68255C"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326E165C"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445C9C64" w14:textId="77777777" w:rsidR="00F15DEA" w:rsidRDefault="00F15DEA" w:rsidP="007F615F">
            <w:pPr>
              <w:pStyle w:val="TabellenInhalt"/>
            </w:pPr>
            <w:r>
              <w:rPr>
                <w:sz w:val="18"/>
                <w:szCs w:val="18"/>
              </w:rPr>
              <w:t>-</w:t>
            </w:r>
          </w:p>
        </w:tc>
      </w:tr>
      <w:tr w:rsidR="00F15DEA" w14:paraId="076F6DC1" w14:textId="77777777" w:rsidTr="00F15DEA">
        <w:tc>
          <w:tcPr>
            <w:tcW w:w="2824" w:type="dxa"/>
            <w:tcBorders>
              <w:left w:val="single" w:sz="1" w:space="0" w:color="000000"/>
              <w:bottom w:val="single" w:sz="1" w:space="0" w:color="000000"/>
            </w:tcBorders>
            <w:shd w:val="clear" w:color="auto" w:fill="auto"/>
          </w:tcPr>
          <w:p w14:paraId="05B9BE97" w14:textId="77777777" w:rsidR="00F15DEA" w:rsidRDefault="00F15DEA" w:rsidP="007F615F">
            <w:pPr>
              <w:rPr>
                <w:sz w:val="18"/>
                <w:szCs w:val="18"/>
              </w:rPr>
            </w:pPr>
            <w:r>
              <w:rPr>
                <w:sz w:val="18"/>
                <w:szCs w:val="18"/>
              </w:rPr>
              <w:t>Heaton et al. (2001)</w:t>
            </w:r>
            <w:r w:rsidRPr="00A61DEF">
              <w:rPr>
                <w:sz w:val="18"/>
                <w:vertAlign w:val="superscript"/>
              </w:rPr>
              <w:t>24</w:t>
            </w:r>
          </w:p>
        </w:tc>
        <w:tc>
          <w:tcPr>
            <w:tcW w:w="2340" w:type="dxa"/>
            <w:tcBorders>
              <w:left w:val="single" w:sz="1" w:space="0" w:color="000000"/>
              <w:bottom w:val="single" w:sz="1" w:space="0" w:color="000000"/>
            </w:tcBorders>
            <w:shd w:val="clear" w:color="auto" w:fill="auto"/>
          </w:tcPr>
          <w:p w14:paraId="41D15CBB" w14:textId="77777777" w:rsidR="00F15DEA" w:rsidRDefault="00F15DEA" w:rsidP="007F615F">
            <w:pPr>
              <w:pStyle w:val="TabellenInhalt"/>
              <w:rPr>
                <w:sz w:val="18"/>
                <w:szCs w:val="18"/>
              </w:rPr>
            </w:pPr>
            <w:r>
              <w:rPr>
                <w:sz w:val="18"/>
                <w:szCs w:val="18"/>
              </w:rPr>
              <w:t>71%</w:t>
            </w:r>
          </w:p>
        </w:tc>
        <w:tc>
          <w:tcPr>
            <w:tcW w:w="2070" w:type="dxa"/>
            <w:tcBorders>
              <w:left w:val="single" w:sz="1" w:space="0" w:color="000000"/>
              <w:bottom w:val="single" w:sz="1" w:space="0" w:color="000000"/>
            </w:tcBorders>
            <w:shd w:val="clear" w:color="auto" w:fill="auto"/>
          </w:tcPr>
          <w:p w14:paraId="17DF3C6A" w14:textId="77777777" w:rsidR="00F15DEA" w:rsidRDefault="00F15DEA" w:rsidP="007F615F">
            <w:pPr>
              <w:rPr>
                <w:sz w:val="18"/>
                <w:szCs w:val="18"/>
              </w:rPr>
            </w:pPr>
            <w:r>
              <w:rPr>
                <w:sz w:val="18"/>
                <w:szCs w:val="18"/>
              </w:rPr>
              <w:t>Typical</w:t>
            </w:r>
          </w:p>
        </w:tc>
        <w:tc>
          <w:tcPr>
            <w:tcW w:w="2520" w:type="dxa"/>
            <w:tcBorders>
              <w:left w:val="single" w:sz="1" w:space="0" w:color="000000"/>
              <w:bottom w:val="single" w:sz="1" w:space="0" w:color="000000"/>
              <w:right w:val="single" w:sz="1" w:space="0" w:color="000000"/>
            </w:tcBorders>
            <w:shd w:val="clear" w:color="auto" w:fill="auto"/>
          </w:tcPr>
          <w:p w14:paraId="6A1D771C" w14:textId="77777777" w:rsidR="00F15DEA" w:rsidRDefault="00F15DEA" w:rsidP="007F615F">
            <w:pPr>
              <w:pStyle w:val="TabellenInhalt"/>
            </w:pPr>
            <w:r>
              <w:rPr>
                <w:sz w:val="18"/>
                <w:szCs w:val="18"/>
              </w:rPr>
              <w:t>-</w:t>
            </w:r>
          </w:p>
        </w:tc>
      </w:tr>
      <w:tr w:rsidR="00F15DEA" w14:paraId="3516056A" w14:textId="77777777" w:rsidTr="00F15DEA">
        <w:tc>
          <w:tcPr>
            <w:tcW w:w="2824" w:type="dxa"/>
            <w:tcBorders>
              <w:left w:val="single" w:sz="1" w:space="0" w:color="000000"/>
              <w:bottom w:val="single" w:sz="1" w:space="0" w:color="000000"/>
            </w:tcBorders>
            <w:shd w:val="clear" w:color="auto" w:fill="auto"/>
          </w:tcPr>
          <w:p w14:paraId="58D22CE6" w14:textId="77777777" w:rsidR="00F15DEA" w:rsidRDefault="00F15DEA" w:rsidP="007F615F">
            <w:pPr>
              <w:rPr>
                <w:sz w:val="18"/>
                <w:szCs w:val="18"/>
              </w:rPr>
            </w:pPr>
            <w:r>
              <w:rPr>
                <w:sz w:val="18"/>
                <w:szCs w:val="18"/>
              </w:rPr>
              <w:t>Albus et al. (2002)</w:t>
            </w:r>
            <w:r w:rsidRPr="00A61DEF">
              <w:rPr>
                <w:sz w:val="18"/>
                <w:vertAlign w:val="superscript"/>
              </w:rPr>
              <w:t>25</w:t>
            </w:r>
            <w:r>
              <w:rPr>
                <w:sz w:val="18"/>
                <w:szCs w:val="18"/>
              </w:rPr>
              <w:t xml:space="preserve"> </w:t>
            </w:r>
          </w:p>
        </w:tc>
        <w:tc>
          <w:tcPr>
            <w:tcW w:w="2340" w:type="dxa"/>
            <w:tcBorders>
              <w:left w:val="single" w:sz="1" w:space="0" w:color="000000"/>
              <w:bottom w:val="single" w:sz="1" w:space="0" w:color="000000"/>
            </w:tcBorders>
            <w:shd w:val="clear" w:color="auto" w:fill="auto"/>
          </w:tcPr>
          <w:p w14:paraId="12115EB5"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3F6AEF7D" w14:textId="77777777" w:rsidR="00F15DEA" w:rsidRDefault="00F15DEA" w:rsidP="007F615F">
            <w:pPr>
              <w:rPr>
                <w:sz w:val="18"/>
                <w:szCs w:val="18"/>
              </w:rPr>
            </w:pPr>
            <w:r>
              <w:rPr>
                <w:sz w:val="18"/>
                <w:szCs w:val="18"/>
              </w:rPr>
              <w:t>Typial</w:t>
            </w:r>
          </w:p>
        </w:tc>
        <w:tc>
          <w:tcPr>
            <w:tcW w:w="2520" w:type="dxa"/>
            <w:tcBorders>
              <w:left w:val="single" w:sz="1" w:space="0" w:color="000000"/>
              <w:bottom w:val="single" w:sz="1" w:space="0" w:color="000000"/>
              <w:right w:val="single" w:sz="1" w:space="0" w:color="000000"/>
            </w:tcBorders>
            <w:shd w:val="clear" w:color="auto" w:fill="auto"/>
          </w:tcPr>
          <w:p w14:paraId="04726EEC" w14:textId="77777777" w:rsidR="00F15DEA" w:rsidRDefault="00F15DEA" w:rsidP="007F615F">
            <w:pPr>
              <w:pStyle w:val="TabellenInhalt"/>
            </w:pPr>
            <w:r>
              <w:rPr>
                <w:sz w:val="18"/>
                <w:szCs w:val="18"/>
              </w:rPr>
              <w:t>-</w:t>
            </w:r>
          </w:p>
        </w:tc>
      </w:tr>
      <w:tr w:rsidR="00F15DEA" w14:paraId="032A043F" w14:textId="77777777" w:rsidTr="00F15DEA">
        <w:tc>
          <w:tcPr>
            <w:tcW w:w="2824" w:type="dxa"/>
            <w:tcBorders>
              <w:left w:val="single" w:sz="1" w:space="0" w:color="000000"/>
              <w:bottom w:val="single" w:sz="1" w:space="0" w:color="000000"/>
            </w:tcBorders>
            <w:shd w:val="clear" w:color="auto" w:fill="auto"/>
          </w:tcPr>
          <w:p w14:paraId="28DA7765" w14:textId="77777777" w:rsidR="00F15DEA" w:rsidRDefault="00F15DEA" w:rsidP="007F615F">
            <w:pPr>
              <w:rPr>
                <w:sz w:val="18"/>
                <w:szCs w:val="18"/>
              </w:rPr>
            </w:pPr>
            <w:r>
              <w:rPr>
                <w:sz w:val="18"/>
                <w:szCs w:val="18"/>
              </w:rPr>
              <w:t>Brodaty et al. (2003)</w:t>
            </w:r>
            <w:r w:rsidRPr="00A61DEF">
              <w:rPr>
                <w:sz w:val="18"/>
                <w:vertAlign w:val="superscript"/>
              </w:rPr>
              <w:t>26</w:t>
            </w:r>
          </w:p>
        </w:tc>
        <w:tc>
          <w:tcPr>
            <w:tcW w:w="2340" w:type="dxa"/>
            <w:tcBorders>
              <w:left w:val="single" w:sz="1" w:space="0" w:color="000000"/>
              <w:bottom w:val="single" w:sz="1" w:space="0" w:color="000000"/>
            </w:tcBorders>
            <w:shd w:val="clear" w:color="auto" w:fill="auto"/>
          </w:tcPr>
          <w:p w14:paraId="602326E5"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3F980ACA"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46E2BAEE" w14:textId="77777777" w:rsidR="00F15DEA" w:rsidRDefault="00F15DEA" w:rsidP="007F615F">
            <w:r>
              <w:rPr>
                <w:sz w:val="18"/>
                <w:szCs w:val="18"/>
              </w:rPr>
              <w:t>No difference in antipsychotic use between patients with and without dementia</w:t>
            </w:r>
          </w:p>
        </w:tc>
      </w:tr>
      <w:tr w:rsidR="00F15DEA" w14:paraId="6D7B9029" w14:textId="77777777" w:rsidTr="00F15DEA">
        <w:tc>
          <w:tcPr>
            <w:tcW w:w="2824" w:type="dxa"/>
            <w:tcBorders>
              <w:left w:val="single" w:sz="1" w:space="0" w:color="000000"/>
              <w:bottom w:val="single" w:sz="1" w:space="0" w:color="000000"/>
            </w:tcBorders>
            <w:shd w:val="clear" w:color="auto" w:fill="auto"/>
          </w:tcPr>
          <w:p w14:paraId="7DF198CF" w14:textId="77777777" w:rsidR="00F15DEA" w:rsidRDefault="00F15DEA" w:rsidP="007F615F">
            <w:pPr>
              <w:rPr>
                <w:sz w:val="18"/>
                <w:szCs w:val="18"/>
              </w:rPr>
            </w:pPr>
            <w:r>
              <w:rPr>
                <w:sz w:val="18"/>
                <w:szCs w:val="18"/>
              </w:rPr>
              <w:t>Burdick et al. (2006)</w:t>
            </w:r>
            <w:r w:rsidRPr="00A61DEF">
              <w:rPr>
                <w:sz w:val="18"/>
                <w:vertAlign w:val="superscript"/>
              </w:rPr>
              <w:t>27</w:t>
            </w:r>
            <w:r>
              <w:rPr>
                <w:sz w:val="18"/>
                <w:szCs w:val="18"/>
              </w:rPr>
              <w:t xml:space="preserve"> </w:t>
            </w:r>
          </w:p>
        </w:tc>
        <w:tc>
          <w:tcPr>
            <w:tcW w:w="2340" w:type="dxa"/>
            <w:tcBorders>
              <w:left w:val="single" w:sz="1" w:space="0" w:color="000000"/>
              <w:bottom w:val="single" w:sz="1" w:space="0" w:color="000000"/>
            </w:tcBorders>
            <w:shd w:val="clear" w:color="auto" w:fill="auto"/>
          </w:tcPr>
          <w:p w14:paraId="388038AF"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2A0B6951"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12D416CE" w14:textId="77777777" w:rsidR="00F15DEA" w:rsidRDefault="00F15DEA" w:rsidP="007F615F">
            <w:r>
              <w:rPr>
                <w:sz w:val="18"/>
                <w:szCs w:val="18"/>
              </w:rPr>
              <w:t>Medication status the same at the two measuring points</w:t>
            </w:r>
          </w:p>
        </w:tc>
      </w:tr>
      <w:tr w:rsidR="00F15DEA" w14:paraId="4C4EC941" w14:textId="77777777" w:rsidTr="00F15DEA">
        <w:tc>
          <w:tcPr>
            <w:tcW w:w="2824" w:type="dxa"/>
            <w:tcBorders>
              <w:left w:val="single" w:sz="1" w:space="0" w:color="000000"/>
              <w:bottom w:val="single" w:sz="1" w:space="0" w:color="000000"/>
            </w:tcBorders>
            <w:shd w:val="clear" w:color="auto" w:fill="auto"/>
          </w:tcPr>
          <w:p w14:paraId="38565EFE" w14:textId="77777777" w:rsidR="00F15DEA" w:rsidRDefault="00F15DEA" w:rsidP="007F615F">
            <w:pPr>
              <w:rPr>
                <w:sz w:val="18"/>
                <w:szCs w:val="18"/>
              </w:rPr>
            </w:pPr>
            <w:r>
              <w:rPr>
                <w:sz w:val="18"/>
                <w:szCs w:val="18"/>
              </w:rPr>
              <w:t>Bonner-Jackson et al. (2010)</w:t>
            </w:r>
            <w:r w:rsidRPr="00A61DEF">
              <w:rPr>
                <w:sz w:val="18"/>
                <w:vertAlign w:val="superscript"/>
              </w:rPr>
              <w:t>28</w:t>
            </w:r>
            <w:r>
              <w:rPr>
                <w:sz w:val="18"/>
                <w:szCs w:val="18"/>
              </w:rPr>
              <w:t xml:space="preserve"> </w:t>
            </w:r>
          </w:p>
        </w:tc>
        <w:tc>
          <w:tcPr>
            <w:tcW w:w="2340" w:type="dxa"/>
            <w:tcBorders>
              <w:left w:val="single" w:sz="1" w:space="0" w:color="000000"/>
              <w:bottom w:val="single" w:sz="1" w:space="0" w:color="000000"/>
            </w:tcBorders>
            <w:shd w:val="clear" w:color="auto" w:fill="auto"/>
          </w:tcPr>
          <w:p w14:paraId="648717E7" w14:textId="77777777" w:rsidR="00F15DEA" w:rsidRDefault="00F15DEA" w:rsidP="007F615F">
            <w:pPr>
              <w:pStyle w:val="TabellenInhalt"/>
              <w:rPr>
                <w:sz w:val="18"/>
                <w:szCs w:val="18"/>
              </w:rPr>
            </w:pPr>
            <w:r>
              <w:rPr>
                <w:sz w:val="18"/>
                <w:szCs w:val="18"/>
              </w:rPr>
              <w:t>55%</w:t>
            </w:r>
          </w:p>
        </w:tc>
        <w:tc>
          <w:tcPr>
            <w:tcW w:w="2070" w:type="dxa"/>
            <w:tcBorders>
              <w:left w:val="single" w:sz="1" w:space="0" w:color="000000"/>
              <w:bottom w:val="single" w:sz="1" w:space="0" w:color="000000"/>
            </w:tcBorders>
            <w:shd w:val="clear" w:color="auto" w:fill="auto"/>
          </w:tcPr>
          <w:p w14:paraId="2DACECC2"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5E03A145" w14:textId="77777777" w:rsidR="00F15DEA" w:rsidRDefault="00F15DEA" w:rsidP="007F615F">
            <w:r>
              <w:rPr>
                <w:sz w:val="18"/>
                <w:szCs w:val="18"/>
              </w:rPr>
              <w:t>Numbers refer to the 20-year follow-up</w:t>
            </w:r>
          </w:p>
        </w:tc>
      </w:tr>
      <w:tr w:rsidR="00F15DEA" w14:paraId="1F66B9A4" w14:textId="77777777" w:rsidTr="00F15DEA">
        <w:tc>
          <w:tcPr>
            <w:tcW w:w="2824" w:type="dxa"/>
            <w:tcBorders>
              <w:left w:val="single" w:sz="1" w:space="0" w:color="000000"/>
              <w:bottom w:val="single" w:sz="1" w:space="0" w:color="000000"/>
            </w:tcBorders>
            <w:shd w:val="clear" w:color="auto" w:fill="auto"/>
          </w:tcPr>
          <w:p w14:paraId="058B9FC1" w14:textId="77777777" w:rsidR="00F15DEA" w:rsidRDefault="00F15DEA" w:rsidP="007F615F">
            <w:pPr>
              <w:snapToGrid w:val="0"/>
              <w:rPr>
                <w:sz w:val="18"/>
                <w:szCs w:val="18"/>
              </w:rPr>
            </w:pPr>
          </w:p>
        </w:tc>
        <w:tc>
          <w:tcPr>
            <w:tcW w:w="2340" w:type="dxa"/>
            <w:tcBorders>
              <w:left w:val="single" w:sz="1" w:space="0" w:color="000000"/>
              <w:bottom w:val="single" w:sz="1" w:space="0" w:color="000000"/>
            </w:tcBorders>
            <w:shd w:val="clear" w:color="auto" w:fill="auto"/>
          </w:tcPr>
          <w:p w14:paraId="587C5A1F"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359A3B24"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78DBB2C9" w14:textId="77777777" w:rsidR="00F15DEA" w:rsidRDefault="00F15DEA" w:rsidP="007F615F">
            <w:pPr>
              <w:pStyle w:val="TabellenInhalt"/>
              <w:snapToGrid w:val="0"/>
              <w:rPr>
                <w:sz w:val="18"/>
                <w:szCs w:val="18"/>
              </w:rPr>
            </w:pPr>
          </w:p>
        </w:tc>
      </w:tr>
      <w:tr w:rsidR="00F15DEA" w14:paraId="5C92959A" w14:textId="77777777" w:rsidTr="00F15DEA">
        <w:tc>
          <w:tcPr>
            <w:tcW w:w="2824" w:type="dxa"/>
            <w:tcBorders>
              <w:left w:val="single" w:sz="1" w:space="0" w:color="000000"/>
              <w:bottom w:val="single" w:sz="1" w:space="0" w:color="000000"/>
            </w:tcBorders>
            <w:shd w:val="clear" w:color="auto" w:fill="auto"/>
          </w:tcPr>
          <w:p w14:paraId="42EC7C5B" w14:textId="77777777" w:rsidR="00F15DEA" w:rsidRDefault="00F15DEA" w:rsidP="007F615F">
            <w:pPr>
              <w:rPr>
                <w:sz w:val="18"/>
                <w:szCs w:val="18"/>
              </w:rPr>
            </w:pPr>
            <w:r>
              <w:rPr>
                <w:i/>
                <w:sz w:val="18"/>
                <w:szCs w:val="18"/>
              </w:rPr>
              <w:t>Neuroimaging (structural)</w:t>
            </w:r>
          </w:p>
        </w:tc>
        <w:tc>
          <w:tcPr>
            <w:tcW w:w="2340" w:type="dxa"/>
            <w:tcBorders>
              <w:left w:val="single" w:sz="1" w:space="0" w:color="000000"/>
              <w:bottom w:val="single" w:sz="1" w:space="0" w:color="000000"/>
            </w:tcBorders>
            <w:shd w:val="clear" w:color="auto" w:fill="auto"/>
          </w:tcPr>
          <w:p w14:paraId="056B763F"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06A3F16F"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5A71D8AF" w14:textId="77777777" w:rsidR="00F15DEA" w:rsidRDefault="00F15DEA" w:rsidP="007F615F">
            <w:pPr>
              <w:pStyle w:val="TabellenInhalt"/>
              <w:snapToGrid w:val="0"/>
              <w:rPr>
                <w:sz w:val="18"/>
                <w:szCs w:val="18"/>
              </w:rPr>
            </w:pPr>
          </w:p>
        </w:tc>
      </w:tr>
      <w:tr w:rsidR="00F15DEA" w14:paraId="400ED34E" w14:textId="77777777" w:rsidTr="00F15DEA">
        <w:tc>
          <w:tcPr>
            <w:tcW w:w="2824" w:type="dxa"/>
            <w:tcBorders>
              <w:left w:val="single" w:sz="1" w:space="0" w:color="000000"/>
              <w:bottom w:val="single" w:sz="1" w:space="0" w:color="000000"/>
            </w:tcBorders>
            <w:shd w:val="clear" w:color="auto" w:fill="auto"/>
          </w:tcPr>
          <w:p w14:paraId="7E822196" w14:textId="77777777" w:rsidR="00F15DEA" w:rsidRDefault="00F15DEA" w:rsidP="007F615F">
            <w:pPr>
              <w:rPr>
                <w:sz w:val="18"/>
                <w:szCs w:val="18"/>
              </w:rPr>
            </w:pPr>
            <w:r>
              <w:rPr>
                <w:sz w:val="18"/>
                <w:szCs w:val="18"/>
              </w:rPr>
              <w:t>Degreef et al. (1991)</w:t>
            </w:r>
            <w:r w:rsidRPr="00A61DEF">
              <w:rPr>
                <w:sz w:val="18"/>
                <w:vertAlign w:val="superscript"/>
              </w:rPr>
              <w:t>29</w:t>
            </w:r>
            <w:r>
              <w:rPr>
                <w:sz w:val="18"/>
                <w:szCs w:val="18"/>
              </w:rPr>
              <w:t xml:space="preserve"> </w:t>
            </w:r>
          </w:p>
        </w:tc>
        <w:tc>
          <w:tcPr>
            <w:tcW w:w="2340" w:type="dxa"/>
            <w:tcBorders>
              <w:left w:val="single" w:sz="1" w:space="0" w:color="000000"/>
              <w:bottom w:val="single" w:sz="1" w:space="0" w:color="000000"/>
            </w:tcBorders>
            <w:shd w:val="clear" w:color="auto" w:fill="auto"/>
          </w:tcPr>
          <w:p w14:paraId="614F863B"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42DD6052"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41C5104B" w14:textId="77777777" w:rsidR="00F15DEA" w:rsidRDefault="00F15DEA" w:rsidP="007F615F">
            <w:pPr>
              <w:pStyle w:val="TabellenInhalt"/>
            </w:pPr>
            <w:r>
              <w:rPr>
                <w:sz w:val="18"/>
                <w:szCs w:val="18"/>
              </w:rPr>
              <w:t>-</w:t>
            </w:r>
          </w:p>
        </w:tc>
      </w:tr>
      <w:tr w:rsidR="00F15DEA" w14:paraId="1A5B0D13" w14:textId="77777777" w:rsidTr="00F15DEA">
        <w:tc>
          <w:tcPr>
            <w:tcW w:w="2824" w:type="dxa"/>
            <w:tcBorders>
              <w:left w:val="single" w:sz="1" w:space="0" w:color="000000"/>
              <w:bottom w:val="single" w:sz="1" w:space="0" w:color="000000"/>
            </w:tcBorders>
            <w:shd w:val="clear" w:color="auto" w:fill="auto"/>
          </w:tcPr>
          <w:p w14:paraId="13CD2ACF" w14:textId="77777777" w:rsidR="00F15DEA" w:rsidRDefault="00F15DEA" w:rsidP="007F615F">
            <w:pPr>
              <w:rPr>
                <w:sz w:val="18"/>
                <w:szCs w:val="18"/>
              </w:rPr>
            </w:pPr>
            <w:r>
              <w:rPr>
                <w:sz w:val="18"/>
                <w:szCs w:val="18"/>
              </w:rPr>
              <w:t>Davis et al. (1998)</w:t>
            </w:r>
            <w:r w:rsidRPr="00A61DEF">
              <w:rPr>
                <w:sz w:val="18"/>
                <w:vertAlign w:val="superscript"/>
              </w:rPr>
              <w:t>30</w:t>
            </w:r>
            <w:r>
              <w:rPr>
                <w:sz w:val="18"/>
                <w:szCs w:val="18"/>
              </w:rPr>
              <w:t xml:space="preserve"> </w:t>
            </w:r>
          </w:p>
        </w:tc>
        <w:tc>
          <w:tcPr>
            <w:tcW w:w="2340" w:type="dxa"/>
            <w:tcBorders>
              <w:left w:val="single" w:sz="1" w:space="0" w:color="000000"/>
              <w:bottom w:val="single" w:sz="1" w:space="0" w:color="000000"/>
            </w:tcBorders>
            <w:shd w:val="clear" w:color="auto" w:fill="auto"/>
          </w:tcPr>
          <w:p w14:paraId="40F00803"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53703980" w14:textId="77777777" w:rsidR="00F15DEA" w:rsidRDefault="00F15DEA" w:rsidP="007F615F">
            <w:pPr>
              <w:pStyle w:val="TabellenInhalt"/>
              <w:rPr>
                <w:sz w:val="18"/>
                <w:szCs w:val="18"/>
              </w:rPr>
            </w:pPr>
            <w:r>
              <w:rPr>
                <w:sz w:val="18"/>
                <w:szCs w:val="18"/>
              </w:rPr>
              <w:t>?, (probably typical)</w:t>
            </w:r>
          </w:p>
        </w:tc>
        <w:tc>
          <w:tcPr>
            <w:tcW w:w="2520" w:type="dxa"/>
            <w:tcBorders>
              <w:left w:val="single" w:sz="1" w:space="0" w:color="000000"/>
              <w:bottom w:val="single" w:sz="1" w:space="0" w:color="000000"/>
              <w:right w:val="single" w:sz="1" w:space="0" w:color="000000"/>
            </w:tcBorders>
            <w:shd w:val="clear" w:color="auto" w:fill="auto"/>
          </w:tcPr>
          <w:p w14:paraId="135AB83F" w14:textId="77777777" w:rsidR="00F15DEA" w:rsidRDefault="00F15DEA" w:rsidP="007F615F">
            <w:pPr>
              <w:pStyle w:val="TabellenInhalt"/>
            </w:pPr>
            <w:r>
              <w:rPr>
                <w:sz w:val="18"/>
                <w:szCs w:val="18"/>
              </w:rPr>
              <w:t>-</w:t>
            </w:r>
          </w:p>
        </w:tc>
      </w:tr>
      <w:tr w:rsidR="00F15DEA" w14:paraId="4A362B3D" w14:textId="77777777" w:rsidTr="00F15DEA">
        <w:tc>
          <w:tcPr>
            <w:tcW w:w="2824" w:type="dxa"/>
            <w:tcBorders>
              <w:left w:val="single" w:sz="1" w:space="0" w:color="000000"/>
              <w:bottom w:val="single" w:sz="1" w:space="0" w:color="000000"/>
            </w:tcBorders>
            <w:shd w:val="clear" w:color="auto" w:fill="auto"/>
          </w:tcPr>
          <w:p w14:paraId="3211509E" w14:textId="77777777" w:rsidR="00F15DEA" w:rsidRDefault="00F15DEA" w:rsidP="007F615F">
            <w:pPr>
              <w:rPr>
                <w:sz w:val="18"/>
                <w:szCs w:val="18"/>
              </w:rPr>
            </w:pPr>
            <w:r>
              <w:rPr>
                <w:sz w:val="18"/>
                <w:szCs w:val="18"/>
              </w:rPr>
              <w:t>Gur et al. (1998)</w:t>
            </w:r>
            <w:r w:rsidRPr="00A61DEF">
              <w:rPr>
                <w:sz w:val="18"/>
                <w:vertAlign w:val="superscript"/>
              </w:rPr>
              <w:t>8</w:t>
            </w:r>
            <w:r>
              <w:rPr>
                <w:sz w:val="18"/>
                <w:szCs w:val="18"/>
              </w:rPr>
              <w:t xml:space="preserve"> </w:t>
            </w:r>
          </w:p>
        </w:tc>
        <w:tc>
          <w:tcPr>
            <w:tcW w:w="2340" w:type="dxa"/>
            <w:tcBorders>
              <w:left w:val="single" w:sz="1" w:space="0" w:color="000000"/>
              <w:bottom w:val="single" w:sz="1" w:space="0" w:color="000000"/>
            </w:tcBorders>
            <w:shd w:val="clear" w:color="auto" w:fill="auto"/>
          </w:tcPr>
          <w:p w14:paraId="5D4E9883" w14:textId="77777777" w:rsidR="00F15DEA" w:rsidRDefault="00F15DEA" w:rsidP="007F615F">
            <w:pPr>
              <w:pStyle w:val="TabellenInhalt"/>
              <w:rPr>
                <w:sz w:val="18"/>
                <w:szCs w:val="18"/>
              </w:rPr>
            </w:pPr>
            <w:r>
              <w:rPr>
                <w:sz w:val="18"/>
                <w:szCs w:val="18"/>
              </w:rPr>
              <w:t>50%</w:t>
            </w:r>
          </w:p>
        </w:tc>
        <w:tc>
          <w:tcPr>
            <w:tcW w:w="2070" w:type="dxa"/>
            <w:tcBorders>
              <w:left w:val="single" w:sz="1" w:space="0" w:color="000000"/>
              <w:bottom w:val="single" w:sz="1" w:space="0" w:color="000000"/>
            </w:tcBorders>
            <w:shd w:val="clear" w:color="auto" w:fill="auto"/>
          </w:tcPr>
          <w:p w14:paraId="2B3DAEA3" w14:textId="77777777" w:rsidR="00F15DEA" w:rsidRDefault="00F15DEA" w:rsidP="007F615F">
            <w:pPr>
              <w:pStyle w:val="TabellenInhalt"/>
              <w:rPr>
                <w:sz w:val="18"/>
                <w:szCs w:val="18"/>
              </w:rPr>
            </w:pPr>
            <w:r>
              <w:rPr>
                <w:sz w:val="18"/>
                <w:szCs w:val="18"/>
              </w:rPr>
              <w:t>Typical</w:t>
            </w:r>
          </w:p>
        </w:tc>
        <w:tc>
          <w:tcPr>
            <w:tcW w:w="2520" w:type="dxa"/>
            <w:tcBorders>
              <w:left w:val="single" w:sz="1" w:space="0" w:color="000000"/>
              <w:bottom w:val="single" w:sz="1" w:space="0" w:color="000000"/>
              <w:right w:val="single" w:sz="1" w:space="0" w:color="000000"/>
            </w:tcBorders>
            <w:shd w:val="clear" w:color="auto" w:fill="auto"/>
          </w:tcPr>
          <w:p w14:paraId="78615CE8" w14:textId="77777777" w:rsidR="00F15DEA" w:rsidRDefault="00F15DEA" w:rsidP="007F615F">
            <w:r>
              <w:rPr>
                <w:sz w:val="18"/>
                <w:szCs w:val="18"/>
              </w:rPr>
              <w:t>At follow-up, 100% of patients were treated. In FE patients, higher dose was associated with greater reduction in frontal and temporal volume.</w:t>
            </w:r>
          </w:p>
        </w:tc>
      </w:tr>
      <w:tr w:rsidR="00F15DEA" w14:paraId="081473E0" w14:textId="77777777" w:rsidTr="00F15DEA">
        <w:tc>
          <w:tcPr>
            <w:tcW w:w="2824" w:type="dxa"/>
            <w:tcBorders>
              <w:left w:val="single" w:sz="1" w:space="0" w:color="000000"/>
              <w:bottom w:val="single" w:sz="1" w:space="0" w:color="000000"/>
            </w:tcBorders>
            <w:shd w:val="clear" w:color="auto" w:fill="auto"/>
          </w:tcPr>
          <w:p w14:paraId="1B259FD9" w14:textId="77777777" w:rsidR="00F15DEA" w:rsidRDefault="00F15DEA" w:rsidP="007F615F">
            <w:pPr>
              <w:rPr>
                <w:sz w:val="18"/>
                <w:szCs w:val="18"/>
              </w:rPr>
            </w:pPr>
            <w:r>
              <w:rPr>
                <w:sz w:val="18"/>
                <w:szCs w:val="18"/>
              </w:rPr>
              <w:t>Mathalon et al. (2001)</w:t>
            </w:r>
            <w:r w:rsidRPr="00A61DEF">
              <w:rPr>
                <w:sz w:val="18"/>
                <w:vertAlign w:val="superscript"/>
              </w:rPr>
              <w:t>31</w:t>
            </w:r>
          </w:p>
        </w:tc>
        <w:tc>
          <w:tcPr>
            <w:tcW w:w="2340" w:type="dxa"/>
            <w:tcBorders>
              <w:left w:val="single" w:sz="1" w:space="0" w:color="000000"/>
              <w:bottom w:val="single" w:sz="1" w:space="0" w:color="000000"/>
            </w:tcBorders>
            <w:shd w:val="clear" w:color="auto" w:fill="auto"/>
          </w:tcPr>
          <w:p w14:paraId="0D7215C3"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6CB989B7"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24E5344F" w14:textId="77777777" w:rsidR="00F15DEA" w:rsidRDefault="00F15DEA" w:rsidP="007F615F">
            <w:pPr>
              <w:pStyle w:val="TabellenInhalt"/>
            </w:pPr>
            <w:r>
              <w:rPr>
                <w:sz w:val="18"/>
                <w:szCs w:val="18"/>
              </w:rPr>
              <w:t>-</w:t>
            </w:r>
          </w:p>
        </w:tc>
      </w:tr>
      <w:tr w:rsidR="00F15DEA" w14:paraId="2720DD8E" w14:textId="77777777" w:rsidTr="00F15DEA">
        <w:tc>
          <w:tcPr>
            <w:tcW w:w="2824" w:type="dxa"/>
            <w:tcBorders>
              <w:left w:val="single" w:sz="1" w:space="0" w:color="000000"/>
              <w:bottom w:val="single" w:sz="1" w:space="0" w:color="000000"/>
            </w:tcBorders>
            <w:shd w:val="clear" w:color="auto" w:fill="auto"/>
          </w:tcPr>
          <w:p w14:paraId="13ADFC32" w14:textId="77777777" w:rsidR="00F15DEA" w:rsidRDefault="00F15DEA" w:rsidP="007F615F">
            <w:pPr>
              <w:rPr>
                <w:sz w:val="18"/>
                <w:szCs w:val="18"/>
              </w:rPr>
            </w:pPr>
            <w:r>
              <w:rPr>
                <w:sz w:val="18"/>
                <w:szCs w:val="18"/>
              </w:rPr>
              <w:t>Puri et al. (2001)</w:t>
            </w:r>
            <w:r w:rsidRPr="00A61DEF">
              <w:rPr>
                <w:sz w:val="18"/>
                <w:vertAlign w:val="superscript"/>
              </w:rPr>
              <w:t>32</w:t>
            </w:r>
            <w:r>
              <w:rPr>
                <w:sz w:val="18"/>
                <w:szCs w:val="18"/>
              </w:rPr>
              <w:t xml:space="preserve"> </w:t>
            </w:r>
          </w:p>
        </w:tc>
        <w:tc>
          <w:tcPr>
            <w:tcW w:w="2340" w:type="dxa"/>
            <w:tcBorders>
              <w:left w:val="single" w:sz="1" w:space="0" w:color="000000"/>
              <w:bottom w:val="single" w:sz="1" w:space="0" w:color="000000"/>
            </w:tcBorders>
            <w:shd w:val="clear" w:color="auto" w:fill="auto"/>
          </w:tcPr>
          <w:p w14:paraId="14B0B6E6" w14:textId="77777777" w:rsidR="00F15DEA" w:rsidRDefault="00F15DEA" w:rsidP="007F615F">
            <w:pPr>
              <w:pStyle w:val="TabellenInhalt"/>
              <w:rPr>
                <w:sz w:val="18"/>
                <w:szCs w:val="18"/>
              </w:rPr>
            </w:pPr>
            <w:r>
              <w:rPr>
                <w:sz w:val="18"/>
                <w:szCs w:val="18"/>
              </w:rPr>
              <w:t>88%</w:t>
            </w:r>
          </w:p>
        </w:tc>
        <w:tc>
          <w:tcPr>
            <w:tcW w:w="2070" w:type="dxa"/>
            <w:tcBorders>
              <w:left w:val="single" w:sz="1" w:space="0" w:color="000000"/>
              <w:bottom w:val="single" w:sz="1" w:space="0" w:color="000000"/>
            </w:tcBorders>
            <w:shd w:val="clear" w:color="auto" w:fill="auto"/>
          </w:tcPr>
          <w:p w14:paraId="5A6559E3" w14:textId="77777777" w:rsidR="00F15DEA" w:rsidRDefault="00F15DEA" w:rsidP="007F615F">
            <w:pPr>
              <w:pStyle w:val="TabellenInhalt"/>
              <w:rPr>
                <w:sz w:val="18"/>
                <w:szCs w:val="18"/>
              </w:rPr>
            </w:pPr>
            <w:r>
              <w:rPr>
                <w:sz w:val="18"/>
                <w:szCs w:val="18"/>
              </w:rPr>
              <w:t>Typical</w:t>
            </w:r>
          </w:p>
        </w:tc>
        <w:tc>
          <w:tcPr>
            <w:tcW w:w="2520" w:type="dxa"/>
            <w:tcBorders>
              <w:left w:val="single" w:sz="1" w:space="0" w:color="000000"/>
              <w:bottom w:val="single" w:sz="1" w:space="0" w:color="000000"/>
              <w:right w:val="single" w:sz="1" w:space="0" w:color="000000"/>
            </w:tcBorders>
            <w:shd w:val="clear" w:color="auto" w:fill="auto"/>
          </w:tcPr>
          <w:p w14:paraId="7D364C7A" w14:textId="77777777" w:rsidR="00F15DEA" w:rsidRDefault="00F15DEA" w:rsidP="007F615F">
            <w:pPr>
              <w:pStyle w:val="TabellenInhalt"/>
            </w:pPr>
            <w:r>
              <w:rPr>
                <w:sz w:val="18"/>
                <w:szCs w:val="18"/>
              </w:rPr>
              <w:t>Medication dose and length of treatment unrelated to ventricular volume</w:t>
            </w:r>
          </w:p>
        </w:tc>
      </w:tr>
      <w:tr w:rsidR="00F15DEA" w14:paraId="57D14D7F" w14:textId="77777777" w:rsidTr="00F15DEA">
        <w:tc>
          <w:tcPr>
            <w:tcW w:w="2824" w:type="dxa"/>
            <w:tcBorders>
              <w:left w:val="single" w:sz="1" w:space="0" w:color="000000"/>
              <w:bottom w:val="single" w:sz="1" w:space="0" w:color="000000"/>
            </w:tcBorders>
            <w:shd w:val="clear" w:color="auto" w:fill="auto"/>
          </w:tcPr>
          <w:p w14:paraId="32E06688" w14:textId="77777777" w:rsidR="00F15DEA" w:rsidRDefault="00F15DEA" w:rsidP="007F615F">
            <w:pPr>
              <w:rPr>
                <w:sz w:val="18"/>
                <w:szCs w:val="18"/>
              </w:rPr>
            </w:pPr>
            <w:r>
              <w:rPr>
                <w:sz w:val="18"/>
                <w:szCs w:val="18"/>
              </w:rPr>
              <w:t>Ho et al. (2003)</w:t>
            </w:r>
            <w:r w:rsidRPr="00A61DEF">
              <w:rPr>
                <w:sz w:val="18"/>
                <w:vertAlign w:val="superscript"/>
              </w:rPr>
              <w:t>33</w:t>
            </w:r>
            <w:r>
              <w:rPr>
                <w:sz w:val="18"/>
                <w:szCs w:val="18"/>
              </w:rPr>
              <w:t xml:space="preserve"> </w:t>
            </w:r>
          </w:p>
        </w:tc>
        <w:tc>
          <w:tcPr>
            <w:tcW w:w="2340" w:type="dxa"/>
            <w:tcBorders>
              <w:left w:val="single" w:sz="1" w:space="0" w:color="000000"/>
              <w:bottom w:val="single" w:sz="1" w:space="0" w:color="000000"/>
            </w:tcBorders>
            <w:shd w:val="clear" w:color="auto" w:fill="auto"/>
          </w:tcPr>
          <w:p w14:paraId="65CA2FFE" w14:textId="77777777" w:rsidR="00F15DEA" w:rsidRDefault="00F15DEA" w:rsidP="007F615F">
            <w:pPr>
              <w:pStyle w:val="TabellenInhalt"/>
              <w:rPr>
                <w:sz w:val="18"/>
                <w:szCs w:val="18"/>
              </w:rPr>
            </w:pPr>
            <w:r>
              <w:rPr>
                <w:sz w:val="18"/>
                <w:szCs w:val="18"/>
              </w:rPr>
              <w:t>52%</w:t>
            </w:r>
          </w:p>
        </w:tc>
        <w:tc>
          <w:tcPr>
            <w:tcW w:w="2070" w:type="dxa"/>
            <w:tcBorders>
              <w:left w:val="single" w:sz="1" w:space="0" w:color="000000"/>
              <w:bottom w:val="single" w:sz="1" w:space="0" w:color="000000"/>
            </w:tcBorders>
            <w:shd w:val="clear" w:color="auto" w:fill="auto"/>
          </w:tcPr>
          <w:p w14:paraId="18A01325"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500B2D2F" w14:textId="77777777" w:rsidR="00F15DEA" w:rsidRDefault="00F15DEA" w:rsidP="007F615F">
            <w:r>
              <w:rPr>
                <w:sz w:val="18"/>
                <w:szCs w:val="18"/>
              </w:rPr>
              <w:t>Numbers refer to interscan interval, no relationship of  dose with volume change</w:t>
            </w:r>
          </w:p>
        </w:tc>
      </w:tr>
      <w:tr w:rsidR="00F15DEA" w14:paraId="25AC7B2E" w14:textId="77777777" w:rsidTr="00F15DEA">
        <w:tc>
          <w:tcPr>
            <w:tcW w:w="2824" w:type="dxa"/>
            <w:tcBorders>
              <w:left w:val="single" w:sz="1" w:space="0" w:color="000000"/>
              <w:bottom w:val="single" w:sz="1" w:space="0" w:color="000000"/>
            </w:tcBorders>
            <w:shd w:val="clear" w:color="auto" w:fill="auto"/>
          </w:tcPr>
          <w:p w14:paraId="1396F0C8" w14:textId="77777777" w:rsidR="00F15DEA" w:rsidRDefault="00F15DEA" w:rsidP="007F615F">
            <w:pPr>
              <w:rPr>
                <w:sz w:val="18"/>
                <w:szCs w:val="18"/>
              </w:rPr>
            </w:pPr>
            <w:r>
              <w:rPr>
                <w:sz w:val="18"/>
                <w:szCs w:val="18"/>
              </w:rPr>
              <w:t>Kasai et al. (2003)</w:t>
            </w:r>
            <w:r w:rsidRPr="00A61DEF">
              <w:rPr>
                <w:sz w:val="18"/>
                <w:vertAlign w:val="superscript"/>
              </w:rPr>
              <w:t>34</w:t>
            </w:r>
          </w:p>
        </w:tc>
        <w:tc>
          <w:tcPr>
            <w:tcW w:w="2340" w:type="dxa"/>
            <w:tcBorders>
              <w:left w:val="single" w:sz="1" w:space="0" w:color="000000"/>
              <w:bottom w:val="single" w:sz="1" w:space="0" w:color="000000"/>
            </w:tcBorders>
            <w:shd w:val="clear" w:color="auto" w:fill="auto"/>
          </w:tcPr>
          <w:p w14:paraId="209FF4DC" w14:textId="77777777" w:rsidR="00F15DEA" w:rsidRDefault="00F15DEA" w:rsidP="007F615F">
            <w:pPr>
              <w:pStyle w:val="TabellenInhalt"/>
              <w:rPr>
                <w:sz w:val="18"/>
                <w:szCs w:val="18"/>
              </w:rPr>
            </w:pPr>
            <w:r>
              <w:rPr>
                <w:sz w:val="18"/>
                <w:szCs w:val="18"/>
              </w:rPr>
              <w:t>85%</w:t>
            </w:r>
          </w:p>
        </w:tc>
        <w:tc>
          <w:tcPr>
            <w:tcW w:w="2070" w:type="dxa"/>
            <w:tcBorders>
              <w:left w:val="single" w:sz="1" w:space="0" w:color="000000"/>
              <w:bottom w:val="single" w:sz="1" w:space="0" w:color="000000"/>
            </w:tcBorders>
            <w:shd w:val="clear" w:color="auto" w:fill="auto"/>
          </w:tcPr>
          <w:p w14:paraId="33816B59" w14:textId="77777777" w:rsidR="00F15DEA" w:rsidRDefault="00F15DEA" w:rsidP="007F615F">
            <w:pPr>
              <w:pStyle w:val="TabellenInhalt"/>
              <w:rPr>
                <w:sz w:val="18"/>
                <w:szCs w:val="18"/>
              </w:rPr>
            </w:pPr>
            <w:r>
              <w:rPr>
                <w:sz w:val="18"/>
                <w:szCs w:val="18"/>
              </w:rPr>
              <w:t>Typical</w:t>
            </w:r>
          </w:p>
        </w:tc>
        <w:tc>
          <w:tcPr>
            <w:tcW w:w="2520" w:type="dxa"/>
            <w:tcBorders>
              <w:left w:val="single" w:sz="1" w:space="0" w:color="000000"/>
              <w:bottom w:val="single" w:sz="1" w:space="0" w:color="000000"/>
              <w:right w:val="single" w:sz="1" w:space="0" w:color="000000"/>
            </w:tcBorders>
            <w:shd w:val="clear" w:color="auto" w:fill="auto"/>
          </w:tcPr>
          <w:p w14:paraId="06FFFD7E" w14:textId="77777777" w:rsidR="00F15DEA" w:rsidRDefault="00F15DEA" w:rsidP="007F615F">
            <w:pPr>
              <w:pStyle w:val="TabellenInhalt"/>
            </w:pPr>
            <w:r>
              <w:rPr>
                <w:sz w:val="18"/>
                <w:szCs w:val="18"/>
              </w:rPr>
              <w:t>No relationship of dependent variables and medication</w:t>
            </w:r>
          </w:p>
        </w:tc>
      </w:tr>
      <w:tr w:rsidR="00F15DEA" w14:paraId="61E31F17" w14:textId="77777777" w:rsidTr="00F15DEA">
        <w:tc>
          <w:tcPr>
            <w:tcW w:w="2824" w:type="dxa"/>
            <w:tcBorders>
              <w:left w:val="single" w:sz="1" w:space="0" w:color="000000"/>
              <w:bottom w:val="single" w:sz="1" w:space="0" w:color="000000"/>
            </w:tcBorders>
            <w:shd w:val="clear" w:color="auto" w:fill="auto"/>
          </w:tcPr>
          <w:p w14:paraId="64FE5439" w14:textId="77777777" w:rsidR="00F15DEA" w:rsidRDefault="00F15DEA" w:rsidP="007F615F">
            <w:pPr>
              <w:rPr>
                <w:sz w:val="18"/>
                <w:szCs w:val="18"/>
              </w:rPr>
            </w:pPr>
            <w:r>
              <w:rPr>
                <w:sz w:val="18"/>
                <w:szCs w:val="18"/>
              </w:rPr>
              <w:lastRenderedPageBreak/>
              <w:t>Whitworth et al. (2005)</w:t>
            </w:r>
            <w:r w:rsidRPr="00A61DEF">
              <w:rPr>
                <w:sz w:val="18"/>
                <w:vertAlign w:val="superscript"/>
              </w:rPr>
              <w:t>35</w:t>
            </w:r>
          </w:p>
        </w:tc>
        <w:tc>
          <w:tcPr>
            <w:tcW w:w="2340" w:type="dxa"/>
            <w:tcBorders>
              <w:left w:val="single" w:sz="1" w:space="0" w:color="000000"/>
              <w:bottom w:val="single" w:sz="1" w:space="0" w:color="000000"/>
            </w:tcBorders>
            <w:shd w:val="clear" w:color="auto" w:fill="auto"/>
          </w:tcPr>
          <w:p w14:paraId="0BF1F79C"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5CB4DA89"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2130A2D2" w14:textId="77777777" w:rsidR="00F15DEA" w:rsidRDefault="00F15DEA" w:rsidP="007F615F">
            <w:pPr>
              <w:pStyle w:val="TabellenInhalt"/>
            </w:pPr>
            <w:r>
              <w:rPr>
                <w:sz w:val="18"/>
                <w:szCs w:val="18"/>
              </w:rPr>
              <w:t>-</w:t>
            </w:r>
          </w:p>
        </w:tc>
      </w:tr>
      <w:tr w:rsidR="00F15DEA" w14:paraId="7B0091D5" w14:textId="77777777" w:rsidTr="00F15DEA">
        <w:tc>
          <w:tcPr>
            <w:tcW w:w="2824" w:type="dxa"/>
            <w:tcBorders>
              <w:left w:val="single" w:sz="1" w:space="0" w:color="000000"/>
              <w:bottom w:val="single" w:sz="1" w:space="0" w:color="000000"/>
            </w:tcBorders>
            <w:shd w:val="clear" w:color="auto" w:fill="auto"/>
          </w:tcPr>
          <w:p w14:paraId="612C9629" w14:textId="77777777" w:rsidR="00F15DEA" w:rsidRDefault="00F15DEA" w:rsidP="007F615F">
            <w:pPr>
              <w:rPr>
                <w:sz w:val="18"/>
                <w:szCs w:val="18"/>
              </w:rPr>
            </w:pPr>
            <w:r>
              <w:rPr>
                <w:sz w:val="18"/>
                <w:szCs w:val="18"/>
              </w:rPr>
              <w:t>Price et al. (2006)</w:t>
            </w:r>
            <w:r w:rsidRPr="00A61DEF">
              <w:rPr>
                <w:sz w:val="18"/>
                <w:vertAlign w:val="superscript"/>
              </w:rPr>
              <w:t>36</w:t>
            </w:r>
            <w:r>
              <w:rPr>
                <w:sz w:val="18"/>
                <w:szCs w:val="18"/>
              </w:rPr>
              <w:t xml:space="preserve"> </w:t>
            </w:r>
          </w:p>
        </w:tc>
        <w:tc>
          <w:tcPr>
            <w:tcW w:w="2340" w:type="dxa"/>
            <w:tcBorders>
              <w:left w:val="single" w:sz="1" w:space="0" w:color="000000"/>
              <w:bottom w:val="single" w:sz="1" w:space="0" w:color="000000"/>
            </w:tcBorders>
            <w:shd w:val="clear" w:color="auto" w:fill="auto"/>
          </w:tcPr>
          <w:p w14:paraId="068996D0"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676B5CF6"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1CDA3A70" w14:textId="77777777" w:rsidR="00F15DEA" w:rsidRDefault="00F15DEA" w:rsidP="007F615F">
            <w:pPr>
              <w:pStyle w:val="TabellenInhalt"/>
            </w:pPr>
            <w:r>
              <w:rPr>
                <w:sz w:val="18"/>
                <w:szCs w:val="18"/>
              </w:rPr>
              <w:t>-</w:t>
            </w:r>
          </w:p>
        </w:tc>
      </w:tr>
      <w:tr w:rsidR="00F15DEA" w14:paraId="4EB18895" w14:textId="77777777" w:rsidTr="00F15DEA">
        <w:tc>
          <w:tcPr>
            <w:tcW w:w="2824" w:type="dxa"/>
            <w:tcBorders>
              <w:left w:val="single" w:sz="1" w:space="0" w:color="000000"/>
              <w:bottom w:val="single" w:sz="1" w:space="0" w:color="000000"/>
            </w:tcBorders>
            <w:shd w:val="clear" w:color="auto" w:fill="auto"/>
          </w:tcPr>
          <w:p w14:paraId="5FE78C97" w14:textId="77777777" w:rsidR="00F15DEA" w:rsidRDefault="00F15DEA" w:rsidP="007F615F">
            <w:pPr>
              <w:rPr>
                <w:sz w:val="18"/>
                <w:szCs w:val="18"/>
              </w:rPr>
            </w:pPr>
            <w:r>
              <w:rPr>
                <w:sz w:val="18"/>
                <w:szCs w:val="18"/>
              </w:rPr>
              <w:t>Whitford et al. (2006)</w:t>
            </w:r>
            <w:r w:rsidRPr="00A61DEF">
              <w:rPr>
                <w:sz w:val="18"/>
                <w:vertAlign w:val="superscript"/>
              </w:rPr>
              <w:t>37</w:t>
            </w:r>
            <w:r>
              <w:rPr>
                <w:sz w:val="18"/>
                <w:szCs w:val="18"/>
              </w:rPr>
              <w:t xml:space="preserve"> </w:t>
            </w:r>
          </w:p>
        </w:tc>
        <w:tc>
          <w:tcPr>
            <w:tcW w:w="2340" w:type="dxa"/>
            <w:tcBorders>
              <w:left w:val="single" w:sz="1" w:space="0" w:color="000000"/>
              <w:bottom w:val="single" w:sz="1" w:space="0" w:color="000000"/>
            </w:tcBorders>
            <w:shd w:val="clear" w:color="auto" w:fill="auto"/>
          </w:tcPr>
          <w:p w14:paraId="51097291"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727D0C39"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424AE7F5" w14:textId="77777777" w:rsidR="00F15DEA" w:rsidRDefault="00F15DEA" w:rsidP="007F615F">
            <w:pPr>
              <w:pStyle w:val="TabellenInhalt"/>
            </w:pPr>
            <w:r>
              <w:rPr>
                <w:sz w:val="18"/>
                <w:szCs w:val="18"/>
              </w:rPr>
              <w:t>-</w:t>
            </w:r>
          </w:p>
        </w:tc>
      </w:tr>
      <w:tr w:rsidR="00F15DEA" w14:paraId="2756B5AF" w14:textId="77777777" w:rsidTr="00F15DEA">
        <w:tc>
          <w:tcPr>
            <w:tcW w:w="2824" w:type="dxa"/>
            <w:tcBorders>
              <w:left w:val="single" w:sz="1" w:space="0" w:color="000000"/>
              <w:bottom w:val="single" w:sz="1" w:space="0" w:color="000000"/>
            </w:tcBorders>
            <w:shd w:val="clear" w:color="auto" w:fill="auto"/>
          </w:tcPr>
          <w:p w14:paraId="0BD18929" w14:textId="77777777" w:rsidR="00F15DEA" w:rsidRDefault="00F15DEA" w:rsidP="007F615F">
            <w:pPr>
              <w:rPr>
                <w:sz w:val="18"/>
                <w:szCs w:val="18"/>
              </w:rPr>
            </w:pPr>
            <w:r>
              <w:rPr>
                <w:sz w:val="18"/>
                <w:szCs w:val="18"/>
              </w:rPr>
              <w:t>Nakamura et al. (2007)</w:t>
            </w:r>
            <w:r w:rsidRPr="00A61DEF">
              <w:rPr>
                <w:sz w:val="18"/>
                <w:vertAlign w:val="superscript"/>
              </w:rPr>
              <w:t>38</w:t>
            </w:r>
            <w:r>
              <w:rPr>
                <w:sz w:val="18"/>
                <w:szCs w:val="18"/>
              </w:rPr>
              <w:t xml:space="preserve"> </w:t>
            </w:r>
          </w:p>
        </w:tc>
        <w:tc>
          <w:tcPr>
            <w:tcW w:w="2340" w:type="dxa"/>
            <w:tcBorders>
              <w:left w:val="single" w:sz="1" w:space="0" w:color="000000"/>
              <w:bottom w:val="single" w:sz="1" w:space="0" w:color="000000"/>
            </w:tcBorders>
            <w:shd w:val="clear" w:color="auto" w:fill="auto"/>
          </w:tcPr>
          <w:p w14:paraId="008792E2" w14:textId="77777777" w:rsidR="00F15DEA" w:rsidRDefault="00F15DEA" w:rsidP="007F615F">
            <w:pPr>
              <w:pStyle w:val="TabellenInhalt"/>
              <w:rPr>
                <w:sz w:val="18"/>
                <w:szCs w:val="18"/>
              </w:rPr>
            </w:pPr>
            <w:r>
              <w:rPr>
                <w:sz w:val="18"/>
                <w:szCs w:val="18"/>
              </w:rPr>
              <w:t>71%</w:t>
            </w:r>
          </w:p>
        </w:tc>
        <w:tc>
          <w:tcPr>
            <w:tcW w:w="2070" w:type="dxa"/>
            <w:tcBorders>
              <w:left w:val="single" w:sz="1" w:space="0" w:color="000000"/>
              <w:bottom w:val="single" w:sz="1" w:space="0" w:color="000000"/>
            </w:tcBorders>
            <w:shd w:val="clear" w:color="auto" w:fill="auto"/>
          </w:tcPr>
          <w:p w14:paraId="6C1AA949"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55DD56C5" w14:textId="77777777" w:rsidR="00F15DEA" w:rsidRDefault="00F15DEA" w:rsidP="007F615F">
            <w:r>
              <w:rPr>
                <w:sz w:val="18"/>
                <w:szCs w:val="18"/>
              </w:rPr>
              <w:t>Antipsychotics protected against neocortical gray matter loss</w:t>
            </w:r>
          </w:p>
        </w:tc>
      </w:tr>
      <w:tr w:rsidR="00F15DEA" w14:paraId="6A40BBF8" w14:textId="77777777" w:rsidTr="00F15DEA">
        <w:tc>
          <w:tcPr>
            <w:tcW w:w="2824" w:type="dxa"/>
            <w:tcBorders>
              <w:left w:val="single" w:sz="1" w:space="0" w:color="000000"/>
              <w:bottom w:val="single" w:sz="1" w:space="0" w:color="000000"/>
            </w:tcBorders>
            <w:shd w:val="clear" w:color="auto" w:fill="auto"/>
          </w:tcPr>
          <w:p w14:paraId="4484C68D" w14:textId="77777777" w:rsidR="00F15DEA" w:rsidRDefault="00F15DEA" w:rsidP="007F615F">
            <w:pPr>
              <w:rPr>
                <w:sz w:val="18"/>
                <w:szCs w:val="18"/>
              </w:rPr>
            </w:pPr>
            <w:r>
              <w:rPr>
                <w:sz w:val="18"/>
                <w:szCs w:val="18"/>
              </w:rPr>
              <w:t>Brans et al. (2008)</w:t>
            </w:r>
            <w:r w:rsidRPr="00A61DEF">
              <w:rPr>
                <w:sz w:val="18"/>
                <w:vertAlign w:val="superscript"/>
              </w:rPr>
              <w:t>39</w:t>
            </w:r>
            <w:r>
              <w:rPr>
                <w:sz w:val="18"/>
                <w:szCs w:val="18"/>
              </w:rPr>
              <w:t xml:space="preserve"> </w:t>
            </w:r>
          </w:p>
        </w:tc>
        <w:tc>
          <w:tcPr>
            <w:tcW w:w="2340" w:type="dxa"/>
            <w:tcBorders>
              <w:left w:val="single" w:sz="1" w:space="0" w:color="000000"/>
              <w:bottom w:val="single" w:sz="1" w:space="0" w:color="000000"/>
            </w:tcBorders>
            <w:shd w:val="clear" w:color="auto" w:fill="auto"/>
          </w:tcPr>
          <w:p w14:paraId="34C1F01B" w14:textId="77777777" w:rsidR="00F15DEA" w:rsidRDefault="00F15DEA" w:rsidP="007F615F">
            <w:pPr>
              <w:pStyle w:val="TabellenInhalt"/>
              <w:rPr>
                <w:sz w:val="18"/>
                <w:szCs w:val="18"/>
              </w:rPr>
            </w:pPr>
            <w:r>
              <w:rPr>
                <w:sz w:val="18"/>
                <w:szCs w:val="18"/>
              </w:rPr>
              <w:t>91%</w:t>
            </w:r>
          </w:p>
        </w:tc>
        <w:tc>
          <w:tcPr>
            <w:tcW w:w="2070" w:type="dxa"/>
            <w:tcBorders>
              <w:left w:val="single" w:sz="1" w:space="0" w:color="000000"/>
              <w:bottom w:val="single" w:sz="1" w:space="0" w:color="000000"/>
            </w:tcBorders>
            <w:shd w:val="clear" w:color="auto" w:fill="auto"/>
          </w:tcPr>
          <w:p w14:paraId="0F251055"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1BF03C29" w14:textId="77777777" w:rsidR="00F15DEA" w:rsidRDefault="00F15DEA" w:rsidP="007F615F">
            <w:r>
              <w:rPr>
                <w:sz w:val="18"/>
                <w:szCs w:val="18"/>
              </w:rPr>
              <w:t>Numbers refer to the interscan interval</w:t>
            </w:r>
          </w:p>
        </w:tc>
      </w:tr>
      <w:tr w:rsidR="00F15DEA" w14:paraId="2150387C" w14:textId="77777777" w:rsidTr="00F15DEA">
        <w:tc>
          <w:tcPr>
            <w:tcW w:w="2824" w:type="dxa"/>
            <w:tcBorders>
              <w:left w:val="single" w:sz="1" w:space="0" w:color="000000"/>
              <w:bottom w:val="single" w:sz="1" w:space="0" w:color="000000"/>
            </w:tcBorders>
            <w:shd w:val="clear" w:color="auto" w:fill="auto"/>
          </w:tcPr>
          <w:p w14:paraId="50781972" w14:textId="77777777" w:rsidR="00F15DEA" w:rsidRDefault="00F15DEA" w:rsidP="007F615F">
            <w:pPr>
              <w:rPr>
                <w:sz w:val="18"/>
                <w:szCs w:val="18"/>
              </w:rPr>
            </w:pPr>
            <w:r>
              <w:rPr>
                <w:sz w:val="18"/>
                <w:szCs w:val="18"/>
              </w:rPr>
              <w:t>Rais et al. (2008)</w:t>
            </w:r>
            <w:r w:rsidRPr="00A61DEF">
              <w:rPr>
                <w:sz w:val="18"/>
                <w:vertAlign w:val="superscript"/>
              </w:rPr>
              <w:t>40</w:t>
            </w:r>
          </w:p>
        </w:tc>
        <w:tc>
          <w:tcPr>
            <w:tcW w:w="2340" w:type="dxa"/>
            <w:tcBorders>
              <w:left w:val="single" w:sz="1" w:space="0" w:color="000000"/>
              <w:bottom w:val="single" w:sz="1" w:space="0" w:color="000000"/>
            </w:tcBorders>
            <w:shd w:val="clear" w:color="auto" w:fill="auto"/>
          </w:tcPr>
          <w:p w14:paraId="2A750A06" w14:textId="77777777" w:rsidR="00F15DEA" w:rsidRDefault="00F15DEA" w:rsidP="007F615F">
            <w:pPr>
              <w:pStyle w:val="TabellenInhalt"/>
              <w:rPr>
                <w:sz w:val="18"/>
                <w:szCs w:val="18"/>
              </w:rPr>
            </w:pPr>
            <w:r>
              <w:rPr>
                <w:sz w:val="18"/>
                <w:szCs w:val="18"/>
              </w:rPr>
              <w:t>96%</w:t>
            </w:r>
          </w:p>
        </w:tc>
        <w:tc>
          <w:tcPr>
            <w:tcW w:w="2070" w:type="dxa"/>
            <w:tcBorders>
              <w:left w:val="single" w:sz="1" w:space="0" w:color="000000"/>
              <w:bottom w:val="single" w:sz="1" w:space="0" w:color="000000"/>
            </w:tcBorders>
            <w:shd w:val="clear" w:color="auto" w:fill="auto"/>
          </w:tcPr>
          <w:p w14:paraId="670E5953"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2C85BA7E" w14:textId="77777777" w:rsidR="00F15DEA" w:rsidRDefault="00F15DEA" w:rsidP="007F615F">
            <w:pPr>
              <w:pStyle w:val="TabellenInhalt"/>
            </w:pPr>
            <w:r>
              <w:rPr>
                <w:sz w:val="18"/>
                <w:szCs w:val="18"/>
              </w:rPr>
              <w:t>-</w:t>
            </w:r>
          </w:p>
        </w:tc>
      </w:tr>
      <w:tr w:rsidR="00F15DEA" w14:paraId="0AC367D1" w14:textId="77777777" w:rsidTr="00F15DEA">
        <w:tc>
          <w:tcPr>
            <w:tcW w:w="2824" w:type="dxa"/>
            <w:tcBorders>
              <w:left w:val="single" w:sz="1" w:space="0" w:color="000000"/>
              <w:bottom w:val="single" w:sz="1" w:space="0" w:color="000000"/>
            </w:tcBorders>
            <w:shd w:val="clear" w:color="auto" w:fill="auto"/>
          </w:tcPr>
          <w:p w14:paraId="1D93B62E" w14:textId="77777777" w:rsidR="00F15DEA" w:rsidRDefault="00F15DEA" w:rsidP="007F615F">
            <w:pPr>
              <w:rPr>
                <w:sz w:val="18"/>
                <w:szCs w:val="18"/>
              </w:rPr>
            </w:pPr>
            <w:r>
              <w:rPr>
                <w:sz w:val="18"/>
                <w:szCs w:val="18"/>
              </w:rPr>
              <w:t>Wang et al. (2008)</w:t>
            </w:r>
            <w:r w:rsidRPr="00A61DEF">
              <w:rPr>
                <w:sz w:val="18"/>
                <w:vertAlign w:val="superscript"/>
              </w:rPr>
              <w:t>10</w:t>
            </w:r>
            <w:r>
              <w:rPr>
                <w:sz w:val="18"/>
                <w:szCs w:val="18"/>
              </w:rPr>
              <w:t xml:space="preserve"> </w:t>
            </w:r>
          </w:p>
        </w:tc>
        <w:tc>
          <w:tcPr>
            <w:tcW w:w="2340" w:type="dxa"/>
            <w:tcBorders>
              <w:left w:val="single" w:sz="1" w:space="0" w:color="000000"/>
              <w:bottom w:val="single" w:sz="1" w:space="0" w:color="000000"/>
            </w:tcBorders>
            <w:shd w:val="clear" w:color="auto" w:fill="auto"/>
          </w:tcPr>
          <w:p w14:paraId="46C0C0FA" w14:textId="77777777" w:rsidR="00F15DEA" w:rsidRDefault="00F15DEA" w:rsidP="007F615F">
            <w:pPr>
              <w:pStyle w:val="TabellenInhalt"/>
              <w:rPr>
                <w:sz w:val="18"/>
                <w:szCs w:val="18"/>
              </w:rPr>
            </w:pPr>
            <w:r>
              <w:rPr>
                <w:sz w:val="18"/>
                <w:szCs w:val="18"/>
              </w:rPr>
              <w:t>88%</w:t>
            </w:r>
          </w:p>
        </w:tc>
        <w:tc>
          <w:tcPr>
            <w:tcW w:w="2070" w:type="dxa"/>
            <w:tcBorders>
              <w:left w:val="single" w:sz="1" w:space="0" w:color="000000"/>
              <w:bottom w:val="single" w:sz="1" w:space="0" w:color="000000"/>
            </w:tcBorders>
            <w:shd w:val="clear" w:color="auto" w:fill="auto"/>
          </w:tcPr>
          <w:p w14:paraId="6BB80E7C"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0F1098D2" w14:textId="77777777" w:rsidR="00F15DEA" w:rsidRDefault="00F15DEA" w:rsidP="007F615F">
            <w:r>
              <w:rPr>
                <w:sz w:val="18"/>
                <w:szCs w:val="18"/>
              </w:rPr>
              <w:t>Numbers refer to the interscan interval; thalamic changes between patients treated with typical vs atypical APs</w:t>
            </w:r>
          </w:p>
        </w:tc>
      </w:tr>
      <w:tr w:rsidR="00F15DEA" w14:paraId="2A4D5E68" w14:textId="77777777" w:rsidTr="00F15DEA">
        <w:tc>
          <w:tcPr>
            <w:tcW w:w="2824" w:type="dxa"/>
            <w:tcBorders>
              <w:left w:val="single" w:sz="1" w:space="0" w:color="000000"/>
              <w:bottom w:val="single" w:sz="1" w:space="0" w:color="000000"/>
            </w:tcBorders>
            <w:shd w:val="clear" w:color="auto" w:fill="auto"/>
          </w:tcPr>
          <w:p w14:paraId="057260E5" w14:textId="77777777" w:rsidR="00F15DEA" w:rsidRDefault="00F15DEA" w:rsidP="007F615F">
            <w:pPr>
              <w:rPr>
                <w:sz w:val="18"/>
                <w:szCs w:val="18"/>
              </w:rPr>
            </w:pPr>
            <w:r>
              <w:rPr>
                <w:sz w:val="18"/>
                <w:szCs w:val="18"/>
              </w:rPr>
              <w:t>Sun et al. (2009)</w:t>
            </w:r>
            <w:r w:rsidRPr="00A61DEF">
              <w:rPr>
                <w:sz w:val="18"/>
                <w:vertAlign w:val="superscript"/>
              </w:rPr>
              <w:t>41</w:t>
            </w:r>
            <w:r>
              <w:rPr>
                <w:sz w:val="18"/>
                <w:szCs w:val="18"/>
              </w:rPr>
              <w:t xml:space="preserve"> </w:t>
            </w:r>
          </w:p>
        </w:tc>
        <w:tc>
          <w:tcPr>
            <w:tcW w:w="2340" w:type="dxa"/>
            <w:tcBorders>
              <w:left w:val="single" w:sz="1" w:space="0" w:color="000000"/>
              <w:bottom w:val="single" w:sz="1" w:space="0" w:color="000000"/>
            </w:tcBorders>
            <w:shd w:val="clear" w:color="auto" w:fill="auto"/>
          </w:tcPr>
          <w:p w14:paraId="0FFBEBDD" w14:textId="77777777" w:rsidR="00F15DEA" w:rsidRDefault="00F15DEA" w:rsidP="007F615F">
            <w:pPr>
              <w:pStyle w:val="TabellenInhalt"/>
              <w:rPr>
                <w:sz w:val="18"/>
                <w:szCs w:val="18"/>
              </w:rPr>
            </w:pPr>
            <w:r>
              <w:rPr>
                <w:sz w:val="18"/>
                <w:szCs w:val="18"/>
              </w:rPr>
              <w:t>88%</w:t>
            </w:r>
          </w:p>
        </w:tc>
        <w:tc>
          <w:tcPr>
            <w:tcW w:w="2070" w:type="dxa"/>
            <w:tcBorders>
              <w:left w:val="single" w:sz="1" w:space="0" w:color="000000"/>
              <w:bottom w:val="single" w:sz="1" w:space="0" w:color="000000"/>
            </w:tcBorders>
            <w:shd w:val="clear" w:color="auto" w:fill="auto"/>
          </w:tcPr>
          <w:p w14:paraId="4E943961" w14:textId="77777777" w:rsidR="00F15DEA" w:rsidRDefault="00F15DEA" w:rsidP="007F615F">
            <w:pPr>
              <w:pStyle w:val="TabellenInhalt"/>
              <w:rPr>
                <w:sz w:val="18"/>
                <w:szCs w:val="18"/>
              </w:rPr>
            </w:pPr>
            <w:r>
              <w:rPr>
                <w:sz w:val="18"/>
                <w:szCs w:val="18"/>
              </w:rPr>
              <w:t>Equal</w:t>
            </w:r>
          </w:p>
        </w:tc>
        <w:tc>
          <w:tcPr>
            <w:tcW w:w="2520" w:type="dxa"/>
            <w:tcBorders>
              <w:left w:val="single" w:sz="1" w:space="0" w:color="000000"/>
              <w:bottom w:val="single" w:sz="1" w:space="0" w:color="000000"/>
              <w:right w:val="single" w:sz="1" w:space="0" w:color="000000"/>
            </w:tcBorders>
            <w:shd w:val="clear" w:color="auto" w:fill="auto"/>
          </w:tcPr>
          <w:p w14:paraId="276A0BA4" w14:textId="77777777" w:rsidR="00F15DEA" w:rsidRDefault="00F15DEA" w:rsidP="007F615F">
            <w:r>
              <w:rPr>
                <w:sz w:val="18"/>
                <w:szCs w:val="18"/>
              </w:rPr>
              <w:t>Numbers refer to the interscan interval</w:t>
            </w:r>
          </w:p>
        </w:tc>
      </w:tr>
      <w:tr w:rsidR="00F15DEA" w14:paraId="383BDC57" w14:textId="77777777" w:rsidTr="00F15DEA">
        <w:tc>
          <w:tcPr>
            <w:tcW w:w="2824" w:type="dxa"/>
            <w:tcBorders>
              <w:left w:val="single" w:sz="1" w:space="0" w:color="000000"/>
              <w:bottom w:val="single" w:sz="1" w:space="0" w:color="000000"/>
            </w:tcBorders>
            <w:shd w:val="clear" w:color="auto" w:fill="auto"/>
          </w:tcPr>
          <w:p w14:paraId="752B8EB9" w14:textId="77777777" w:rsidR="00F15DEA" w:rsidRDefault="00F15DEA" w:rsidP="007F615F">
            <w:pPr>
              <w:rPr>
                <w:sz w:val="18"/>
                <w:szCs w:val="18"/>
              </w:rPr>
            </w:pPr>
            <w:r>
              <w:rPr>
                <w:sz w:val="18"/>
                <w:szCs w:val="18"/>
              </w:rPr>
              <w:t>Yoshida et al. (2009)</w:t>
            </w:r>
            <w:r w:rsidRPr="00A61DEF">
              <w:rPr>
                <w:sz w:val="18"/>
                <w:vertAlign w:val="superscript"/>
              </w:rPr>
              <w:t>42</w:t>
            </w:r>
            <w:r>
              <w:rPr>
                <w:sz w:val="18"/>
                <w:szCs w:val="18"/>
              </w:rPr>
              <w:t xml:space="preserve"> </w:t>
            </w:r>
          </w:p>
        </w:tc>
        <w:tc>
          <w:tcPr>
            <w:tcW w:w="2340" w:type="dxa"/>
            <w:tcBorders>
              <w:left w:val="single" w:sz="1" w:space="0" w:color="000000"/>
              <w:bottom w:val="single" w:sz="1" w:space="0" w:color="000000"/>
            </w:tcBorders>
            <w:shd w:val="clear" w:color="auto" w:fill="auto"/>
          </w:tcPr>
          <w:p w14:paraId="230F5255"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1DD65BED"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43914CCB" w14:textId="77777777" w:rsidR="00F15DEA" w:rsidRDefault="00F15DEA" w:rsidP="007F615F">
            <w:pPr>
              <w:pStyle w:val="TabellenInhalt"/>
            </w:pPr>
            <w:r>
              <w:rPr>
                <w:sz w:val="18"/>
                <w:szCs w:val="18"/>
              </w:rPr>
              <w:t>-</w:t>
            </w:r>
          </w:p>
        </w:tc>
      </w:tr>
      <w:tr w:rsidR="00F15DEA" w14:paraId="72BA134F" w14:textId="77777777" w:rsidTr="00F15DEA">
        <w:tc>
          <w:tcPr>
            <w:tcW w:w="2824" w:type="dxa"/>
            <w:tcBorders>
              <w:left w:val="single" w:sz="1" w:space="0" w:color="000000"/>
              <w:bottom w:val="single" w:sz="1" w:space="0" w:color="000000"/>
            </w:tcBorders>
            <w:shd w:val="clear" w:color="auto" w:fill="auto"/>
          </w:tcPr>
          <w:p w14:paraId="6B80D237" w14:textId="77777777" w:rsidR="00F15DEA" w:rsidRDefault="00F15DEA" w:rsidP="007F615F">
            <w:pPr>
              <w:rPr>
                <w:sz w:val="18"/>
                <w:szCs w:val="18"/>
              </w:rPr>
            </w:pPr>
            <w:r>
              <w:rPr>
                <w:sz w:val="18"/>
                <w:szCs w:val="18"/>
              </w:rPr>
              <w:t>Koo et al. (2008)</w:t>
            </w:r>
            <w:r w:rsidRPr="00A61DEF">
              <w:rPr>
                <w:sz w:val="18"/>
                <w:vertAlign w:val="superscript"/>
              </w:rPr>
              <w:t>43</w:t>
            </w:r>
          </w:p>
        </w:tc>
        <w:tc>
          <w:tcPr>
            <w:tcW w:w="2340" w:type="dxa"/>
            <w:tcBorders>
              <w:left w:val="single" w:sz="1" w:space="0" w:color="000000"/>
              <w:bottom w:val="single" w:sz="1" w:space="0" w:color="000000"/>
            </w:tcBorders>
            <w:shd w:val="clear" w:color="auto" w:fill="auto"/>
          </w:tcPr>
          <w:p w14:paraId="480D754D" w14:textId="77777777" w:rsidR="00F15DEA" w:rsidRDefault="00F15DEA" w:rsidP="007F615F">
            <w:pPr>
              <w:pStyle w:val="TabellenInhalt"/>
              <w:rPr>
                <w:sz w:val="18"/>
                <w:szCs w:val="18"/>
              </w:rPr>
            </w:pPr>
            <w:r>
              <w:rPr>
                <w:sz w:val="18"/>
                <w:szCs w:val="18"/>
              </w:rPr>
              <w:t>94%</w:t>
            </w:r>
          </w:p>
        </w:tc>
        <w:tc>
          <w:tcPr>
            <w:tcW w:w="2070" w:type="dxa"/>
            <w:tcBorders>
              <w:left w:val="single" w:sz="1" w:space="0" w:color="000000"/>
              <w:bottom w:val="single" w:sz="1" w:space="0" w:color="000000"/>
            </w:tcBorders>
            <w:shd w:val="clear" w:color="auto" w:fill="auto"/>
          </w:tcPr>
          <w:p w14:paraId="4759E569"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5EC2D033" w14:textId="77777777" w:rsidR="00F15DEA" w:rsidRDefault="00F15DEA" w:rsidP="007F615F">
            <w:pPr>
              <w:pStyle w:val="TabellenInhalt"/>
            </w:pPr>
            <w:r>
              <w:rPr>
                <w:sz w:val="18"/>
                <w:szCs w:val="18"/>
              </w:rPr>
              <w:t>No influence of medication dose on cingulate cortex volume</w:t>
            </w:r>
          </w:p>
        </w:tc>
      </w:tr>
      <w:tr w:rsidR="00F15DEA" w14:paraId="026989DB" w14:textId="77777777" w:rsidTr="00F15DEA">
        <w:tc>
          <w:tcPr>
            <w:tcW w:w="2824" w:type="dxa"/>
            <w:tcBorders>
              <w:left w:val="single" w:sz="1" w:space="0" w:color="000000"/>
              <w:bottom w:val="single" w:sz="1" w:space="0" w:color="000000"/>
            </w:tcBorders>
            <w:shd w:val="clear" w:color="auto" w:fill="auto"/>
          </w:tcPr>
          <w:p w14:paraId="6783B548" w14:textId="77777777" w:rsidR="00F15DEA" w:rsidRDefault="00F15DEA" w:rsidP="007F615F">
            <w:pPr>
              <w:rPr>
                <w:sz w:val="18"/>
                <w:szCs w:val="18"/>
              </w:rPr>
            </w:pPr>
            <w:r>
              <w:rPr>
                <w:sz w:val="18"/>
                <w:szCs w:val="18"/>
              </w:rPr>
              <w:t>Cobia et al. (2012)</w:t>
            </w:r>
            <w:r w:rsidRPr="00A61DEF">
              <w:rPr>
                <w:sz w:val="18"/>
                <w:vertAlign w:val="superscript"/>
              </w:rPr>
              <w:t>12</w:t>
            </w:r>
            <w:r>
              <w:rPr>
                <w:sz w:val="18"/>
                <w:szCs w:val="18"/>
              </w:rPr>
              <w:t xml:space="preserve"> </w:t>
            </w:r>
          </w:p>
        </w:tc>
        <w:tc>
          <w:tcPr>
            <w:tcW w:w="2340" w:type="dxa"/>
            <w:tcBorders>
              <w:left w:val="single" w:sz="1" w:space="0" w:color="000000"/>
              <w:bottom w:val="single" w:sz="1" w:space="0" w:color="000000"/>
            </w:tcBorders>
            <w:shd w:val="clear" w:color="auto" w:fill="auto"/>
          </w:tcPr>
          <w:p w14:paraId="42CE8776"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082FA0D3"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263961CC" w14:textId="77777777" w:rsidR="00F15DEA" w:rsidRDefault="00F15DEA" w:rsidP="007F615F">
            <w:r>
              <w:rPr>
                <w:sz w:val="18"/>
                <w:szCs w:val="18"/>
              </w:rPr>
              <w:t>Numbers refer to the interscan interval, no correlation of dose and cortical thickness</w:t>
            </w:r>
          </w:p>
        </w:tc>
      </w:tr>
      <w:tr w:rsidR="00F15DEA" w14:paraId="1A14583C" w14:textId="77777777" w:rsidTr="00F15DEA">
        <w:tc>
          <w:tcPr>
            <w:tcW w:w="2824" w:type="dxa"/>
            <w:tcBorders>
              <w:left w:val="single" w:sz="1" w:space="0" w:color="000000"/>
              <w:bottom w:val="single" w:sz="1" w:space="0" w:color="000000"/>
            </w:tcBorders>
            <w:shd w:val="clear" w:color="auto" w:fill="auto"/>
          </w:tcPr>
          <w:p w14:paraId="25DA599F" w14:textId="77777777" w:rsidR="00F15DEA" w:rsidRDefault="00F15DEA" w:rsidP="007F615F">
            <w:pPr>
              <w:rPr>
                <w:sz w:val="18"/>
                <w:szCs w:val="18"/>
              </w:rPr>
            </w:pPr>
            <w:r>
              <w:rPr>
                <w:sz w:val="18"/>
                <w:szCs w:val="18"/>
              </w:rPr>
              <w:t>Trzesniak et al. (2012)</w:t>
            </w:r>
            <w:r w:rsidRPr="00A61DEF">
              <w:rPr>
                <w:sz w:val="18"/>
                <w:vertAlign w:val="superscript"/>
              </w:rPr>
              <w:t>44</w:t>
            </w:r>
            <w:r>
              <w:rPr>
                <w:sz w:val="18"/>
                <w:szCs w:val="18"/>
              </w:rPr>
              <w:t xml:space="preserve"> </w:t>
            </w:r>
          </w:p>
        </w:tc>
        <w:tc>
          <w:tcPr>
            <w:tcW w:w="2340" w:type="dxa"/>
            <w:tcBorders>
              <w:left w:val="single" w:sz="1" w:space="0" w:color="000000"/>
              <w:bottom w:val="single" w:sz="1" w:space="0" w:color="000000"/>
            </w:tcBorders>
            <w:shd w:val="clear" w:color="auto" w:fill="auto"/>
          </w:tcPr>
          <w:p w14:paraId="44ACF20B" w14:textId="77777777" w:rsidR="00F15DEA" w:rsidRDefault="00F15DEA" w:rsidP="007F615F">
            <w:pPr>
              <w:pStyle w:val="TabellenInhalt"/>
              <w:rPr>
                <w:sz w:val="18"/>
                <w:szCs w:val="18"/>
              </w:rPr>
            </w:pPr>
            <w:r>
              <w:rPr>
                <w:sz w:val="18"/>
                <w:szCs w:val="18"/>
              </w:rPr>
              <w:t>?</w:t>
            </w:r>
          </w:p>
        </w:tc>
        <w:tc>
          <w:tcPr>
            <w:tcW w:w="2070" w:type="dxa"/>
            <w:tcBorders>
              <w:left w:val="single" w:sz="1" w:space="0" w:color="000000"/>
              <w:bottom w:val="single" w:sz="1" w:space="0" w:color="000000"/>
            </w:tcBorders>
            <w:shd w:val="clear" w:color="auto" w:fill="auto"/>
          </w:tcPr>
          <w:p w14:paraId="39CE7334"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40265840" w14:textId="77777777" w:rsidR="00F15DEA" w:rsidRDefault="00F15DEA" w:rsidP="007F615F">
            <w:pPr>
              <w:pStyle w:val="TabellenInhalt"/>
            </w:pPr>
            <w:r>
              <w:rPr>
                <w:sz w:val="18"/>
                <w:szCs w:val="18"/>
              </w:rPr>
              <w:t>-</w:t>
            </w:r>
          </w:p>
        </w:tc>
      </w:tr>
      <w:tr w:rsidR="00F15DEA" w14:paraId="222F555A" w14:textId="77777777" w:rsidTr="00F15DEA">
        <w:tc>
          <w:tcPr>
            <w:tcW w:w="2824" w:type="dxa"/>
            <w:tcBorders>
              <w:left w:val="single" w:sz="1" w:space="0" w:color="000000"/>
              <w:bottom w:val="single" w:sz="1" w:space="0" w:color="000000"/>
            </w:tcBorders>
            <w:shd w:val="clear" w:color="auto" w:fill="auto"/>
          </w:tcPr>
          <w:p w14:paraId="1989A621" w14:textId="77777777" w:rsidR="00F15DEA" w:rsidRDefault="00F15DEA" w:rsidP="007F615F">
            <w:pPr>
              <w:pStyle w:val="TabellenInhalt"/>
              <w:snapToGrid w:val="0"/>
              <w:rPr>
                <w:sz w:val="18"/>
                <w:szCs w:val="18"/>
              </w:rPr>
            </w:pPr>
          </w:p>
        </w:tc>
        <w:tc>
          <w:tcPr>
            <w:tcW w:w="2340" w:type="dxa"/>
            <w:tcBorders>
              <w:left w:val="single" w:sz="1" w:space="0" w:color="000000"/>
              <w:bottom w:val="single" w:sz="1" w:space="0" w:color="000000"/>
            </w:tcBorders>
            <w:shd w:val="clear" w:color="auto" w:fill="auto"/>
          </w:tcPr>
          <w:p w14:paraId="50B6F988"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168FC36E"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24491174" w14:textId="77777777" w:rsidR="00F15DEA" w:rsidRDefault="00F15DEA" w:rsidP="007F615F">
            <w:pPr>
              <w:pStyle w:val="TabellenInhalt"/>
              <w:snapToGrid w:val="0"/>
              <w:rPr>
                <w:sz w:val="18"/>
                <w:szCs w:val="18"/>
              </w:rPr>
            </w:pPr>
          </w:p>
        </w:tc>
      </w:tr>
      <w:tr w:rsidR="00F15DEA" w14:paraId="5149FFF6" w14:textId="77777777" w:rsidTr="00F15DEA">
        <w:tc>
          <w:tcPr>
            <w:tcW w:w="2824" w:type="dxa"/>
            <w:tcBorders>
              <w:left w:val="single" w:sz="1" w:space="0" w:color="000000"/>
              <w:bottom w:val="single" w:sz="1" w:space="0" w:color="000000"/>
            </w:tcBorders>
            <w:shd w:val="clear" w:color="auto" w:fill="auto"/>
          </w:tcPr>
          <w:p w14:paraId="0CEA18BE" w14:textId="77777777" w:rsidR="00F15DEA" w:rsidRDefault="00F15DEA" w:rsidP="007F615F">
            <w:pPr>
              <w:rPr>
                <w:sz w:val="18"/>
                <w:szCs w:val="18"/>
              </w:rPr>
            </w:pPr>
            <w:r>
              <w:rPr>
                <w:i/>
                <w:sz w:val="18"/>
                <w:szCs w:val="18"/>
              </w:rPr>
              <w:t>Neuroimaging (functional)</w:t>
            </w:r>
          </w:p>
        </w:tc>
        <w:tc>
          <w:tcPr>
            <w:tcW w:w="2340" w:type="dxa"/>
            <w:tcBorders>
              <w:left w:val="single" w:sz="1" w:space="0" w:color="000000"/>
              <w:bottom w:val="single" w:sz="1" w:space="0" w:color="000000"/>
            </w:tcBorders>
            <w:shd w:val="clear" w:color="auto" w:fill="auto"/>
          </w:tcPr>
          <w:p w14:paraId="0BC3E999" w14:textId="77777777" w:rsidR="00F15DEA" w:rsidRDefault="00F15DEA" w:rsidP="007F615F">
            <w:pPr>
              <w:pStyle w:val="TabellenInhalt"/>
              <w:snapToGrid w:val="0"/>
              <w:rPr>
                <w:sz w:val="18"/>
                <w:szCs w:val="18"/>
              </w:rPr>
            </w:pPr>
          </w:p>
        </w:tc>
        <w:tc>
          <w:tcPr>
            <w:tcW w:w="2070" w:type="dxa"/>
            <w:tcBorders>
              <w:left w:val="single" w:sz="1" w:space="0" w:color="000000"/>
              <w:bottom w:val="single" w:sz="1" w:space="0" w:color="000000"/>
            </w:tcBorders>
            <w:shd w:val="clear" w:color="auto" w:fill="auto"/>
          </w:tcPr>
          <w:p w14:paraId="75E54B60" w14:textId="77777777" w:rsidR="00F15DEA" w:rsidRDefault="00F15DEA" w:rsidP="007F615F">
            <w:pPr>
              <w:pStyle w:val="TabellenInhalt"/>
              <w:snapToGrid w:val="0"/>
              <w:rPr>
                <w:sz w:val="18"/>
                <w:szCs w:val="18"/>
              </w:rPr>
            </w:pPr>
          </w:p>
        </w:tc>
        <w:tc>
          <w:tcPr>
            <w:tcW w:w="2520" w:type="dxa"/>
            <w:tcBorders>
              <w:left w:val="single" w:sz="1" w:space="0" w:color="000000"/>
              <w:bottom w:val="single" w:sz="1" w:space="0" w:color="000000"/>
              <w:right w:val="single" w:sz="1" w:space="0" w:color="000000"/>
            </w:tcBorders>
            <w:shd w:val="clear" w:color="auto" w:fill="auto"/>
          </w:tcPr>
          <w:p w14:paraId="788995F0" w14:textId="77777777" w:rsidR="00F15DEA" w:rsidRDefault="00F15DEA" w:rsidP="007F615F">
            <w:pPr>
              <w:pStyle w:val="TabellenInhalt"/>
              <w:snapToGrid w:val="0"/>
              <w:rPr>
                <w:sz w:val="18"/>
                <w:szCs w:val="18"/>
              </w:rPr>
            </w:pPr>
          </w:p>
        </w:tc>
      </w:tr>
      <w:tr w:rsidR="00F15DEA" w14:paraId="553D9D73" w14:textId="77777777" w:rsidTr="00F15DEA">
        <w:tc>
          <w:tcPr>
            <w:tcW w:w="2824" w:type="dxa"/>
            <w:tcBorders>
              <w:left w:val="single" w:sz="1" w:space="0" w:color="000000"/>
              <w:bottom w:val="single" w:sz="1" w:space="0" w:color="000000"/>
            </w:tcBorders>
            <w:shd w:val="clear" w:color="auto" w:fill="auto"/>
          </w:tcPr>
          <w:p w14:paraId="1EED703D" w14:textId="77777777" w:rsidR="00F15DEA" w:rsidRDefault="00F15DEA" w:rsidP="007F615F">
            <w:pPr>
              <w:rPr>
                <w:sz w:val="18"/>
                <w:szCs w:val="18"/>
              </w:rPr>
            </w:pPr>
            <w:r>
              <w:rPr>
                <w:sz w:val="18"/>
                <w:szCs w:val="18"/>
              </w:rPr>
              <w:t>Reske et al. (2007)</w:t>
            </w:r>
            <w:r w:rsidRPr="00A61DEF">
              <w:rPr>
                <w:sz w:val="18"/>
                <w:vertAlign w:val="superscript"/>
              </w:rPr>
              <w:t>9</w:t>
            </w:r>
            <w:r>
              <w:rPr>
                <w:sz w:val="18"/>
                <w:szCs w:val="18"/>
              </w:rPr>
              <w:t xml:space="preserve"> </w:t>
            </w:r>
          </w:p>
        </w:tc>
        <w:tc>
          <w:tcPr>
            <w:tcW w:w="2340" w:type="dxa"/>
            <w:tcBorders>
              <w:left w:val="single" w:sz="1" w:space="0" w:color="000000"/>
              <w:bottom w:val="single" w:sz="1" w:space="0" w:color="000000"/>
            </w:tcBorders>
            <w:shd w:val="clear" w:color="auto" w:fill="auto"/>
          </w:tcPr>
          <w:p w14:paraId="15F78EE8"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55321D57" w14:textId="77777777" w:rsidR="00F15DEA" w:rsidRDefault="00F15DEA" w:rsidP="007F615F">
            <w:pPr>
              <w:pStyle w:val="TabellenInhalt"/>
              <w:rPr>
                <w:sz w:val="18"/>
                <w:szCs w:val="18"/>
              </w:rPr>
            </w:pPr>
            <w:r>
              <w:rPr>
                <w:sz w:val="18"/>
                <w:szCs w:val="18"/>
              </w:rPr>
              <w:t>Equal</w:t>
            </w:r>
          </w:p>
        </w:tc>
        <w:tc>
          <w:tcPr>
            <w:tcW w:w="2520" w:type="dxa"/>
            <w:tcBorders>
              <w:left w:val="single" w:sz="1" w:space="0" w:color="000000"/>
              <w:bottom w:val="single" w:sz="1" w:space="0" w:color="000000"/>
              <w:right w:val="single" w:sz="1" w:space="0" w:color="000000"/>
            </w:tcBorders>
            <w:shd w:val="clear" w:color="auto" w:fill="auto"/>
          </w:tcPr>
          <w:p w14:paraId="7E9C823F" w14:textId="77777777" w:rsidR="00F15DEA" w:rsidRDefault="00F15DEA" w:rsidP="007F615F">
            <w:pPr>
              <w:pStyle w:val="TabellenInhalt"/>
            </w:pPr>
            <w:r>
              <w:rPr>
                <w:sz w:val="18"/>
                <w:szCs w:val="18"/>
              </w:rPr>
              <w:t>-</w:t>
            </w:r>
          </w:p>
        </w:tc>
      </w:tr>
      <w:tr w:rsidR="00F15DEA" w14:paraId="3FAA6391" w14:textId="77777777" w:rsidTr="00F15DEA">
        <w:tc>
          <w:tcPr>
            <w:tcW w:w="2824" w:type="dxa"/>
            <w:tcBorders>
              <w:left w:val="single" w:sz="1" w:space="0" w:color="000000"/>
              <w:bottom w:val="single" w:sz="1" w:space="0" w:color="000000"/>
            </w:tcBorders>
            <w:shd w:val="clear" w:color="auto" w:fill="auto"/>
          </w:tcPr>
          <w:p w14:paraId="37CE3AA4" w14:textId="77777777" w:rsidR="00F15DEA" w:rsidRPr="00410902" w:rsidRDefault="00F15DEA" w:rsidP="007F615F">
            <w:pPr>
              <w:autoSpaceDE w:val="0"/>
              <w:autoSpaceDN w:val="0"/>
              <w:adjustRightInd w:val="0"/>
            </w:pPr>
            <w:r>
              <w:rPr>
                <w:sz w:val="18"/>
                <w:szCs w:val="18"/>
              </w:rPr>
              <w:t>Théberge et al. (2007)</w:t>
            </w:r>
            <w:r>
              <w:rPr>
                <w:vertAlign w:val="superscript"/>
              </w:rPr>
              <w:t>45</w:t>
            </w:r>
          </w:p>
        </w:tc>
        <w:tc>
          <w:tcPr>
            <w:tcW w:w="2340" w:type="dxa"/>
            <w:tcBorders>
              <w:left w:val="single" w:sz="1" w:space="0" w:color="000000"/>
              <w:bottom w:val="single" w:sz="1" w:space="0" w:color="000000"/>
            </w:tcBorders>
            <w:shd w:val="clear" w:color="auto" w:fill="auto"/>
          </w:tcPr>
          <w:p w14:paraId="7DAC74B3" w14:textId="77777777" w:rsidR="00F15DEA" w:rsidRDefault="00F15DEA" w:rsidP="007F615F">
            <w:pPr>
              <w:pStyle w:val="TabellenInhalt"/>
              <w:rPr>
                <w:sz w:val="18"/>
                <w:szCs w:val="18"/>
              </w:rPr>
            </w:pPr>
            <w:r>
              <w:rPr>
                <w:sz w:val="18"/>
                <w:szCs w:val="18"/>
              </w:rPr>
              <w:t>0%</w:t>
            </w:r>
          </w:p>
        </w:tc>
        <w:tc>
          <w:tcPr>
            <w:tcW w:w="2070" w:type="dxa"/>
            <w:tcBorders>
              <w:left w:val="single" w:sz="1" w:space="0" w:color="000000"/>
              <w:bottom w:val="single" w:sz="1" w:space="0" w:color="000000"/>
            </w:tcBorders>
            <w:shd w:val="clear" w:color="auto" w:fill="auto"/>
          </w:tcPr>
          <w:p w14:paraId="5C05F009" w14:textId="77777777" w:rsidR="00F15DEA" w:rsidRDefault="00F15DEA" w:rsidP="007F615F">
            <w:pPr>
              <w:pStyle w:val="TabellenInhalt"/>
              <w:rPr>
                <w:sz w:val="18"/>
                <w:szCs w:val="18"/>
              </w:rPr>
            </w:pPr>
            <w:r>
              <w:rPr>
                <w:sz w:val="18"/>
                <w:szCs w:val="18"/>
              </w:rPr>
              <w:t>-</w:t>
            </w:r>
          </w:p>
        </w:tc>
        <w:tc>
          <w:tcPr>
            <w:tcW w:w="2520" w:type="dxa"/>
            <w:tcBorders>
              <w:left w:val="single" w:sz="1" w:space="0" w:color="000000"/>
              <w:bottom w:val="single" w:sz="1" w:space="0" w:color="000000"/>
              <w:right w:val="single" w:sz="1" w:space="0" w:color="000000"/>
            </w:tcBorders>
            <w:shd w:val="clear" w:color="auto" w:fill="auto"/>
          </w:tcPr>
          <w:p w14:paraId="6AD67098" w14:textId="77777777" w:rsidR="00F15DEA" w:rsidRDefault="00F15DEA" w:rsidP="007F615F">
            <w:r>
              <w:rPr>
                <w:sz w:val="18"/>
                <w:szCs w:val="18"/>
              </w:rPr>
              <w:t>At the 2nd and 3rd follow-up, 88% and 81%  were treated with APs, respectively</w:t>
            </w:r>
          </w:p>
        </w:tc>
      </w:tr>
      <w:tr w:rsidR="00F15DEA" w14:paraId="30AE4085" w14:textId="77777777" w:rsidTr="00F15DEA">
        <w:tc>
          <w:tcPr>
            <w:tcW w:w="2824" w:type="dxa"/>
            <w:tcBorders>
              <w:left w:val="single" w:sz="1" w:space="0" w:color="000000"/>
              <w:bottom w:val="single" w:sz="1" w:space="0" w:color="000000"/>
            </w:tcBorders>
            <w:shd w:val="clear" w:color="auto" w:fill="auto"/>
          </w:tcPr>
          <w:p w14:paraId="06BA7E55" w14:textId="77777777" w:rsidR="00F15DEA" w:rsidRDefault="00F15DEA" w:rsidP="007F615F">
            <w:pPr>
              <w:rPr>
                <w:sz w:val="18"/>
                <w:szCs w:val="18"/>
              </w:rPr>
            </w:pPr>
            <w:r>
              <w:rPr>
                <w:sz w:val="18"/>
                <w:szCs w:val="18"/>
              </w:rPr>
              <w:t>Maïza et al. (2011)</w:t>
            </w:r>
            <w:r w:rsidRPr="00A61DEF">
              <w:rPr>
                <w:sz w:val="18"/>
                <w:vertAlign w:val="superscript"/>
              </w:rPr>
              <w:t>11</w:t>
            </w:r>
            <w:r>
              <w:rPr>
                <w:sz w:val="18"/>
                <w:szCs w:val="18"/>
              </w:rPr>
              <w:t xml:space="preserve"> </w:t>
            </w:r>
          </w:p>
        </w:tc>
        <w:tc>
          <w:tcPr>
            <w:tcW w:w="2340" w:type="dxa"/>
            <w:tcBorders>
              <w:left w:val="single" w:sz="1" w:space="0" w:color="000000"/>
              <w:bottom w:val="single" w:sz="1" w:space="0" w:color="000000"/>
            </w:tcBorders>
            <w:shd w:val="clear" w:color="auto" w:fill="auto"/>
          </w:tcPr>
          <w:p w14:paraId="3B8D2F63" w14:textId="77777777" w:rsidR="00F15DEA" w:rsidRDefault="00F15DEA" w:rsidP="007F615F">
            <w:pPr>
              <w:pStyle w:val="TabellenInhalt"/>
              <w:rPr>
                <w:sz w:val="18"/>
                <w:szCs w:val="18"/>
              </w:rPr>
            </w:pPr>
            <w:r>
              <w:rPr>
                <w:sz w:val="18"/>
                <w:szCs w:val="18"/>
              </w:rPr>
              <w:t>100%</w:t>
            </w:r>
          </w:p>
        </w:tc>
        <w:tc>
          <w:tcPr>
            <w:tcW w:w="2070" w:type="dxa"/>
            <w:tcBorders>
              <w:left w:val="single" w:sz="1" w:space="0" w:color="000000"/>
              <w:bottom w:val="single" w:sz="1" w:space="0" w:color="000000"/>
            </w:tcBorders>
            <w:shd w:val="clear" w:color="auto" w:fill="auto"/>
          </w:tcPr>
          <w:p w14:paraId="325FBEC2" w14:textId="77777777" w:rsidR="00F15DEA" w:rsidRDefault="00F15DEA" w:rsidP="007F615F">
            <w:pPr>
              <w:pStyle w:val="TabellenInhalt"/>
              <w:rPr>
                <w:sz w:val="18"/>
                <w:szCs w:val="18"/>
              </w:rPr>
            </w:pPr>
            <w:r>
              <w:rPr>
                <w:sz w:val="18"/>
                <w:szCs w:val="18"/>
              </w:rPr>
              <w:t>Atypical</w:t>
            </w:r>
          </w:p>
        </w:tc>
        <w:tc>
          <w:tcPr>
            <w:tcW w:w="2520" w:type="dxa"/>
            <w:tcBorders>
              <w:left w:val="single" w:sz="1" w:space="0" w:color="000000"/>
              <w:bottom w:val="single" w:sz="1" w:space="0" w:color="000000"/>
              <w:right w:val="single" w:sz="1" w:space="0" w:color="000000"/>
            </w:tcBorders>
            <w:shd w:val="clear" w:color="auto" w:fill="auto"/>
          </w:tcPr>
          <w:p w14:paraId="1E25F17E" w14:textId="77777777" w:rsidR="00F15DEA" w:rsidRDefault="00F15DEA" w:rsidP="007F615F">
            <w:pPr>
              <w:pStyle w:val="TabellenInhalt"/>
            </w:pPr>
            <w:r>
              <w:rPr>
                <w:sz w:val="18"/>
                <w:szCs w:val="18"/>
              </w:rPr>
              <w:t>-</w:t>
            </w:r>
          </w:p>
        </w:tc>
      </w:tr>
    </w:tbl>
    <w:p w14:paraId="27EE0EAD" w14:textId="77777777" w:rsidR="00AA7326" w:rsidRDefault="00AA7326"/>
    <w:sectPr w:rsidR="00AA7326" w:rsidSect="00F15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EA"/>
    <w:rsid w:val="009C7B31"/>
    <w:rsid w:val="00AA7326"/>
    <w:rsid w:val="00F1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F624"/>
  <w15:chartTrackingRefBased/>
  <w15:docId w15:val="{20404A4F-E99F-4920-95D5-3DC55F8E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DEA"/>
    <w:pPr>
      <w:widowControl w:val="0"/>
      <w:suppressAutoHyphens/>
      <w:spacing w:after="0" w:line="240" w:lineRule="auto"/>
    </w:pPr>
    <w:rPr>
      <w:rFonts w:ascii="Times New Roman" w:eastAsia="Times New Roman" w:hAnsi="Times New Roman" w:cs="Times New Roman"/>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lenInhalt">
    <w:name w:val="Tabellen Inhalt"/>
    <w:basedOn w:val="Normal"/>
    <w:rsid w:val="00F15DE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scher</dc:creator>
  <cp:keywords/>
  <dc:description/>
  <cp:lastModifiedBy>stephen scher</cp:lastModifiedBy>
  <cp:revision>2</cp:revision>
  <dcterms:created xsi:type="dcterms:W3CDTF">2016-02-08T00:52:00Z</dcterms:created>
  <dcterms:modified xsi:type="dcterms:W3CDTF">2016-02-08T01:02:00Z</dcterms:modified>
</cp:coreProperties>
</file>