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57D05" w14:textId="77777777" w:rsidR="00B71858" w:rsidRDefault="00B71858" w:rsidP="00B71858">
      <w:pPr>
        <w:spacing w:line="480" w:lineRule="auto"/>
        <w:jc w:val="both"/>
        <w:rPr>
          <w:b/>
          <w:sz w:val="28"/>
          <w:lang w:val="en-US"/>
        </w:rPr>
      </w:pPr>
      <w:r w:rsidRPr="006C2060">
        <w:rPr>
          <w:b/>
          <w:sz w:val="28"/>
          <w:lang w:val="en-US"/>
        </w:rPr>
        <w:t xml:space="preserve">Potent </w:t>
      </w:r>
      <w:r w:rsidRPr="006C2060">
        <w:rPr>
          <w:b/>
          <w:iCs/>
          <w:sz w:val="28"/>
          <w:lang w:val="en-US"/>
        </w:rPr>
        <w:t>preclinical</w:t>
      </w:r>
      <w:r w:rsidRPr="006C2060">
        <w:rPr>
          <w:b/>
          <w:i/>
          <w:sz w:val="28"/>
          <w:lang w:val="en-US"/>
        </w:rPr>
        <w:t xml:space="preserve"> </w:t>
      </w:r>
      <w:r w:rsidRPr="006C2060">
        <w:rPr>
          <w:b/>
          <w:sz w:val="28"/>
          <w:lang w:val="en-US"/>
        </w:rPr>
        <w:t>efficacy of DuoHexaB</w:t>
      </w:r>
      <w:r>
        <w:rPr>
          <w:b/>
          <w:sz w:val="28"/>
          <w:lang w:val="en-US"/>
        </w:rPr>
        <w:t>ody-CD37 in patients with newly d</w:t>
      </w:r>
      <w:r w:rsidRPr="006C2060">
        <w:rPr>
          <w:b/>
          <w:sz w:val="28"/>
          <w:lang w:val="en-US"/>
        </w:rPr>
        <w:t>iagnosed and relapsed/refractory B-cell malignancies</w:t>
      </w:r>
    </w:p>
    <w:p w14:paraId="42D457EF" w14:textId="43A98C96" w:rsidR="00E021DB" w:rsidRPr="00B71858" w:rsidRDefault="007F1C7B" w:rsidP="00E021DB">
      <w:pPr>
        <w:spacing w:line="360" w:lineRule="auto"/>
        <w:jc w:val="both"/>
        <w:rPr>
          <w:b/>
          <w:noProof/>
          <w:sz w:val="28"/>
          <w:lang w:val="en-US" w:eastAsia="nl-NL"/>
        </w:rPr>
      </w:pPr>
      <w:r w:rsidRPr="00B71858">
        <w:rPr>
          <w:b/>
          <w:noProof/>
          <w:sz w:val="28"/>
          <w:lang w:val="en-US" w:eastAsia="nl-NL"/>
        </w:rPr>
        <w:t>Supplementa</w:t>
      </w:r>
      <w:r w:rsidR="00835733" w:rsidRPr="00B71858">
        <w:rPr>
          <w:b/>
          <w:noProof/>
          <w:sz w:val="28"/>
          <w:lang w:val="en-US" w:eastAsia="nl-NL"/>
        </w:rPr>
        <w:t xml:space="preserve">l </w:t>
      </w:r>
      <w:r w:rsidR="00E021DB" w:rsidRPr="00B71858">
        <w:rPr>
          <w:b/>
          <w:noProof/>
          <w:sz w:val="28"/>
          <w:lang w:val="en-US" w:eastAsia="nl-NL"/>
        </w:rPr>
        <w:t>Material and Methods</w:t>
      </w:r>
    </w:p>
    <w:p w14:paraId="673E467C" w14:textId="77777777" w:rsidR="00E021DB" w:rsidRPr="00E021DB" w:rsidRDefault="00E021DB" w:rsidP="00E021DB">
      <w:pPr>
        <w:spacing w:line="480" w:lineRule="auto"/>
        <w:jc w:val="both"/>
        <w:rPr>
          <w:b/>
          <w:noProof/>
          <w:sz w:val="24"/>
          <w:lang w:val="en-US" w:eastAsia="nl-NL"/>
        </w:rPr>
      </w:pPr>
      <w:r w:rsidRPr="00E021DB">
        <w:rPr>
          <w:b/>
          <w:noProof/>
          <w:sz w:val="24"/>
          <w:lang w:val="en-US" w:eastAsia="nl-NL"/>
        </w:rPr>
        <w:t>Therapeutic Antibodies</w:t>
      </w:r>
    </w:p>
    <w:p w14:paraId="5B22FB01" w14:textId="579151D9" w:rsidR="00E021DB" w:rsidRPr="00E021DB" w:rsidRDefault="00E021DB" w:rsidP="00E021DB">
      <w:pPr>
        <w:spacing w:line="480" w:lineRule="auto"/>
        <w:jc w:val="both"/>
        <w:rPr>
          <w:noProof/>
          <w:sz w:val="24"/>
          <w:lang w:val="en-US" w:eastAsia="nl-NL"/>
        </w:rPr>
      </w:pPr>
      <w:r w:rsidRPr="00E021DB">
        <w:rPr>
          <w:noProof/>
          <w:sz w:val="24"/>
          <w:lang w:val="en-US" w:eastAsia="nl-NL"/>
        </w:rPr>
        <w:t>DuoHexaBody-CD37 and the negative control</w:t>
      </w:r>
      <w:r w:rsidR="002856C9">
        <w:rPr>
          <w:noProof/>
          <w:sz w:val="24"/>
          <w:lang w:val="en-US" w:eastAsia="nl-NL"/>
        </w:rPr>
        <w:t xml:space="preserve"> </w:t>
      </w:r>
      <w:r w:rsidRPr="00E021DB">
        <w:rPr>
          <w:noProof/>
          <w:sz w:val="24"/>
          <w:lang w:val="en-US" w:eastAsia="nl-NL"/>
        </w:rPr>
        <w:t xml:space="preserve">anti-HIV-1 gp120 antibody IgG1-b12 </w:t>
      </w:r>
      <w:r w:rsidR="003A29FD">
        <w:rPr>
          <w:noProof/>
          <w:sz w:val="24"/>
          <w:lang w:val="en-US" w:eastAsia="nl-NL"/>
        </w:rPr>
        <w:t xml:space="preserve">(mentioned in manuscript as IgG1-ctrl) </w:t>
      </w:r>
      <w:r w:rsidRPr="00E021DB">
        <w:rPr>
          <w:noProof/>
          <w:sz w:val="24"/>
          <w:lang w:val="en-US" w:eastAsia="nl-NL"/>
        </w:rPr>
        <w:t>were  gener</w:t>
      </w:r>
      <w:r w:rsidR="0023260C">
        <w:rPr>
          <w:noProof/>
          <w:sz w:val="24"/>
          <w:lang w:val="en-US" w:eastAsia="nl-NL"/>
        </w:rPr>
        <w:t>ated by Genmab (Utrecht, The Ne</w:t>
      </w:r>
      <w:r w:rsidRPr="00E021DB">
        <w:rPr>
          <w:noProof/>
          <w:sz w:val="24"/>
          <w:lang w:val="en-US" w:eastAsia="nl-NL"/>
        </w:rPr>
        <w:t>t</w:t>
      </w:r>
      <w:r w:rsidR="0023260C">
        <w:rPr>
          <w:noProof/>
          <w:sz w:val="24"/>
          <w:lang w:val="en-US" w:eastAsia="nl-NL"/>
        </w:rPr>
        <w:t>h</w:t>
      </w:r>
      <w:r w:rsidRPr="00E021DB">
        <w:rPr>
          <w:noProof/>
          <w:sz w:val="24"/>
          <w:lang w:val="en-US" w:eastAsia="nl-NL"/>
        </w:rPr>
        <w:t xml:space="preserve">erlands) as previously described (S.C. Oostindie et al., 2019). Rituximab (MabThera®) </w:t>
      </w:r>
      <w:r w:rsidR="00B11A10">
        <w:rPr>
          <w:noProof/>
          <w:sz w:val="24"/>
          <w:lang w:val="en-US" w:eastAsia="nl-NL"/>
        </w:rPr>
        <w:t>and ofatumumab (Arzerra</w:t>
      </w:r>
      <w:r w:rsidR="00B11A10">
        <w:rPr>
          <w:rFonts w:cstheme="minorHAnsi"/>
          <w:noProof/>
          <w:sz w:val="24"/>
          <w:lang w:val="en-US" w:eastAsia="nl-NL"/>
        </w:rPr>
        <w:t>®</w:t>
      </w:r>
      <w:r w:rsidR="00B11A10">
        <w:rPr>
          <w:noProof/>
          <w:sz w:val="24"/>
          <w:lang w:val="en-US" w:eastAsia="nl-NL"/>
        </w:rPr>
        <w:t>) were</w:t>
      </w:r>
      <w:r w:rsidRPr="00E021DB">
        <w:rPr>
          <w:noProof/>
          <w:sz w:val="24"/>
          <w:lang w:val="en-US" w:eastAsia="nl-NL"/>
        </w:rPr>
        <w:t xml:space="preserve"> obtained from Genmab.</w:t>
      </w:r>
    </w:p>
    <w:p w14:paraId="68044E25" w14:textId="77777777" w:rsidR="00E021DB" w:rsidRPr="00E021DB" w:rsidRDefault="00E021DB" w:rsidP="00E021DB">
      <w:pPr>
        <w:spacing w:line="480" w:lineRule="auto"/>
        <w:jc w:val="both"/>
        <w:rPr>
          <w:b/>
          <w:noProof/>
          <w:sz w:val="24"/>
          <w:lang w:val="en-US" w:eastAsia="nl-NL"/>
        </w:rPr>
      </w:pPr>
      <w:r w:rsidRPr="00E021DB">
        <w:rPr>
          <w:b/>
          <w:noProof/>
          <w:sz w:val="24"/>
          <w:lang w:val="en-US" w:eastAsia="nl-NL"/>
        </w:rPr>
        <w:t>Patient samples</w:t>
      </w:r>
    </w:p>
    <w:p w14:paraId="0836DA28" w14:textId="3447350C" w:rsidR="00E021DB" w:rsidRPr="00E021DB" w:rsidRDefault="00E021DB" w:rsidP="00E021DB">
      <w:pPr>
        <w:spacing w:line="480" w:lineRule="auto"/>
        <w:jc w:val="both"/>
        <w:rPr>
          <w:sz w:val="24"/>
          <w:lang w:val="en-US"/>
        </w:rPr>
      </w:pPr>
      <w:r w:rsidRPr="00E021DB">
        <w:rPr>
          <w:rFonts w:cs="Times New Roman"/>
          <w:sz w:val="24"/>
          <w:szCs w:val="24"/>
          <w:lang w:val="en-US"/>
        </w:rPr>
        <w:t xml:space="preserve">According to the Dutch Central Committee on Research involving Human Subjects (CCMO), this type of study does not require approval from an ethics committee. Primary patient samples </w:t>
      </w:r>
      <w:proofErr w:type="spellStart"/>
      <w:r w:rsidRPr="00E021DB">
        <w:rPr>
          <w:rFonts w:cs="Times New Roman"/>
          <w:sz w:val="24"/>
          <w:szCs w:val="24"/>
          <w:lang w:val="en-US"/>
        </w:rPr>
        <w:t>were</w:t>
      </w:r>
      <w:r w:rsidR="00200ADC">
        <w:rPr>
          <w:rFonts w:cs="Times New Roman"/>
          <w:sz w:val="24"/>
          <w:szCs w:val="24"/>
          <w:lang w:val="en-US"/>
        </w:rPr>
        <w:t>h</w:t>
      </w:r>
      <w:proofErr w:type="spellEnd"/>
      <w:r w:rsidRPr="00E021DB">
        <w:rPr>
          <w:rFonts w:cs="Times New Roman"/>
          <w:sz w:val="24"/>
          <w:szCs w:val="24"/>
          <w:lang w:val="en-US"/>
        </w:rPr>
        <w:t xml:space="preserve"> collected at Amsterdam University Medical Center, location </w:t>
      </w:r>
      <w:proofErr w:type="spellStart"/>
      <w:r w:rsidRPr="00E021DB">
        <w:rPr>
          <w:rFonts w:cs="Times New Roman"/>
          <w:sz w:val="24"/>
          <w:szCs w:val="24"/>
          <w:lang w:val="en-US"/>
        </w:rPr>
        <w:t>VUmc</w:t>
      </w:r>
      <w:proofErr w:type="spellEnd"/>
      <w:r w:rsidRPr="00E021DB">
        <w:rPr>
          <w:rFonts w:cs="Times New Roman"/>
          <w:sz w:val="24"/>
          <w:szCs w:val="24"/>
          <w:lang w:val="en-US"/>
        </w:rPr>
        <w:t xml:space="preserve">, according to the </w:t>
      </w:r>
      <w:r w:rsidRPr="00E021DB">
        <w:rPr>
          <w:rFonts w:cs="Times New Roman"/>
          <w:i/>
          <w:sz w:val="24"/>
          <w:szCs w:val="24"/>
          <w:lang w:val="en-US"/>
        </w:rPr>
        <w:t>code of conduct for medical research</w:t>
      </w:r>
      <w:r w:rsidRPr="00E021DB">
        <w:rPr>
          <w:rFonts w:cs="Times New Roman"/>
          <w:sz w:val="24"/>
          <w:szCs w:val="24"/>
          <w:lang w:val="en-US"/>
        </w:rPr>
        <w:t>. Tissues from lymph node biopsies were mechanically disrupted,</w:t>
      </w:r>
      <w:r w:rsidRPr="00E021DB">
        <w:rPr>
          <w:sz w:val="24"/>
          <w:lang w:val="en-US"/>
        </w:rPr>
        <w:t xml:space="preserve"> cultured overnight </w:t>
      </w:r>
      <w:r w:rsidRPr="00E021DB">
        <w:rPr>
          <w:sz w:val="24"/>
          <w:szCs w:val="24"/>
          <w:lang w:val="en-US"/>
        </w:rPr>
        <w:t>in a fully humidified incubator</w:t>
      </w:r>
      <w:r w:rsidR="00176EF3">
        <w:rPr>
          <w:sz w:val="24"/>
          <w:szCs w:val="24"/>
          <w:lang w:val="en-US"/>
        </w:rPr>
        <w:t xml:space="preserve"> </w:t>
      </w:r>
      <w:r w:rsidRPr="00E021DB">
        <w:rPr>
          <w:sz w:val="24"/>
          <w:szCs w:val="24"/>
          <w:lang w:val="en-US"/>
        </w:rPr>
        <w:t xml:space="preserve">and </w:t>
      </w:r>
      <w:r w:rsidR="006E25B5">
        <w:rPr>
          <w:sz w:val="24"/>
          <w:szCs w:val="24"/>
          <w:lang w:val="en-US"/>
        </w:rPr>
        <w:t xml:space="preserve">the </w:t>
      </w:r>
      <w:r w:rsidRPr="00E021DB">
        <w:rPr>
          <w:sz w:val="24"/>
          <w:szCs w:val="24"/>
          <w:lang w:val="en-US"/>
        </w:rPr>
        <w:t>cells in su</w:t>
      </w:r>
      <w:r w:rsidR="006E25B5">
        <w:rPr>
          <w:sz w:val="24"/>
          <w:szCs w:val="24"/>
          <w:lang w:val="en-US"/>
        </w:rPr>
        <w:t>s</w:t>
      </w:r>
      <w:r w:rsidRPr="00E021DB">
        <w:rPr>
          <w:sz w:val="24"/>
          <w:szCs w:val="24"/>
          <w:lang w:val="en-US"/>
        </w:rPr>
        <w:t>pension were collected</w:t>
      </w:r>
      <w:r w:rsidR="006E25B5">
        <w:rPr>
          <w:sz w:val="24"/>
          <w:szCs w:val="24"/>
          <w:lang w:val="en-US"/>
        </w:rPr>
        <w:t xml:space="preserve"> </w:t>
      </w:r>
      <w:r w:rsidR="00527244">
        <w:rPr>
          <w:sz w:val="24"/>
          <w:szCs w:val="24"/>
          <w:lang w:val="en-US"/>
        </w:rPr>
        <w:t>and cryopreserved in liquid nitrogen</w:t>
      </w:r>
      <w:bookmarkStart w:id="0" w:name="_GoBack"/>
      <w:bookmarkEnd w:id="0"/>
      <w:r w:rsidR="00527244">
        <w:rPr>
          <w:sz w:val="24"/>
          <w:szCs w:val="24"/>
          <w:lang w:val="en-US"/>
        </w:rPr>
        <w:t xml:space="preserve"> until further use. For 7 CLL </w:t>
      </w:r>
      <w:r w:rsidR="00F6669B">
        <w:rPr>
          <w:sz w:val="24"/>
          <w:szCs w:val="24"/>
          <w:lang w:val="en-US"/>
        </w:rPr>
        <w:t xml:space="preserve">samples </w:t>
      </w:r>
      <w:r w:rsidR="00527244">
        <w:rPr>
          <w:sz w:val="24"/>
          <w:szCs w:val="24"/>
          <w:lang w:val="en-US"/>
        </w:rPr>
        <w:t>and 1 MCL sample tumor cells were isolated from mononuclear cells of the b</w:t>
      </w:r>
      <w:r w:rsidRPr="00E021DB">
        <w:rPr>
          <w:sz w:val="24"/>
          <w:szCs w:val="24"/>
          <w:lang w:val="en-US"/>
        </w:rPr>
        <w:t xml:space="preserve">one marrow (BMNCs) or peripheral blood (PBMCs) </w:t>
      </w:r>
      <w:r w:rsidRPr="00E021DB">
        <w:rPr>
          <w:sz w:val="24"/>
          <w:lang w:val="en-US"/>
        </w:rPr>
        <w:t>by density-gradient centrifugation (</w:t>
      </w:r>
      <w:proofErr w:type="spellStart"/>
      <w:r w:rsidRPr="00E021DB">
        <w:rPr>
          <w:sz w:val="24"/>
          <w:lang w:val="en-US"/>
        </w:rPr>
        <w:t>Ficoll-Paque</w:t>
      </w:r>
      <w:proofErr w:type="spellEnd"/>
      <w:r w:rsidRPr="00E021DB">
        <w:rPr>
          <w:sz w:val="24"/>
          <w:lang w:val="en-US"/>
        </w:rPr>
        <w:t xml:space="preserve"> PLUS, </w:t>
      </w:r>
      <w:proofErr w:type="spellStart"/>
      <w:r w:rsidR="00AD3F6F">
        <w:rPr>
          <w:sz w:val="24"/>
          <w:lang w:val="en-US"/>
        </w:rPr>
        <w:t>Cytiva</w:t>
      </w:r>
      <w:proofErr w:type="spellEnd"/>
      <w:r w:rsidR="00AD3F6F">
        <w:rPr>
          <w:sz w:val="24"/>
          <w:lang w:val="en-US"/>
        </w:rPr>
        <w:t>, MA, USA</w:t>
      </w:r>
      <w:r w:rsidRPr="00E021DB">
        <w:rPr>
          <w:sz w:val="24"/>
          <w:lang w:val="en-US"/>
        </w:rPr>
        <w:t>) according to manufacturer’s instructions, and were either used directly or cryopreserved in liquid nitrogen until further use.</w:t>
      </w:r>
      <w:r w:rsidRPr="00E021DB">
        <w:rPr>
          <w:lang w:val="en-US"/>
        </w:rPr>
        <w:t xml:space="preserve"> </w:t>
      </w:r>
    </w:p>
    <w:p w14:paraId="3B5BD58C" w14:textId="77777777" w:rsidR="00E021DB" w:rsidRPr="00E021DB" w:rsidRDefault="00E021DB" w:rsidP="00E021DB">
      <w:pPr>
        <w:spacing w:line="480" w:lineRule="auto"/>
        <w:jc w:val="both"/>
        <w:rPr>
          <w:b/>
          <w:noProof/>
          <w:sz w:val="24"/>
          <w:lang w:val="en-US" w:eastAsia="nl-NL"/>
        </w:rPr>
      </w:pPr>
      <w:r w:rsidRPr="00E021DB">
        <w:rPr>
          <w:b/>
          <w:noProof/>
          <w:sz w:val="24"/>
          <w:lang w:val="en-US" w:eastAsia="nl-NL"/>
        </w:rPr>
        <w:t>Tumor-specific surface markers</w:t>
      </w:r>
    </w:p>
    <w:p w14:paraId="4D1C2B5C" w14:textId="73025413" w:rsidR="00E021DB" w:rsidRPr="00E021DB" w:rsidRDefault="00835733" w:rsidP="00E021DB">
      <w:pPr>
        <w:spacing w:line="480" w:lineRule="auto"/>
        <w:jc w:val="both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lastRenderedPageBreak/>
        <w:t>B</w:t>
      </w:r>
      <w:r w:rsidR="00AB2E3B">
        <w:rPr>
          <w:noProof/>
          <w:sz w:val="24"/>
          <w:lang w:val="en-US" w:eastAsia="nl-NL"/>
        </w:rPr>
        <w:t xml:space="preserve"> </w:t>
      </w:r>
      <w:r>
        <w:rPr>
          <w:noProof/>
          <w:sz w:val="24"/>
          <w:lang w:val="en-US" w:eastAsia="nl-NL"/>
        </w:rPr>
        <w:t>cell</w:t>
      </w:r>
      <w:r w:rsidR="00E021DB" w:rsidRPr="00E021DB">
        <w:rPr>
          <w:noProof/>
          <w:sz w:val="24"/>
          <w:lang w:val="en-US" w:eastAsia="nl-NL"/>
        </w:rPr>
        <w:t xml:space="preserve">s were identified </w:t>
      </w:r>
      <w:r w:rsidR="00184EF5">
        <w:rPr>
          <w:noProof/>
          <w:sz w:val="24"/>
          <w:lang w:val="en-US" w:eastAsia="nl-NL"/>
        </w:rPr>
        <w:t>using</w:t>
      </w:r>
      <w:r w:rsidR="00184EF5" w:rsidRPr="00E021DB">
        <w:rPr>
          <w:noProof/>
          <w:sz w:val="24"/>
          <w:lang w:val="en-US" w:eastAsia="nl-NL"/>
        </w:rPr>
        <w:t xml:space="preserve"> </w:t>
      </w:r>
      <w:r w:rsidR="00E021DB" w:rsidRPr="00E021DB">
        <w:rPr>
          <w:noProof/>
          <w:sz w:val="24"/>
          <w:lang w:val="en-US" w:eastAsia="nl-NL"/>
        </w:rPr>
        <w:t>flow cytometry by gating for CD3</w:t>
      </w:r>
      <w:r w:rsidR="00E021DB" w:rsidRPr="00E021DB">
        <w:rPr>
          <w:noProof/>
          <w:sz w:val="24"/>
          <w:vertAlign w:val="superscript"/>
          <w:lang w:val="en-US" w:eastAsia="nl-NL"/>
        </w:rPr>
        <w:t>-</w:t>
      </w:r>
      <w:r w:rsidR="00E021DB" w:rsidRPr="00E021DB">
        <w:rPr>
          <w:noProof/>
          <w:sz w:val="24"/>
          <w:lang w:val="en-US" w:eastAsia="nl-NL"/>
        </w:rPr>
        <w:t>CD19</w:t>
      </w:r>
      <w:r w:rsidR="00E021DB" w:rsidRPr="00E021DB">
        <w:rPr>
          <w:noProof/>
          <w:sz w:val="24"/>
          <w:vertAlign w:val="superscript"/>
          <w:lang w:val="en-US" w:eastAsia="nl-NL"/>
        </w:rPr>
        <w:t>+</w:t>
      </w:r>
      <w:r w:rsidR="00E021DB" w:rsidRPr="00E021DB">
        <w:rPr>
          <w:noProof/>
          <w:sz w:val="24"/>
          <w:lang w:val="en-US" w:eastAsia="nl-NL"/>
        </w:rPr>
        <w:t xml:space="preserve"> cells within the CD45</w:t>
      </w:r>
      <w:r w:rsidR="00E021DB" w:rsidRPr="00E021DB">
        <w:rPr>
          <w:noProof/>
          <w:sz w:val="24"/>
          <w:vertAlign w:val="superscript"/>
          <w:lang w:val="en-US" w:eastAsia="nl-NL"/>
        </w:rPr>
        <w:t>+</w:t>
      </w:r>
      <w:r w:rsidR="00E021DB" w:rsidRPr="00E021DB">
        <w:rPr>
          <w:noProof/>
          <w:sz w:val="24"/>
          <w:lang w:val="en-US" w:eastAsia="nl-NL"/>
        </w:rPr>
        <w:t xml:space="preserve"> population</w:t>
      </w:r>
      <w:r w:rsidR="00320ABC" w:rsidRPr="00320ABC">
        <w:rPr>
          <w:noProof/>
          <w:sz w:val="24"/>
          <w:lang w:val="en-US" w:eastAsia="nl-NL"/>
        </w:rPr>
        <w:t xml:space="preserve"> </w:t>
      </w:r>
      <w:r w:rsidR="00320ABC">
        <w:rPr>
          <w:noProof/>
          <w:sz w:val="24"/>
          <w:lang w:val="en-US" w:eastAsia="nl-NL"/>
        </w:rPr>
        <w:t>and made up 20-80% of the total lymph node cell population</w:t>
      </w:r>
      <w:r w:rsidR="00E021DB" w:rsidRPr="00E021DB">
        <w:rPr>
          <w:noProof/>
          <w:sz w:val="24"/>
          <w:lang w:val="en-US" w:eastAsia="nl-NL"/>
        </w:rPr>
        <w:t>. Malignant B</w:t>
      </w:r>
      <w:r w:rsidR="00184EF5">
        <w:rPr>
          <w:noProof/>
          <w:sz w:val="24"/>
          <w:lang w:val="en-US" w:eastAsia="nl-NL"/>
        </w:rPr>
        <w:t xml:space="preserve"> </w:t>
      </w:r>
      <w:r w:rsidR="00E021DB" w:rsidRPr="00E021DB">
        <w:rPr>
          <w:noProof/>
          <w:sz w:val="24"/>
          <w:lang w:val="en-US" w:eastAsia="nl-NL"/>
        </w:rPr>
        <w:t>cells were identified by kappa/lambda staining to screen for clonality and if possible also by the tumor-specific markers CD10</w:t>
      </w:r>
      <w:r w:rsidR="00E021DB" w:rsidRPr="00E021DB">
        <w:rPr>
          <w:noProof/>
          <w:sz w:val="24"/>
          <w:vertAlign w:val="superscript"/>
          <w:lang w:val="en-US" w:eastAsia="nl-NL"/>
        </w:rPr>
        <w:t>+</w:t>
      </w:r>
      <w:r w:rsidR="00E021DB" w:rsidRPr="00E021DB">
        <w:rPr>
          <w:noProof/>
          <w:sz w:val="24"/>
          <w:lang w:val="en-US" w:eastAsia="nl-NL"/>
        </w:rPr>
        <w:t xml:space="preserve"> (FL and DLBCL), CD5</w:t>
      </w:r>
      <w:r w:rsidR="00E021DB" w:rsidRPr="00E021DB">
        <w:rPr>
          <w:noProof/>
          <w:sz w:val="24"/>
          <w:vertAlign w:val="superscript"/>
          <w:lang w:val="en-US" w:eastAsia="nl-NL"/>
        </w:rPr>
        <w:t>+</w:t>
      </w:r>
      <w:r w:rsidR="00E021DB" w:rsidRPr="00E021DB">
        <w:rPr>
          <w:noProof/>
          <w:sz w:val="24"/>
          <w:lang w:val="en-US" w:eastAsia="nl-NL"/>
        </w:rPr>
        <w:t xml:space="preserve"> (CLL), CD5</w:t>
      </w:r>
      <w:r w:rsidR="00E021DB" w:rsidRPr="00E021DB">
        <w:rPr>
          <w:noProof/>
          <w:sz w:val="24"/>
          <w:vertAlign w:val="superscript"/>
          <w:lang w:val="en-US" w:eastAsia="nl-NL"/>
        </w:rPr>
        <w:t>+</w:t>
      </w:r>
      <w:r w:rsidR="00E021DB" w:rsidRPr="00E021DB">
        <w:rPr>
          <w:noProof/>
          <w:sz w:val="24"/>
          <w:lang w:val="en-US" w:eastAsia="nl-NL"/>
        </w:rPr>
        <w:t>CD23</w:t>
      </w:r>
      <w:r w:rsidR="00E021DB" w:rsidRPr="00E021DB">
        <w:rPr>
          <w:noProof/>
          <w:sz w:val="24"/>
          <w:vertAlign w:val="superscript"/>
          <w:lang w:val="en-US" w:eastAsia="nl-NL"/>
        </w:rPr>
        <w:t>-</w:t>
      </w:r>
      <w:r w:rsidR="00E021DB" w:rsidRPr="00E021DB">
        <w:rPr>
          <w:noProof/>
          <w:sz w:val="24"/>
          <w:lang w:val="en-US" w:eastAsia="nl-NL"/>
        </w:rPr>
        <w:t xml:space="preserve"> (MCL). The following antibodies were used: CD45-KO and CD19-PC7 (Beckman Coulter</w:t>
      </w:r>
      <w:r w:rsidR="004F0F11">
        <w:rPr>
          <w:noProof/>
          <w:sz w:val="24"/>
          <w:lang w:val="en-US" w:eastAsia="nl-NL"/>
        </w:rPr>
        <w:t>, CA, USA</w:t>
      </w:r>
      <w:r w:rsidR="00E021DB" w:rsidRPr="00E021DB">
        <w:rPr>
          <w:noProof/>
          <w:sz w:val="24"/>
          <w:lang w:val="en-US" w:eastAsia="nl-NL"/>
        </w:rPr>
        <w:t>), CD3-V450, CD5-APC, CD10-APC-H7 and kappa-APC-H7 (BD</w:t>
      </w:r>
      <w:r w:rsidR="00122D24">
        <w:rPr>
          <w:noProof/>
          <w:sz w:val="24"/>
          <w:lang w:val="en-US" w:eastAsia="nl-NL"/>
        </w:rPr>
        <w:t>, NJ, USA</w:t>
      </w:r>
      <w:r w:rsidR="00E021DB" w:rsidRPr="00E021DB">
        <w:rPr>
          <w:noProof/>
          <w:sz w:val="24"/>
          <w:lang w:val="en-US" w:eastAsia="nl-NL"/>
        </w:rPr>
        <w:t>), CD5-PE, CD10-PE and kappa-PE (DAKO</w:t>
      </w:r>
      <w:r w:rsidR="004F0F11">
        <w:rPr>
          <w:noProof/>
          <w:sz w:val="24"/>
          <w:lang w:val="en-US" w:eastAsia="nl-NL"/>
        </w:rPr>
        <w:t>, Agilent Technologies, CA, USA</w:t>
      </w:r>
      <w:r w:rsidR="00E021DB" w:rsidRPr="00E021DB">
        <w:rPr>
          <w:noProof/>
          <w:sz w:val="24"/>
          <w:lang w:val="en-US" w:eastAsia="nl-NL"/>
        </w:rPr>
        <w:t>), CD23-FITC (Bio</w:t>
      </w:r>
      <w:r w:rsidR="004F0F11">
        <w:rPr>
          <w:noProof/>
          <w:sz w:val="24"/>
          <w:lang w:val="en-US" w:eastAsia="nl-NL"/>
        </w:rPr>
        <w:t>L</w:t>
      </w:r>
      <w:r w:rsidR="00E021DB" w:rsidRPr="00E021DB">
        <w:rPr>
          <w:noProof/>
          <w:sz w:val="24"/>
          <w:lang w:val="en-US" w:eastAsia="nl-NL"/>
        </w:rPr>
        <w:t>egend</w:t>
      </w:r>
      <w:r w:rsidR="004F0F11">
        <w:rPr>
          <w:noProof/>
          <w:sz w:val="24"/>
          <w:lang w:val="en-US" w:eastAsia="nl-NL"/>
        </w:rPr>
        <w:t>, CA, USA</w:t>
      </w:r>
      <w:r w:rsidR="00E021DB" w:rsidRPr="00E021DB">
        <w:rPr>
          <w:noProof/>
          <w:sz w:val="24"/>
          <w:lang w:val="en-US" w:eastAsia="nl-NL"/>
        </w:rPr>
        <w:t>) and lambda-FITC (Emelca Bioscience</w:t>
      </w:r>
      <w:r w:rsidR="004F0F11">
        <w:rPr>
          <w:noProof/>
          <w:sz w:val="24"/>
          <w:lang w:val="en-US" w:eastAsia="nl-NL"/>
        </w:rPr>
        <w:t>, Clinge, Netherlands</w:t>
      </w:r>
      <w:r w:rsidR="00E021DB" w:rsidRPr="00E021DB">
        <w:rPr>
          <w:noProof/>
          <w:sz w:val="24"/>
          <w:lang w:val="en-US" w:eastAsia="nl-NL"/>
        </w:rPr>
        <w:t xml:space="preserve">). </w:t>
      </w:r>
    </w:p>
    <w:p w14:paraId="4CB8378C" w14:textId="77777777" w:rsidR="00E021DB" w:rsidRPr="00E021DB" w:rsidRDefault="00E021DB" w:rsidP="00E021DB">
      <w:pPr>
        <w:spacing w:line="480" w:lineRule="auto"/>
        <w:jc w:val="both"/>
        <w:rPr>
          <w:b/>
          <w:noProof/>
          <w:sz w:val="24"/>
          <w:lang w:val="en-US" w:eastAsia="nl-NL"/>
        </w:rPr>
      </w:pPr>
      <w:r w:rsidRPr="00E021DB">
        <w:rPr>
          <w:b/>
          <w:noProof/>
          <w:sz w:val="24"/>
          <w:lang w:val="en-US" w:eastAsia="nl-NL"/>
        </w:rPr>
        <w:t>Quantitated expression assays</w:t>
      </w:r>
    </w:p>
    <w:p w14:paraId="5237C881" w14:textId="28A73EDB" w:rsidR="00E021DB" w:rsidRPr="00E021DB" w:rsidRDefault="00E021DB" w:rsidP="00E021DB">
      <w:pPr>
        <w:spacing w:line="480" w:lineRule="auto"/>
        <w:jc w:val="both"/>
        <w:rPr>
          <w:noProof/>
          <w:sz w:val="24"/>
          <w:lang w:val="en-US" w:eastAsia="nl-NL"/>
        </w:rPr>
      </w:pPr>
      <w:r w:rsidRPr="00E021DB">
        <w:rPr>
          <w:noProof/>
          <w:sz w:val="24"/>
          <w:lang w:val="en-US" w:eastAsia="nl-NL"/>
        </w:rPr>
        <w:t xml:space="preserve">Target cells were incubated with purified mouse anti-human IgG1 antibodies against CD37, CD46, CD55, CD59 and CD20 (BioLegend) and expression levels were quantified by flow cytometry using an indirect immunofluorescence assay (QIFIKIT®, Agilent Technologies) according to manufacturers protocol, followed by a staining for tumor specific cell surface markers. </w:t>
      </w:r>
    </w:p>
    <w:p w14:paraId="4113E41D" w14:textId="77777777" w:rsidR="00E021DB" w:rsidRPr="00E021DB" w:rsidRDefault="00E021DB" w:rsidP="00E021DB">
      <w:pPr>
        <w:spacing w:line="480" w:lineRule="auto"/>
        <w:jc w:val="both"/>
        <w:rPr>
          <w:b/>
          <w:noProof/>
          <w:sz w:val="24"/>
          <w:lang w:val="en-US" w:eastAsia="nl-NL"/>
        </w:rPr>
      </w:pPr>
      <w:r w:rsidRPr="00E021DB">
        <w:rPr>
          <w:b/>
          <w:noProof/>
          <w:sz w:val="24"/>
          <w:lang w:val="en-US" w:eastAsia="nl-NL"/>
        </w:rPr>
        <w:t>Complement-dependent cytotoxicity assays</w:t>
      </w:r>
    </w:p>
    <w:p w14:paraId="57D56CD8" w14:textId="0B6940D5" w:rsidR="0023260C" w:rsidRDefault="00E021DB" w:rsidP="00E021DB">
      <w:pPr>
        <w:spacing w:line="480" w:lineRule="auto"/>
        <w:jc w:val="both"/>
        <w:rPr>
          <w:noProof/>
          <w:sz w:val="24"/>
          <w:lang w:val="en-US" w:eastAsia="nl-NL"/>
        </w:rPr>
      </w:pPr>
      <w:r w:rsidRPr="00E021DB">
        <w:rPr>
          <w:noProof/>
          <w:sz w:val="24"/>
          <w:lang w:val="en-US" w:eastAsia="nl-NL"/>
        </w:rPr>
        <w:t>Complement-dependent cytotoxicity assays were performed by incubation of single cell suspensions (1x10</w:t>
      </w:r>
      <w:r w:rsidRPr="00E021DB">
        <w:rPr>
          <w:noProof/>
          <w:sz w:val="24"/>
          <w:vertAlign w:val="superscript"/>
          <w:lang w:val="en-US" w:eastAsia="nl-NL"/>
        </w:rPr>
        <w:t>5</w:t>
      </w:r>
      <w:r w:rsidRPr="00E021DB">
        <w:rPr>
          <w:noProof/>
          <w:sz w:val="24"/>
          <w:lang w:val="en-US" w:eastAsia="nl-NL"/>
        </w:rPr>
        <w:t xml:space="preserve"> cells/well) with serial dilutions (0.01-10 µg/mL) of DuoHexaBody-CD37 for 45 minutes at 37</w:t>
      </w:r>
      <w:r w:rsidRPr="00E021DB">
        <w:rPr>
          <w:rFonts w:ascii="Gabriola" w:hAnsi="Gabriola"/>
          <w:noProof/>
          <w:sz w:val="24"/>
          <w:lang w:val="en-US" w:eastAsia="nl-NL"/>
        </w:rPr>
        <w:t>°</w:t>
      </w:r>
      <w:r w:rsidRPr="00E021DB">
        <w:rPr>
          <w:noProof/>
          <w:sz w:val="24"/>
          <w:lang w:val="en-US" w:eastAsia="nl-NL"/>
        </w:rPr>
        <w:t>C in the presence of 20% normal human serum (NHS; pooled from 8 healthy donors) as a source of complement. Cells were analysed by flow cytometry and viability</w:t>
      </w:r>
      <w:r w:rsidR="0023260C">
        <w:rPr>
          <w:noProof/>
          <w:sz w:val="24"/>
          <w:lang w:val="en-US" w:eastAsia="nl-NL"/>
        </w:rPr>
        <w:t xml:space="preserve"> (%) and lysis</w:t>
      </w:r>
      <w:r w:rsidRPr="00E021DB">
        <w:rPr>
          <w:noProof/>
          <w:sz w:val="24"/>
          <w:lang w:val="en-US" w:eastAsia="nl-NL"/>
        </w:rPr>
        <w:t xml:space="preserve"> </w:t>
      </w:r>
      <w:r w:rsidR="0023260C">
        <w:rPr>
          <w:noProof/>
          <w:sz w:val="24"/>
          <w:lang w:val="en-US" w:eastAsia="nl-NL"/>
        </w:rPr>
        <w:t xml:space="preserve">(%) </w:t>
      </w:r>
      <w:r w:rsidRPr="00E021DB">
        <w:rPr>
          <w:noProof/>
          <w:sz w:val="24"/>
          <w:lang w:val="en-US" w:eastAsia="nl-NL"/>
        </w:rPr>
        <w:t xml:space="preserve">of malignant </w:t>
      </w:r>
      <w:r w:rsidR="00835733">
        <w:rPr>
          <w:noProof/>
          <w:sz w:val="24"/>
          <w:lang w:val="en-US" w:eastAsia="nl-NL"/>
        </w:rPr>
        <w:t>B</w:t>
      </w:r>
      <w:r w:rsidR="00AB2E3B">
        <w:rPr>
          <w:noProof/>
          <w:sz w:val="24"/>
          <w:lang w:val="en-US" w:eastAsia="nl-NL"/>
        </w:rPr>
        <w:t xml:space="preserve"> </w:t>
      </w:r>
      <w:r w:rsidR="00835733">
        <w:rPr>
          <w:noProof/>
          <w:sz w:val="24"/>
          <w:lang w:val="en-US" w:eastAsia="nl-NL"/>
        </w:rPr>
        <w:t>cell</w:t>
      </w:r>
      <w:r w:rsidR="0023260C">
        <w:rPr>
          <w:noProof/>
          <w:sz w:val="24"/>
          <w:lang w:val="en-US" w:eastAsia="nl-NL"/>
        </w:rPr>
        <w:t xml:space="preserve">s was determined according to the following formulas: </w:t>
      </w:r>
    </w:p>
    <w:p w14:paraId="332311EA" w14:textId="7D2803CD" w:rsidR="00E021DB" w:rsidRDefault="0023260C" w:rsidP="00E021DB">
      <w:pPr>
        <w:spacing w:line="480" w:lineRule="auto"/>
        <w:jc w:val="both"/>
        <w:rPr>
          <w:noProof/>
          <w:sz w:val="24"/>
          <w:lang w:val="en-US" w:eastAsia="nl-NL"/>
        </w:rPr>
      </w:pPr>
      <m:oMathPara>
        <m:oMath>
          <m:r>
            <w:rPr>
              <w:rFonts w:ascii="Cambria Math" w:hAnsi="Cambria Math"/>
              <w:noProof/>
              <w:sz w:val="24"/>
              <w:lang w:val="en-US" w:eastAsia="nl-NL"/>
            </w:rPr>
            <m:t>%viability=100*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%7</m:t>
                  </m:r>
                  <m:r>
                    <w:rPr>
                      <w:rFonts w:ascii="Cambria Math" w:hAnsi="Cambria Math"/>
                    </w:rPr>
                    <m:t>AAD</m:t>
                  </m:r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negative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cells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of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test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sample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%7</m:t>
                  </m:r>
                  <m:r>
                    <w:rPr>
                      <w:rFonts w:ascii="Cambria Math" w:hAnsi="Cambria Math"/>
                    </w:rPr>
                    <m:t>AAD</m:t>
                  </m:r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negative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cells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of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control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sample</m:t>
                  </m:r>
                </m:den>
              </m:f>
            </m:e>
          </m:d>
        </m:oMath>
      </m:oMathPara>
    </w:p>
    <w:p w14:paraId="17ACB70E" w14:textId="47F312B6" w:rsidR="0023260C" w:rsidRPr="0023260C" w:rsidRDefault="0023260C" w:rsidP="00E021DB">
      <w:pPr>
        <w:spacing w:line="480" w:lineRule="auto"/>
        <w:jc w:val="both"/>
        <w:rPr>
          <w:rFonts w:eastAsiaTheme="minorEastAsia"/>
          <w:noProof/>
          <w:sz w:val="24"/>
          <w:lang w:val="en-US" w:eastAsia="nl-NL"/>
        </w:rPr>
      </w:pPr>
      <m:oMathPara>
        <m:oMath>
          <m:r>
            <w:rPr>
              <w:rFonts w:ascii="Cambria Math" w:hAnsi="Cambria Math"/>
              <w:noProof/>
              <w:sz w:val="24"/>
              <w:lang w:val="en-US" w:eastAsia="nl-NL"/>
            </w:rPr>
            <w:lastRenderedPageBreak/>
            <m:t>%lysis=(100-%viability)</m:t>
          </m:r>
        </m:oMath>
      </m:oMathPara>
    </w:p>
    <w:p w14:paraId="63730EA1" w14:textId="77777777" w:rsidR="00E021DB" w:rsidRPr="00E021DB" w:rsidRDefault="00E021DB" w:rsidP="00E021DB">
      <w:pPr>
        <w:spacing w:line="480" w:lineRule="auto"/>
        <w:jc w:val="both"/>
        <w:rPr>
          <w:b/>
          <w:noProof/>
          <w:sz w:val="24"/>
          <w:lang w:val="en-US" w:eastAsia="nl-NL"/>
        </w:rPr>
      </w:pPr>
      <w:r w:rsidRPr="00E021DB">
        <w:rPr>
          <w:b/>
          <w:noProof/>
          <w:sz w:val="24"/>
          <w:lang w:val="en-US" w:eastAsia="nl-NL"/>
        </w:rPr>
        <w:t>C1q binding assays</w:t>
      </w:r>
    </w:p>
    <w:p w14:paraId="50AF2445" w14:textId="4FC7D4B7" w:rsidR="00FF10D2" w:rsidRDefault="00E021DB" w:rsidP="00FF10D2">
      <w:pPr>
        <w:spacing w:line="480" w:lineRule="auto"/>
        <w:jc w:val="both"/>
        <w:rPr>
          <w:noProof/>
          <w:sz w:val="24"/>
          <w:lang w:val="en-US" w:eastAsia="nl-NL"/>
        </w:rPr>
      </w:pPr>
      <w:r w:rsidRPr="00E021DB">
        <w:rPr>
          <w:noProof/>
          <w:sz w:val="24"/>
          <w:lang w:val="en-US" w:eastAsia="nl-NL"/>
        </w:rPr>
        <w:t xml:space="preserve">Target cells were incubated with DuoHexaBody-CD37 (10 µg/mL) and purified human complement component C1q (2.5 µg/mL; Quidel, San Diego, CA) for 45 min at 37°C. After washing, purified C1q was labeled with a </w:t>
      </w:r>
      <w:r w:rsidR="00FB0A42">
        <w:rPr>
          <w:noProof/>
          <w:sz w:val="24"/>
          <w:lang w:val="en-US" w:eastAsia="nl-NL"/>
        </w:rPr>
        <w:t>f</w:t>
      </w:r>
      <w:r w:rsidRPr="00E021DB">
        <w:rPr>
          <w:noProof/>
          <w:sz w:val="24"/>
          <w:lang w:val="en-US" w:eastAsia="nl-NL"/>
        </w:rPr>
        <w:t>luorescein isothiocyanate (FITC</w:t>
      </w:r>
      <w:r w:rsidR="00FB0A42" w:rsidRPr="00E021DB">
        <w:rPr>
          <w:noProof/>
          <w:sz w:val="24"/>
          <w:lang w:val="en-US" w:eastAsia="nl-NL"/>
        </w:rPr>
        <w:t>)</w:t>
      </w:r>
      <w:r w:rsidR="00FB0A42">
        <w:rPr>
          <w:noProof/>
          <w:sz w:val="24"/>
          <w:lang w:val="en-US" w:eastAsia="nl-NL"/>
        </w:rPr>
        <w:t>-</w:t>
      </w:r>
      <w:r w:rsidRPr="00E021DB">
        <w:rPr>
          <w:noProof/>
          <w:sz w:val="24"/>
          <w:lang w:val="en-US" w:eastAsia="nl-NL"/>
        </w:rPr>
        <w:t>conjugated rabbit anti-human C1q antibody (Dako, Glostrup, Denmark)</w:t>
      </w:r>
      <w:r w:rsidR="002E4159">
        <w:rPr>
          <w:noProof/>
          <w:sz w:val="24"/>
          <w:lang w:val="en-US" w:eastAsia="nl-NL"/>
        </w:rPr>
        <w:t xml:space="preserve">. </w:t>
      </w:r>
      <w:r w:rsidR="00FF10D2">
        <w:rPr>
          <w:noProof/>
          <w:sz w:val="24"/>
          <w:lang w:val="en-US" w:eastAsia="nl-NL"/>
        </w:rPr>
        <w:t>Binding</w:t>
      </w:r>
      <w:r w:rsidR="0023260C">
        <w:rPr>
          <w:noProof/>
          <w:sz w:val="24"/>
          <w:lang w:val="en-US" w:eastAsia="nl-NL"/>
        </w:rPr>
        <w:t xml:space="preserve"> </w:t>
      </w:r>
      <w:r w:rsidR="00FF10D2">
        <w:rPr>
          <w:noProof/>
          <w:sz w:val="24"/>
          <w:lang w:val="en-US" w:eastAsia="nl-NL"/>
        </w:rPr>
        <w:t>was</w:t>
      </w:r>
      <w:r w:rsidR="0023260C">
        <w:rPr>
          <w:noProof/>
          <w:sz w:val="24"/>
          <w:lang w:val="en-US" w:eastAsia="nl-NL"/>
        </w:rPr>
        <w:t xml:space="preserve"> </w:t>
      </w:r>
      <w:r w:rsidR="00FF10D2">
        <w:rPr>
          <w:noProof/>
          <w:sz w:val="24"/>
          <w:lang w:val="en-US" w:eastAsia="nl-NL"/>
        </w:rPr>
        <w:t xml:space="preserve">detected by flow cytometry and </w:t>
      </w:r>
      <w:r w:rsidR="0023260C">
        <w:rPr>
          <w:noProof/>
          <w:sz w:val="24"/>
          <w:lang w:val="en-US" w:eastAsia="nl-NL"/>
        </w:rPr>
        <w:t xml:space="preserve">expressed as the median fluorescent intensity </w:t>
      </w:r>
      <w:r w:rsidR="002E4159">
        <w:rPr>
          <w:noProof/>
          <w:sz w:val="24"/>
          <w:lang w:val="en-US" w:eastAsia="nl-NL"/>
        </w:rPr>
        <w:t>(MFI)</w:t>
      </w:r>
      <w:r w:rsidR="00FF10D2">
        <w:rPr>
          <w:noProof/>
          <w:sz w:val="24"/>
          <w:lang w:val="en-US" w:eastAsia="nl-NL"/>
        </w:rPr>
        <w:t xml:space="preserve">. MFI values of purified C1q labeled with FITC anti-human C1q were subtracted by MFI values of negative control (FITC-anti-human C1q only). </w:t>
      </w:r>
    </w:p>
    <w:p w14:paraId="32F10409" w14:textId="561EAC73" w:rsidR="00574B2B" w:rsidRPr="001B64AC" w:rsidRDefault="00574B2B" w:rsidP="00E021DB">
      <w:pPr>
        <w:spacing w:line="480" w:lineRule="auto"/>
        <w:jc w:val="both"/>
        <w:rPr>
          <w:b/>
          <w:noProof/>
          <w:sz w:val="24"/>
          <w:lang w:val="en-US" w:eastAsia="nl-NL"/>
        </w:rPr>
      </w:pPr>
      <w:r w:rsidRPr="001B64AC">
        <w:rPr>
          <w:b/>
          <w:noProof/>
          <w:sz w:val="24"/>
          <w:lang w:val="en-US" w:eastAsia="nl-NL"/>
        </w:rPr>
        <w:t>Statistical analysis</w:t>
      </w:r>
    </w:p>
    <w:p w14:paraId="71CAABFD" w14:textId="19E63557" w:rsidR="00574B2B" w:rsidRDefault="001B64AC" w:rsidP="00E021DB">
      <w:pPr>
        <w:spacing w:line="480" w:lineRule="auto"/>
        <w:jc w:val="both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t xml:space="preserve">Flow cytometry data were analyzed using FACS DIVA software. Graphs were plotted using GraphPad Prism 8.2. for Windows. </w:t>
      </w:r>
      <w:r w:rsidR="00574B2B">
        <w:rPr>
          <w:noProof/>
          <w:sz w:val="24"/>
          <w:lang w:val="en-US" w:eastAsia="nl-NL"/>
        </w:rPr>
        <w:t xml:space="preserve">Statistical analysis was performed with the appropriate </w:t>
      </w:r>
      <w:r>
        <w:rPr>
          <w:noProof/>
          <w:sz w:val="24"/>
          <w:lang w:val="en-US" w:eastAsia="nl-NL"/>
        </w:rPr>
        <w:t>parametric or non-parametric test</w:t>
      </w:r>
      <w:r w:rsidR="00574B2B">
        <w:rPr>
          <w:noProof/>
          <w:sz w:val="24"/>
          <w:lang w:val="en-US" w:eastAsia="nl-NL"/>
        </w:rPr>
        <w:t xml:space="preserve">, as indicated in the figure legends. </w:t>
      </w:r>
      <w:r w:rsidR="00CF63B5" w:rsidRPr="00CF63B5">
        <w:rPr>
          <w:noProof/>
          <w:sz w:val="24"/>
          <w:lang w:val="en-US" w:eastAsia="nl-NL"/>
        </w:rPr>
        <w:t>Two-sided P values &lt; .05 were considered statistically significant.</w:t>
      </w:r>
    </w:p>
    <w:p w14:paraId="6BB3B999" w14:textId="77777777" w:rsidR="00A56B37" w:rsidRDefault="00A56B37">
      <w:pPr>
        <w:rPr>
          <w:b/>
          <w:noProof/>
          <w:sz w:val="28"/>
          <w:lang w:val="en-US" w:eastAsia="nl-NL"/>
        </w:rPr>
      </w:pPr>
      <w:r>
        <w:rPr>
          <w:b/>
          <w:noProof/>
          <w:sz w:val="28"/>
          <w:lang w:val="en-US" w:eastAsia="nl-NL"/>
        </w:rPr>
        <w:br w:type="page"/>
      </w:r>
    </w:p>
    <w:p w14:paraId="5FE68714" w14:textId="6171F43D" w:rsidR="00A56B37" w:rsidRPr="00B71858" w:rsidRDefault="00A56B37" w:rsidP="00A56B37">
      <w:pPr>
        <w:spacing w:line="480" w:lineRule="auto"/>
        <w:jc w:val="both"/>
        <w:rPr>
          <w:b/>
          <w:noProof/>
          <w:sz w:val="28"/>
          <w:lang w:val="en-US" w:eastAsia="nl-NL"/>
        </w:rPr>
      </w:pPr>
      <w:r w:rsidRPr="00B71858">
        <w:rPr>
          <w:b/>
          <w:noProof/>
          <w:sz w:val="28"/>
          <w:lang w:val="en-US" w:eastAsia="nl-NL"/>
        </w:rPr>
        <w:lastRenderedPageBreak/>
        <w:t>Supplemental Figures</w:t>
      </w:r>
    </w:p>
    <w:p w14:paraId="29D8F544" w14:textId="77777777" w:rsidR="00A56B37" w:rsidRPr="002B4915" w:rsidRDefault="00A56B37" w:rsidP="00A56B37">
      <w:pPr>
        <w:spacing w:line="480" w:lineRule="auto"/>
        <w:jc w:val="both"/>
        <w:rPr>
          <w:b/>
          <w:noProof/>
          <w:sz w:val="24"/>
          <w:lang w:val="en-US" w:eastAsia="nl-NL"/>
        </w:rPr>
      </w:pPr>
      <w:r>
        <w:rPr>
          <w:b/>
          <w:noProof/>
          <w:sz w:val="24"/>
          <w:lang w:eastAsia="nl-NL"/>
        </w:rPr>
        <w:drawing>
          <wp:inline distT="0" distB="0" distL="0" distR="0" wp14:anchorId="0945794E" wp14:editId="494B531E">
            <wp:extent cx="5763600" cy="1742400"/>
            <wp:effectExtent l="0" t="0" r="0" b="0"/>
            <wp:docPr id="2" name="Afbeelding 2" descr="N:\Manuscripts\CD37 DuoHexaBody\Brief Report\Brief report_suppl1_CD37vsCD2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nuscripts\CD37 DuoHexaBody\Brief Report\Brief report_suppl1_CD37vsCD20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99"/>
                    <a:stretch/>
                  </pic:blipFill>
                  <pic:spPr bwMode="auto">
                    <a:xfrm>
                      <a:off x="0" y="0"/>
                      <a:ext cx="57636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val="en-US" w:eastAsia="nl-NL"/>
        </w:rPr>
        <w:t xml:space="preserve">Supplemental Figure 1. </w:t>
      </w:r>
      <w:r w:rsidRPr="007F1C7B">
        <w:rPr>
          <w:sz w:val="24"/>
          <w:lang w:val="en-US"/>
        </w:rPr>
        <w:t xml:space="preserve">Expression levels (antibody molecules per cell) of CD37 and CD20 on tumor </w:t>
      </w:r>
      <w:r>
        <w:rPr>
          <w:sz w:val="24"/>
          <w:lang w:val="en-US"/>
        </w:rPr>
        <w:t>B cell</w:t>
      </w:r>
      <w:r w:rsidRPr="007F1C7B">
        <w:rPr>
          <w:sz w:val="24"/>
          <w:lang w:val="en-US"/>
        </w:rPr>
        <w:t>s in samples from ND patients (****p&lt;0.0001; Wilcoxon matched-pairs signed rank test). Data are shown as the median and interquartile range.</w:t>
      </w:r>
    </w:p>
    <w:p w14:paraId="0345F3DE" w14:textId="77777777" w:rsidR="00A56B37" w:rsidRDefault="00A56B37" w:rsidP="00A56B37">
      <w:pPr>
        <w:spacing w:line="480" w:lineRule="auto"/>
        <w:jc w:val="both"/>
        <w:rPr>
          <w:b/>
          <w:sz w:val="24"/>
          <w:lang w:val="en-US"/>
        </w:rPr>
      </w:pPr>
      <w:r>
        <w:rPr>
          <w:b/>
          <w:noProof/>
          <w:sz w:val="24"/>
          <w:lang w:eastAsia="nl-NL"/>
        </w:rPr>
        <w:drawing>
          <wp:inline distT="0" distB="0" distL="0" distR="0" wp14:anchorId="69C07F10" wp14:editId="18D76880">
            <wp:extent cx="5762625" cy="1952625"/>
            <wp:effectExtent l="0" t="0" r="0" b="0"/>
            <wp:docPr id="1" name="Afbeelding 1" descr="N:\Manuscripts\CD37 DuoHexaBody\Brief Report\Figures\Suppl Fig ABC vs GCB subtyp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nuscripts\CD37 DuoHexaBody\Brief Report\Figures\Suppl Fig ABC vs GCB subtyp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85"/>
                    <a:stretch/>
                  </pic:blipFill>
                  <pic:spPr bwMode="auto">
                    <a:xfrm>
                      <a:off x="0" y="0"/>
                      <a:ext cx="576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94E09" w14:textId="77777777" w:rsidR="00A56B37" w:rsidRDefault="00A56B37" w:rsidP="00A56B37">
      <w:pPr>
        <w:spacing w:line="480" w:lineRule="auto"/>
        <w:jc w:val="both"/>
        <w:rPr>
          <w:sz w:val="24"/>
          <w:lang w:val="en-US"/>
        </w:rPr>
      </w:pPr>
      <w:r w:rsidRPr="002B4915">
        <w:rPr>
          <w:b/>
          <w:sz w:val="24"/>
          <w:lang w:val="en-US"/>
        </w:rPr>
        <w:t>Supplemental Figure 2.</w:t>
      </w:r>
      <w:r>
        <w:rPr>
          <w:sz w:val="24"/>
          <w:lang w:val="en-US"/>
        </w:rPr>
        <w:t xml:space="preserve"> </w:t>
      </w:r>
      <w:r w:rsidRPr="002B4915">
        <w:rPr>
          <w:sz w:val="24"/>
          <w:lang w:val="en-US"/>
        </w:rPr>
        <w:t xml:space="preserve">CDC activity of DuoHexaBody-CD37 (10 </w:t>
      </w:r>
      <w:proofErr w:type="spellStart"/>
      <w:r w:rsidRPr="002B4915">
        <w:rPr>
          <w:sz w:val="24"/>
          <w:lang w:val="en-US"/>
        </w:rPr>
        <w:t>μg</w:t>
      </w:r>
      <w:proofErr w:type="spellEnd"/>
      <w:r w:rsidRPr="002B4915">
        <w:rPr>
          <w:sz w:val="24"/>
          <w:lang w:val="en-US"/>
        </w:rPr>
        <w:t xml:space="preserve">/mL) </w:t>
      </w:r>
      <w:r>
        <w:rPr>
          <w:sz w:val="24"/>
          <w:lang w:val="en-US"/>
        </w:rPr>
        <w:t xml:space="preserve">in DLBCL patient samples of ABC (n=5) and GCB subtype (n=11) (ns; Mann-Whitney U-test). </w:t>
      </w:r>
      <w:r w:rsidRPr="007F1C7B">
        <w:rPr>
          <w:sz w:val="24"/>
          <w:lang w:val="en-US"/>
        </w:rPr>
        <w:t>Data are shown as the median and interquartile range.</w:t>
      </w:r>
    </w:p>
    <w:p w14:paraId="53238690" w14:textId="77777777" w:rsidR="00A56B37" w:rsidRDefault="00A56B37" w:rsidP="00A56B37">
      <w:pPr>
        <w:spacing w:line="480" w:lineRule="auto"/>
        <w:jc w:val="both"/>
        <w:rPr>
          <w:b/>
          <w:sz w:val="24"/>
          <w:lang w:val="en-US"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AD0A841" wp14:editId="51D39077">
            <wp:extent cx="3531600" cy="1810800"/>
            <wp:effectExtent l="0" t="0" r="0" b="0"/>
            <wp:docPr id="17" name="Afbeelding 17" descr="N:\Manuscripts\CD37 DuoHexaBody\Brief Report\Brief report_suppl2_CRP expression ND vs R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anuscripts\CD37 DuoHexaBody\Brief Report\Brief report_suppl2_CRP expression ND vs RR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68" b="75665"/>
                    <a:stretch/>
                  </pic:blipFill>
                  <pic:spPr bwMode="auto">
                    <a:xfrm>
                      <a:off x="0" y="0"/>
                      <a:ext cx="35316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E243F" w14:textId="77777777" w:rsidR="00A56B37" w:rsidRDefault="00A56B37" w:rsidP="00A56B37">
      <w:pPr>
        <w:spacing w:line="480" w:lineRule="auto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Supplemental Figure 3</w:t>
      </w:r>
      <w:r w:rsidRPr="007F1C7B">
        <w:rPr>
          <w:b/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r w:rsidRPr="007F1C7B">
        <w:rPr>
          <w:sz w:val="24"/>
          <w:lang w:val="en-US"/>
        </w:rPr>
        <w:t xml:space="preserve">Expression levels (antibody molecules per cell) of complement regulatory proteins CD46, CD55 and CD59 on tumor </w:t>
      </w:r>
      <w:r>
        <w:rPr>
          <w:sz w:val="24"/>
          <w:lang w:val="en-US"/>
        </w:rPr>
        <w:t>B cell</w:t>
      </w:r>
      <w:r w:rsidRPr="007F1C7B">
        <w:rPr>
          <w:sz w:val="24"/>
          <w:lang w:val="en-US"/>
        </w:rPr>
        <w:t>s, according to treatment status; ND versus RR (not significant; Mann-Whitney U test). Data are shown as the median and interquartile range.</w:t>
      </w:r>
    </w:p>
    <w:p w14:paraId="0EF147E0" w14:textId="77777777" w:rsidR="00A56B37" w:rsidRDefault="00A56B37" w:rsidP="00A56B37">
      <w:pPr>
        <w:spacing w:line="480" w:lineRule="auto"/>
        <w:jc w:val="both"/>
        <w:rPr>
          <w:sz w:val="24"/>
          <w:lang w:val="en-US"/>
        </w:rPr>
      </w:pPr>
      <w:r>
        <w:rPr>
          <w:noProof/>
          <w:sz w:val="24"/>
          <w:lang w:eastAsia="nl-NL"/>
        </w:rPr>
        <w:drawing>
          <wp:inline distT="0" distB="0" distL="0" distR="0" wp14:anchorId="3C5A10AE" wp14:editId="663EA8D1">
            <wp:extent cx="5762625" cy="3810000"/>
            <wp:effectExtent l="0" t="0" r="0" b="0"/>
            <wp:docPr id="5" name="Afbeelding 5" descr="N:\Manuscripts\CD37 DuoHexaBody\Brief Report\Figures\Brief report_suppl Fig CD37 and single CRP correlation CD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anuscripts\CD37 DuoHexaBody\Brief Report\Figures\Brief report_suppl Fig CD37 and single CRP correlation CDC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49"/>
                    <a:stretch/>
                  </pic:blipFill>
                  <pic:spPr bwMode="auto">
                    <a:xfrm>
                      <a:off x="0" y="0"/>
                      <a:ext cx="5762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F1EAF" w14:textId="77777777" w:rsidR="00A56B37" w:rsidRDefault="00A56B37" w:rsidP="00A56B37">
      <w:pPr>
        <w:spacing w:line="480" w:lineRule="auto"/>
        <w:jc w:val="both"/>
        <w:rPr>
          <w:sz w:val="24"/>
          <w:lang w:val="en-US"/>
        </w:rPr>
      </w:pPr>
      <w:r w:rsidRPr="00E124D5">
        <w:rPr>
          <w:b/>
          <w:noProof/>
          <w:sz w:val="24"/>
          <w:lang w:val="en-US" w:eastAsia="nl-NL"/>
        </w:rPr>
        <w:t xml:space="preserve">Supplemental Figure </w:t>
      </w:r>
      <w:r>
        <w:rPr>
          <w:b/>
          <w:noProof/>
          <w:sz w:val="24"/>
          <w:lang w:val="en-US" w:eastAsia="nl-NL"/>
        </w:rPr>
        <w:t>4</w:t>
      </w:r>
      <w:r w:rsidRPr="00E124D5">
        <w:rPr>
          <w:b/>
          <w:noProof/>
          <w:sz w:val="24"/>
          <w:lang w:val="en-US" w:eastAsia="nl-NL"/>
        </w:rPr>
        <w:t>.</w:t>
      </w:r>
      <w:r w:rsidRPr="00E124D5">
        <w:rPr>
          <w:noProof/>
          <w:sz w:val="24"/>
          <w:lang w:val="en-US" w:eastAsia="nl-NL"/>
        </w:rPr>
        <w:t xml:space="preserve"> </w:t>
      </w:r>
      <w:r w:rsidRPr="005708A5">
        <w:rPr>
          <w:sz w:val="24"/>
          <w:lang w:val="en-US"/>
        </w:rPr>
        <w:t>CDC</w:t>
      </w:r>
      <w:r>
        <w:rPr>
          <w:sz w:val="24"/>
          <w:lang w:val="en-US"/>
        </w:rPr>
        <w:t xml:space="preserve"> activity of </w:t>
      </w:r>
      <w:r w:rsidRPr="005708A5">
        <w:rPr>
          <w:sz w:val="24"/>
          <w:lang w:val="en-US"/>
        </w:rPr>
        <w:t>DuoHexaBody-CD37</w:t>
      </w:r>
      <w:r w:rsidRPr="005708A5">
        <w:rPr>
          <w:b/>
          <w:sz w:val="24"/>
          <w:lang w:val="en-US"/>
        </w:rPr>
        <w:t xml:space="preserve"> </w:t>
      </w:r>
      <w:r w:rsidRPr="005708A5">
        <w:rPr>
          <w:sz w:val="24"/>
          <w:lang w:val="en-US"/>
        </w:rPr>
        <w:t xml:space="preserve">(10 </w:t>
      </w:r>
      <w:r w:rsidRPr="005708A5">
        <w:rPr>
          <w:sz w:val="24"/>
        </w:rPr>
        <w:t>μ</w:t>
      </w:r>
      <w:r w:rsidRPr="005708A5">
        <w:rPr>
          <w:sz w:val="24"/>
          <w:lang w:val="en-US"/>
        </w:rPr>
        <w:t xml:space="preserve">g/mL) correlated </w:t>
      </w:r>
      <w:r>
        <w:rPr>
          <w:sz w:val="24"/>
          <w:lang w:val="en-US"/>
        </w:rPr>
        <w:t>with</w:t>
      </w:r>
      <w:r w:rsidRPr="005708A5">
        <w:rPr>
          <w:sz w:val="24"/>
          <w:lang w:val="en-US"/>
        </w:rPr>
        <w:t xml:space="preserve"> </w:t>
      </w:r>
      <w:r>
        <w:rPr>
          <w:sz w:val="24"/>
          <w:lang w:val="en-US"/>
        </w:rPr>
        <w:t>quantified expression levels (</w:t>
      </w:r>
      <w:r w:rsidRPr="00E124D5">
        <w:rPr>
          <w:noProof/>
          <w:sz w:val="24"/>
          <w:lang w:val="en-US" w:eastAsia="nl-NL"/>
        </w:rPr>
        <w:t xml:space="preserve">antibody molecules per cell) </w:t>
      </w:r>
      <w:r>
        <w:rPr>
          <w:noProof/>
          <w:sz w:val="24"/>
          <w:lang w:val="en-US" w:eastAsia="nl-NL"/>
        </w:rPr>
        <w:t xml:space="preserve">of </w:t>
      </w:r>
      <w:r w:rsidRPr="00472A2E">
        <w:rPr>
          <w:b/>
          <w:noProof/>
          <w:sz w:val="24"/>
          <w:lang w:val="en-US" w:eastAsia="nl-NL"/>
        </w:rPr>
        <w:t xml:space="preserve">(A) </w:t>
      </w:r>
      <w:r>
        <w:rPr>
          <w:noProof/>
          <w:sz w:val="24"/>
          <w:lang w:val="en-US" w:eastAsia="nl-NL"/>
        </w:rPr>
        <w:t xml:space="preserve">CD37 and </w:t>
      </w:r>
      <w:r w:rsidRPr="00472A2E">
        <w:rPr>
          <w:b/>
          <w:noProof/>
          <w:sz w:val="24"/>
          <w:lang w:val="en-US" w:eastAsia="nl-NL"/>
        </w:rPr>
        <w:t xml:space="preserve">(B-D) </w:t>
      </w:r>
      <w:r w:rsidRPr="00E124D5">
        <w:rPr>
          <w:noProof/>
          <w:sz w:val="24"/>
          <w:lang w:val="en-US" w:eastAsia="nl-NL"/>
        </w:rPr>
        <w:t>complement regulatory proteins CD46, CD55 and CD59</w:t>
      </w:r>
      <w:r>
        <w:rPr>
          <w:noProof/>
          <w:sz w:val="24"/>
          <w:lang w:val="en-US" w:eastAsia="nl-NL"/>
        </w:rPr>
        <w:t xml:space="preserve"> (Spearman’s correlation r=0.1408, p=0.3243; </w:t>
      </w:r>
      <w:r>
        <w:rPr>
          <w:noProof/>
          <w:sz w:val="24"/>
          <w:lang w:val="en-US" w:eastAsia="nl-NL"/>
        </w:rPr>
        <w:lastRenderedPageBreak/>
        <w:t xml:space="preserve">r=0.1929, p=0.1751; r=0.1901, p=0.1814; r=-0.2024, p=0.1542, respectively). </w:t>
      </w:r>
      <w:r>
        <w:rPr>
          <w:sz w:val="24"/>
          <w:lang w:val="en-US"/>
        </w:rPr>
        <w:t>Data are shown relative to a no antibody control sample.</w:t>
      </w:r>
    </w:p>
    <w:p w14:paraId="31291643" w14:textId="77777777" w:rsidR="00A56B37" w:rsidRPr="00E124D5" w:rsidRDefault="00A56B37" w:rsidP="00A56B37">
      <w:pPr>
        <w:spacing w:line="480" w:lineRule="auto"/>
        <w:jc w:val="both"/>
        <w:rPr>
          <w:noProof/>
          <w:sz w:val="24"/>
          <w:lang w:val="en-US" w:eastAsia="nl-NL"/>
        </w:rPr>
      </w:pPr>
      <w:r>
        <w:rPr>
          <w:noProof/>
          <w:sz w:val="24"/>
          <w:lang w:eastAsia="nl-NL"/>
        </w:rPr>
        <w:drawing>
          <wp:inline distT="0" distB="0" distL="0" distR="0" wp14:anchorId="0CDF5051" wp14:editId="6E18E699">
            <wp:extent cx="5762625" cy="2105025"/>
            <wp:effectExtent l="0" t="0" r="0" b="0"/>
            <wp:docPr id="4" name="Afbeelding 4" descr="N:\Manuscripts\CD37 DuoHexaBody\Brief Report\Figures\Brief report_suppl3_Rit correlatie to CD20 and CD5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anuscripts\CD37 DuoHexaBody\Brief Report\Figures\Brief report_suppl3_Rit correlatie to CD20 and CD55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1740"/>
                    <a:stretch/>
                  </pic:blipFill>
                  <pic:spPr bwMode="auto">
                    <a:xfrm>
                      <a:off x="0" y="0"/>
                      <a:ext cx="5762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7D764" w14:textId="77777777" w:rsidR="00A56B37" w:rsidRDefault="00A56B37" w:rsidP="00A56B37">
      <w:pPr>
        <w:spacing w:line="480" w:lineRule="auto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Supplemental Figure 5</w:t>
      </w:r>
      <w:r w:rsidRPr="00903C6F">
        <w:rPr>
          <w:b/>
          <w:sz w:val="24"/>
          <w:lang w:val="en-US"/>
        </w:rPr>
        <w:t>.</w:t>
      </w:r>
      <w:r>
        <w:rPr>
          <w:sz w:val="24"/>
          <w:lang w:val="en-US"/>
        </w:rPr>
        <w:t xml:space="preserve"> CDC activity of rituximab</w:t>
      </w:r>
      <w:r w:rsidRPr="00903C6F">
        <w:rPr>
          <w:sz w:val="24"/>
          <w:lang w:val="en-US"/>
        </w:rPr>
        <w:t xml:space="preserve"> </w:t>
      </w:r>
      <w:r>
        <w:rPr>
          <w:sz w:val="24"/>
          <w:lang w:val="en-US"/>
        </w:rPr>
        <w:t>(10µg/mL) correlated with</w:t>
      </w:r>
      <w:r w:rsidRPr="00903C6F">
        <w:rPr>
          <w:sz w:val="24"/>
          <w:lang w:val="en-US"/>
        </w:rPr>
        <w:t xml:space="preserve"> </w:t>
      </w:r>
      <w:r w:rsidRPr="00903C6F">
        <w:rPr>
          <w:b/>
          <w:sz w:val="24"/>
          <w:lang w:val="en-US"/>
        </w:rPr>
        <w:t>(A)</w:t>
      </w:r>
      <w:r w:rsidRPr="00903C6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quantified </w:t>
      </w:r>
      <w:r w:rsidRPr="00903C6F">
        <w:rPr>
          <w:sz w:val="24"/>
          <w:lang w:val="en-US"/>
        </w:rPr>
        <w:t>CD20 expression (antibody molecules per cell</w:t>
      </w:r>
      <w:r>
        <w:rPr>
          <w:sz w:val="24"/>
          <w:lang w:val="en-US"/>
        </w:rPr>
        <w:t>; Spearman</w:t>
      </w:r>
      <w:r w:rsidRPr="00903C6F">
        <w:rPr>
          <w:sz w:val="24"/>
          <w:lang w:val="en-US"/>
        </w:rPr>
        <w:t xml:space="preserve">’s </w:t>
      </w:r>
      <w:r>
        <w:rPr>
          <w:sz w:val="24"/>
          <w:lang w:val="en-US"/>
        </w:rPr>
        <w:t>correlation r=0.5488</w:t>
      </w:r>
      <w:r w:rsidRPr="00903C6F">
        <w:rPr>
          <w:sz w:val="24"/>
          <w:lang w:val="en-US"/>
        </w:rPr>
        <w:t xml:space="preserve">, </w:t>
      </w:r>
      <w:r>
        <w:rPr>
          <w:sz w:val="24"/>
          <w:lang w:val="en-US"/>
        </w:rPr>
        <w:t>**</w:t>
      </w:r>
      <w:r w:rsidRPr="00903C6F">
        <w:rPr>
          <w:sz w:val="24"/>
          <w:lang w:val="en-US"/>
        </w:rPr>
        <w:t>p=0.00</w:t>
      </w:r>
      <w:r>
        <w:rPr>
          <w:sz w:val="24"/>
          <w:lang w:val="en-US"/>
        </w:rPr>
        <w:t>11</w:t>
      </w:r>
      <w:r w:rsidRPr="00903C6F">
        <w:rPr>
          <w:sz w:val="24"/>
          <w:lang w:val="en-US"/>
        </w:rPr>
        <w:t xml:space="preserve">) and </w:t>
      </w:r>
      <w:r w:rsidRPr="00903C6F">
        <w:rPr>
          <w:b/>
          <w:sz w:val="24"/>
          <w:lang w:val="en-US"/>
        </w:rPr>
        <w:t>(B)</w:t>
      </w:r>
      <w:r w:rsidRPr="00903C6F">
        <w:rPr>
          <w:sz w:val="24"/>
          <w:lang w:val="en-US"/>
        </w:rPr>
        <w:t xml:space="preserve"> the ratio of expression levels of CD20 to complement regulatory protein CD55 (</w:t>
      </w:r>
      <w:r>
        <w:rPr>
          <w:sz w:val="24"/>
          <w:lang w:val="en-US"/>
        </w:rPr>
        <w:t xml:space="preserve">Spearman’s correlation </w:t>
      </w:r>
      <w:r w:rsidRPr="00903C6F">
        <w:rPr>
          <w:sz w:val="24"/>
          <w:lang w:val="en-US"/>
        </w:rPr>
        <w:t>r=0.5</w:t>
      </w:r>
      <w:r>
        <w:rPr>
          <w:sz w:val="24"/>
          <w:lang w:val="en-US"/>
        </w:rPr>
        <w:t>957</w:t>
      </w:r>
      <w:r w:rsidRPr="00903C6F">
        <w:rPr>
          <w:sz w:val="24"/>
          <w:lang w:val="en-US"/>
        </w:rPr>
        <w:t xml:space="preserve">, </w:t>
      </w:r>
      <w:r>
        <w:rPr>
          <w:sz w:val="24"/>
          <w:lang w:val="en-US"/>
        </w:rPr>
        <w:t>***</w:t>
      </w:r>
      <w:r w:rsidRPr="00903C6F">
        <w:rPr>
          <w:sz w:val="24"/>
          <w:lang w:val="en-US"/>
        </w:rPr>
        <w:t>p=0.00</w:t>
      </w:r>
      <w:r>
        <w:rPr>
          <w:sz w:val="24"/>
          <w:lang w:val="en-US"/>
        </w:rPr>
        <w:t>03</w:t>
      </w:r>
      <w:r w:rsidRPr="00903C6F">
        <w:rPr>
          <w:sz w:val="24"/>
          <w:lang w:val="en-US"/>
        </w:rPr>
        <w:t>).</w:t>
      </w:r>
      <w:r>
        <w:rPr>
          <w:sz w:val="24"/>
          <w:lang w:val="en-US"/>
        </w:rPr>
        <w:t xml:space="preserve"> Data are shown relative to a no antibody control sample.</w:t>
      </w:r>
    </w:p>
    <w:p w14:paraId="2F1EE302" w14:textId="77777777" w:rsidR="00A56B37" w:rsidRDefault="00A56B37" w:rsidP="00A56B37">
      <w:pPr>
        <w:spacing w:line="480" w:lineRule="auto"/>
        <w:jc w:val="both"/>
        <w:rPr>
          <w:sz w:val="24"/>
          <w:lang w:val="en-US"/>
        </w:rPr>
      </w:pPr>
    </w:p>
    <w:p w14:paraId="4EF788BC" w14:textId="77777777" w:rsidR="00A56B37" w:rsidRPr="001B64AC" w:rsidRDefault="00A56B37" w:rsidP="00A56B37">
      <w:pPr>
        <w:spacing w:line="480" w:lineRule="auto"/>
        <w:jc w:val="both"/>
        <w:rPr>
          <w:b/>
          <w:noProof/>
          <w:sz w:val="24"/>
          <w:lang w:val="en-US" w:eastAsia="nl-NL"/>
        </w:rPr>
      </w:pPr>
    </w:p>
    <w:p w14:paraId="2932AD36" w14:textId="68E1000D" w:rsidR="00E124D5" w:rsidRPr="001B64AC" w:rsidRDefault="00E124D5" w:rsidP="009070FB">
      <w:pPr>
        <w:rPr>
          <w:b/>
          <w:noProof/>
          <w:sz w:val="24"/>
          <w:lang w:val="en-US" w:eastAsia="nl-NL"/>
        </w:rPr>
      </w:pPr>
    </w:p>
    <w:sectPr w:rsidR="00E124D5" w:rsidRPr="001B64AC" w:rsidSect="007F1C7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C017D" w14:textId="77777777" w:rsidR="0044234E" w:rsidRDefault="0044234E">
      <w:pPr>
        <w:spacing w:after="0" w:line="240" w:lineRule="auto"/>
      </w:pPr>
      <w:r>
        <w:separator/>
      </w:r>
    </w:p>
  </w:endnote>
  <w:endnote w:type="continuationSeparator" w:id="0">
    <w:p w14:paraId="27E4B371" w14:textId="77777777" w:rsidR="0044234E" w:rsidRDefault="0044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709896"/>
      <w:docPartObj>
        <w:docPartGallery w:val="Page Numbers (Bottom of Page)"/>
        <w:docPartUnique/>
      </w:docPartObj>
    </w:sdtPr>
    <w:sdtEndPr/>
    <w:sdtContent>
      <w:p w14:paraId="182BD238" w14:textId="6FE11E55" w:rsidR="006B1985" w:rsidRDefault="0095048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57">
          <w:rPr>
            <w:noProof/>
          </w:rPr>
          <w:t>6</w:t>
        </w:r>
        <w:r>
          <w:fldChar w:fldCharType="end"/>
        </w:r>
      </w:p>
    </w:sdtContent>
  </w:sdt>
  <w:p w14:paraId="642C6B2F" w14:textId="77777777" w:rsidR="006B1985" w:rsidRDefault="00605B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26A31" w14:textId="77777777" w:rsidR="0044234E" w:rsidRDefault="0044234E">
      <w:pPr>
        <w:spacing w:after="0" w:line="240" w:lineRule="auto"/>
      </w:pPr>
      <w:r>
        <w:separator/>
      </w:r>
    </w:p>
  </w:footnote>
  <w:footnote w:type="continuationSeparator" w:id="0">
    <w:p w14:paraId="1322557E" w14:textId="77777777" w:rsidR="0044234E" w:rsidRDefault="00442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DB"/>
    <w:rsid w:val="00016264"/>
    <w:rsid w:val="000C46CF"/>
    <w:rsid w:val="000E6A51"/>
    <w:rsid w:val="00122D24"/>
    <w:rsid w:val="00124E31"/>
    <w:rsid w:val="001257BA"/>
    <w:rsid w:val="00176EF3"/>
    <w:rsid w:val="00184EF5"/>
    <w:rsid w:val="001B64AC"/>
    <w:rsid w:val="001E58A7"/>
    <w:rsid w:val="00200ADC"/>
    <w:rsid w:val="0023260C"/>
    <w:rsid w:val="0025329F"/>
    <w:rsid w:val="002856C9"/>
    <w:rsid w:val="002B4915"/>
    <w:rsid w:val="002E2156"/>
    <w:rsid w:val="002E4159"/>
    <w:rsid w:val="002F7BB0"/>
    <w:rsid w:val="00320ABC"/>
    <w:rsid w:val="0039565B"/>
    <w:rsid w:val="003A29FD"/>
    <w:rsid w:val="00417944"/>
    <w:rsid w:val="0044234E"/>
    <w:rsid w:val="00472A2E"/>
    <w:rsid w:val="00483319"/>
    <w:rsid w:val="004F0F11"/>
    <w:rsid w:val="00521734"/>
    <w:rsid w:val="00527244"/>
    <w:rsid w:val="00540041"/>
    <w:rsid w:val="00546F57"/>
    <w:rsid w:val="005631A3"/>
    <w:rsid w:val="00574B2B"/>
    <w:rsid w:val="00585495"/>
    <w:rsid w:val="005E01B8"/>
    <w:rsid w:val="00605B57"/>
    <w:rsid w:val="00633DCF"/>
    <w:rsid w:val="0065362C"/>
    <w:rsid w:val="00694F35"/>
    <w:rsid w:val="006E25B5"/>
    <w:rsid w:val="007F1C7B"/>
    <w:rsid w:val="00835733"/>
    <w:rsid w:val="00873D49"/>
    <w:rsid w:val="00883183"/>
    <w:rsid w:val="00903C6F"/>
    <w:rsid w:val="009070FB"/>
    <w:rsid w:val="00950483"/>
    <w:rsid w:val="009D3E0E"/>
    <w:rsid w:val="00A320B7"/>
    <w:rsid w:val="00A56B37"/>
    <w:rsid w:val="00AB2E3B"/>
    <w:rsid w:val="00AC6B57"/>
    <w:rsid w:val="00AD3F6F"/>
    <w:rsid w:val="00B11A10"/>
    <w:rsid w:val="00B71858"/>
    <w:rsid w:val="00BB49F7"/>
    <w:rsid w:val="00C260E7"/>
    <w:rsid w:val="00C66650"/>
    <w:rsid w:val="00CF63B5"/>
    <w:rsid w:val="00E021DB"/>
    <w:rsid w:val="00E124D5"/>
    <w:rsid w:val="00E42E44"/>
    <w:rsid w:val="00F47153"/>
    <w:rsid w:val="00F6669B"/>
    <w:rsid w:val="00F92008"/>
    <w:rsid w:val="00FB0A42"/>
    <w:rsid w:val="00FE0B3B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D244"/>
  <w15:chartTrackingRefBased/>
  <w15:docId w15:val="{EA279D3C-7F72-4754-801D-A6610208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21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21DB"/>
    <w:rPr>
      <w:sz w:val="20"/>
      <w:szCs w:val="20"/>
    </w:rPr>
  </w:style>
  <w:style w:type="character" w:styleId="Verwijzingopmerking">
    <w:name w:val="annotation reference"/>
    <w:rsid w:val="00E021DB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E0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21DB"/>
  </w:style>
  <w:style w:type="paragraph" w:styleId="Ballontekst">
    <w:name w:val="Balloon Text"/>
    <w:basedOn w:val="Standaard"/>
    <w:link w:val="BallontekstChar"/>
    <w:uiPriority w:val="99"/>
    <w:semiHidden/>
    <w:unhideWhenUsed/>
    <w:rsid w:val="00E0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1DB"/>
    <w:rPr>
      <w:rFonts w:ascii="Segoe UI" w:hAnsi="Segoe UI" w:cs="Segoe UI"/>
      <w:sz w:val="18"/>
      <w:szCs w:val="18"/>
    </w:rPr>
  </w:style>
  <w:style w:type="character" w:styleId="Regelnummer">
    <w:name w:val="line number"/>
    <w:basedOn w:val="Standaardalinea-lettertype"/>
    <w:uiPriority w:val="99"/>
    <w:semiHidden/>
    <w:unhideWhenUsed/>
    <w:rsid w:val="00E021D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6E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6EF3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232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853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H.J. van der (Hilma)</dc:creator>
  <cp:keywords/>
  <dc:description/>
  <cp:lastModifiedBy>Horst, H.J. van der (Hilma)</cp:lastModifiedBy>
  <cp:revision>3</cp:revision>
  <cp:lastPrinted>2020-07-27T09:00:00Z</cp:lastPrinted>
  <dcterms:created xsi:type="dcterms:W3CDTF">2020-07-27T08:59:00Z</dcterms:created>
  <dcterms:modified xsi:type="dcterms:W3CDTF">2020-07-27T19:38:00Z</dcterms:modified>
</cp:coreProperties>
</file>