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CE" w:rsidRPr="00057829" w:rsidRDefault="00141A43">
      <w:pPr>
        <w:spacing w:line="480" w:lineRule="auto"/>
        <w:jc w:val="center"/>
        <w:rPr>
          <w:rFonts w:ascii="Arial" w:hAnsi="Arial" w:cs="Arial"/>
          <w:b/>
          <w:bCs/>
          <w:lang w:val="en-US"/>
        </w:rPr>
      </w:pPr>
      <w:r w:rsidRPr="00057829">
        <w:rPr>
          <w:rFonts w:ascii="Arial" w:hAnsi="Arial" w:cs="Arial"/>
          <w:b/>
          <w:bCs/>
          <w:lang w:val="en-US"/>
        </w:rPr>
        <w:t xml:space="preserve">Prognostic impact of blood </w:t>
      </w:r>
      <w:r w:rsidRPr="00057829">
        <w:rPr>
          <w:rFonts w:ascii="Arial" w:hAnsi="Arial" w:cs="Arial"/>
          <w:b/>
          <w:bCs/>
          <w:i/>
          <w:lang w:val="en-US"/>
        </w:rPr>
        <w:t>MN1</w:t>
      </w:r>
      <w:r w:rsidRPr="00057829">
        <w:rPr>
          <w:rFonts w:ascii="Arial" w:hAnsi="Arial" w:cs="Arial"/>
          <w:b/>
          <w:bCs/>
          <w:lang w:val="en-US"/>
        </w:rPr>
        <w:t xml:space="preserve"> copy numbers before allogeneic stem cell transplantation in patients with acute myeloid leukemia</w:t>
      </w:r>
    </w:p>
    <w:p w:rsidR="000730CE" w:rsidRPr="00057829" w:rsidRDefault="000730CE">
      <w:pPr>
        <w:spacing w:line="480" w:lineRule="auto"/>
        <w:rPr>
          <w:rFonts w:ascii="Arial" w:hAnsi="Arial" w:cs="Arial"/>
          <w:b/>
          <w:lang w:val="en-US"/>
        </w:rPr>
      </w:pPr>
    </w:p>
    <w:p w:rsidR="000730CE" w:rsidRPr="00057829" w:rsidRDefault="00141A43">
      <w:pPr>
        <w:spacing w:line="480" w:lineRule="auto"/>
        <w:rPr>
          <w:rFonts w:ascii="Arial" w:hAnsi="Arial" w:cs="Arial"/>
          <w:sz w:val="22"/>
          <w:szCs w:val="22"/>
          <w:lang w:val="en-US" w:eastAsia="en-US"/>
        </w:rPr>
      </w:pPr>
      <w:r w:rsidRPr="00057829">
        <w:rPr>
          <w:rFonts w:ascii="Arial" w:hAnsi="Arial" w:cs="Arial"/>
          <w:b/>
          <w:lang w:val="en-US"/>
        </w:rPr>
        <w:t>Abstract</w:t>
      </w:r>
    </w:p>
    <w:p w:rsidR="000730CE" w:rsidRPr="00057829" w:rsidRDefault="00141A43" w:rsidP="000B53AE">
      <w:pPr>
        <w:spacing w:line="480" w:lineRule="auto"/>
        <w:ind w:left="708"/>
        <w:jc w:val="both"/>
        <w:rPr>
          <w:rFonts w:ascii="Arial" w:hAnsi="Arial" w:cs="Arial"/>
          <w:sz w:val="22"/>
          <w:lang w:val="en-US"/>
        </w:rPr>
      </w:pPr>
      <w:r w:rsidRPr="00057829">
        <w:rPr>
          <w:rFonts w:ascii="Arial" w:hAnsi="Arial" w:cs="Arial"/>
          <w:sz w:val="22"/>
          <w:lang w:val="en-US"/>
        </w:rPr>
        <w:t>High expression of the leukemia-associated gene meningioma-1 (</w:t>
      </w:r>
      <w:r w:rsidRPr="00057829">
        <w:rPr>
          <w:rFonts w:ascii="Arial" w:hAnsi="Arial" w:cs="Arial"/>
          <w:i/>
          <w:sz w:val="22"/>
          <w:lang w:val="en-US"/>
        </w:rPr>
        <w:t>MN1</w:t>
      </w:r>
      <w:r w:rsidRPr="00057829">
        <w:rPr>
          <w:rFonts w:ascii="Arial" w:hAnsi="Arial" w:cs="Arial"/>
          <w:sz w:val="22"/>
          <w:lang w:val="en-US"/>
        </w:rPr>
        <w:t>) is frequently found at diagnosis of acute myeloid leukemia (AML) and associates with adverse outcomes. The presence of measurable residual disease (MRD) in complete remission (CR) indicates high risk of relapse and worse outcome in AML patients. However,</w:t>
      </w:r>
      <w:r w:rsidRPr="00057829">
        <w:rPr>
          <w:rFonts w:ascii="Arial" w:hAnsi="Arial" w:cs="Arial"/>
          <w:sz w:val="22"/>
          <w:lang w:val="en-US"/>
        </w:rPr>
        <w:t xml:space="preserve"> the prognostic impact of </w:t>
      </w:r>
      <w:r w:rsidRPr="00057829">
        <w:rPr>
          <w:rFonts w:ascii="Arial" w:hAnsi="Arial" w:cs="Arial"/>
          <w:i/>
          <w:sz w:val="22"/>
          <w:lang w:val="en-US"/>
        </w:rPr>
        <w:t>MN1</w:t>
      </w:r>
      <w:r w:rsidRPr="00057829">
        <w:rPr>
          <w:rFonts w:ascii="Arial" w:hAnsi="Arial" w:cs="Arial"/>
          <w:sz w:val="22"/>
          <w:lang w:val="en-US"/>
        </w:rPr>
        <w:t xml:space="preserve"> expression levels as MRD marker has not been evaluated. Digital droplet PCR (ddPCR) is a novel technique allowing sensitive and specific absolute gene expression quantification. We retrospectively analyzed 124 AML patients who</w:t>
      </w:r>
      <w:r w:rsidRPr="00057829">
        <w:rPr>
          <w:rFonts w:ascii="Arial" w:hAnsi="Arial" w:cs="Arial"/>
          <w:sz w:val="22"/>
          <w:lang w:val="en-US"/>
        </w:rPr>
        <w:t xml:space="preserve"> received allogeneic hematopoietic stem cell transplantation (HSCT) in CR or CR with incomplete peripheral recovery. Absolute </w:t>
      </w:r>
      <w:r w:rsidRPr="00057829">
        <w:rPr>
          <w:rFonts w:ascii="Arial" w:hAnsi="Arial" w:cs="Arial"/>
          <w:i/>
          <w:sz w:val="22"/>
          <w:lang w:val="en-US"/>
        </w:rPr>
        <w:t>MN1</w:t>
      </w:r>
      <w:r w:rsidRPr="00057829">
        <w:rPr>
          <w:rFonts w:ascii="Arial" w:hAnsi="Arial" w:cs="Arial"/>
          <w:sz w:val="22"/>
          <w:lang w:val="en-US"/>
        </w:rPr>
        <w:t xml:space="preserve"> copy numbers in peripheral blood were assessed prior to HSCT (median 7; range 0-29 days) using ddPCR. High pre-HSCT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c</w:t>
      </w:r>
      <w:r w:rsidRPr="00057829">
        <w:rPr>
          <w:rFonts w:ascii="Arial" w:hAnsi="Arial" w:cs="Arial"/>
          <w:sz w:val="22"/>
          <w:lang w:val="en-US"/>
        </w:rPr>
        <w:t xml:space="preserve">opy numbers associated with a higher cumulative incidence of relapse after HSCT and - in relapsing patients - shorter time to relapse. In multivariable analysis, high pre-HSCT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 xml:space="preserve">ABL1 </w:t>
      </w:r>
      <w:r w:rsidRPr="00057829">
        <w:rPr>
          <w:rFonts w:ascii="Arial" w:hAnsi="Arial" w:cs="Arial"/>
          <w:sz w:val="22"/>
          <w:lang w:val="en-US"/>
        </w:rPr>
        <w:t>copy numbers remained an independent prognosticator for relapse after H</w:t>
      </w:r>
      <w:r w:rsidRPr="00057829">
        <w:rPr>
          <w:rFonts w:ascii="Arial" w:hAnsi="Arial" w:cs="Arial"/>
          <w:sz w:val="22"/>
          <w:lang w:val="en-US"/>
        </w:rPr>
        <w:t xml:space="preserve">SCT. Patients with the highest pre-HSCT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 xml:space="preserve">ABL1 </w:t>
      </w:r>
      <w:r w:rsidRPr="00057829">
        <w:rPr>
          <w:rFonts w:ascii="Arial" w:hAnsi="Arial" w:cs="Arial"/>
          <w:sz w:val="22"/>
          <w:lang w:val="en-US"/>
        </w:rPr>
        <w:t xml:space="preserve">copy numbers also had the highest risk of relapse. </w:t>
      </w:r>
      <w:r w:rsidRPr="00057829">
        <w:rPr>
          <w:rFonts w:ascii="Arial" w:hAnsi="Arial" w:cs="Arial"/>
          <w:i/>
          <w:sz w:val="22"/>
          <w:lang w:val="en-US"/>
        </w:rPr>
        <w:t>MN1</w:t>
      </w:r>
      <w:r w:rsidRPr="00057829">
        <w:rPr>
          <w:rFonts w:ascii="Arial" w:hAnsi="Arial" w:cs="Arial"/>
          <w:sz w:val="22"/>
          <w:lang w:val="en-US"/>
        </w:rPr>
        <w:t xml:space="preserve"> copy number assessment also added prognostic information to </w:t>
      </w:r>
      <w:r w:rsidRPr="00057829">
        <w:rPr>
          <w:rFonts w:ascii="Arial" w:hAnsi="Arial" w:cs="Arial"/>
          <w:i/>
          <w:sz w:val="22"/>
          <w:lang w:val="en-US"/>
        </w:rPr>
        <w:t>NPM1</w:t>
      </w:r>
      <w:r w:rsidRPr="00057829">
        <w:rPr>
          <w:rFonts w:ascii="Arial" w:hAnsi="Arial" w:cs="Arial"/>
          <w:sz w:val="22"/>
          <w:lang w:val="en-US"/>
        </w:rPr>
        <w:t xml:space="preserve"> mutation- and </w:t>
      </w:r>
      <w:r w:rsidRPr="00057829">
        <w:rPr>
          <w:rFonts w:ascii="Arial" w:hAnsi="Arial" w:cs="Arial"/>
          <w:i/>
          <w:sz w:val="22"/>
          <w:lang w:val="en-US"/>
        </w:rPr>
        <w:t xml:space="preserve">BAALC </w:t>
      </w:r>
      <w:r w:rsidRPr="00057829">
        <w:rPr>
          <w:rFonts w:ascii="Arial" w:hAnsi="Arial" w:cs="Arial"/>
          <w:sz w:val="22"/>
          <w:u w:val="single"/>
          <w:lang w:val="en-US"/>
        </w:rPr>
        <w:t>and</w:t>
      </w:r>
      <w:r w:rsidRPr="00057829">
        <w:rPr>
          <w:rFonts w:ascii="Arial" w:hAnsi="Arial" w:cs="Arial"/>
          <w:i/>
          <w:sz w:val="22"/>
          <w:u w:val="single"/>
          <w:lang w:val="en-US"/>
        </w:rPr>
        <w:t xml:space="preserve"> WT1</w:t>
      </w:r>
      <w:r w:rsidRPr="00057829">
        <w:rPr>
          <w:rFonts w:ascii="Arial" w:hAnsi="Arial" w:cs="Arial"/>
          <w:i/>
          <w:sz w:val="22"/>
          <w:lang w:val="en-US"/>
        </w:rPr>
        <w:t xml:space="preserve"> </w:t>
      </w:r>
      <w:r w:rsidRPr="00057829">
        <w:rPr>
          <w:rFonts w:ascii="Arial" w:hAnsi="Arial" w:cs="Arial"/>
          <w:sz w:val="22"/>
          <w:lang w:val="en-US"/>
        </w:rPr>
        <w:t>expression-based MRD evaluation. Our study demonstrates the</w:t>
      </w:r>
      <w:r w:rsidRPr="00057829">
        <w:rPr>
          <w:rFonts w:ascii="Arial" w:hAnsi="Arial" w:cs="Arial"/>
          <w:sz w:val="22"/>
          <w:lang w:val="en-US"/>
        </w:rPr>
        <w:t xml:space="preserve"> feasibility of the novel ddPCR technique for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copy number assessment as a marker for MRD. Evaluation of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copy numbers allows the identification of patients at high risk of relapse, independently of other diagnostic risk factors and MRD markers. </w:t>
      </w:r>
      <w:r w:rsidRPr="00057829">
        <w:br w:type="page"/>
      </w:r>
    </w:p>
    <w:p w:rsidR="000730CE" w:rsidRPr="00057829" w:rsidRDefault="00141A43">
      <w:pPr>
        <w:spacing w:line="480" w:lineRule="auto"/>
        <w:jc w:val="both"/>
        <w:rPr>
          <w:rFonts w:ascii="Arial" w:hAnsi="Arial" w:cs="Arial"/>
          <w:b/>
          <w:lang w:val="en-US"/>
        </w:rPr>
      </w:pPr>
      <w:r w:rsidRPr="00057829">
        <w:rPr>
          <w:rFonts w:ascii="Arial" w:hAnsi="Arial" w:cs="Arial"/>
          <w:b/>
          <w:lang w:val="en-US"/>
        </w:rPr>
        <w:lastRenderedPageBreak/>
        <w:t>Introduction</w:t>
      </w:r>
    </w:p>
    <w:p w:rsidR="000730CE" w:rsidRPr="00057829" w:rsidRDefault="00141A43">
      <w:pPr>
        <w:spacing w:line="480" w:lineRule="auto"/>
        <w:jc w:val="both"/>
        <w:rPr>
          <w:rFonts w:ascii="Arial" w:hAnsi="Arial" w:cs="Arial"/>
          <w:sz w:val="22"/>
          <w:lang w:val="en-US"/>
        </w:rPr>
      </w:pPr>
      <w:r w:rsidRPr="00057829">
        <w:rPr>
          <w:rFonts w:ascii="Arial" w:hAnsi="Arial" w:cs="Arial"/>
          <w:sz w:val="22"/>
          <w:lang w:val="en-US"/>
        </w:rPr>
        <w:t>For optimal and personalized treatment approaches in acute myeloid leukemia (AML) a reliable risk st</w:t>
      </w:r>
      <w:r w:rsidRPr="00057829">
        <w:rPr>
          <w:rFonts w:ascii="Arial" w:hAnsi="Arial" w:cs="Arial"/>
          <w:sz w:val="22"/>
          <w:lang w:val="en-US"/>
        </w:rPr>
        <w:t>ratification at diagnosis and during disease course is required.</w:t>
      </w:r>
      <w:r w:rsidRPr="00057829">
        <w:rPr>
          <w:rFonts w:ascii="Arial" w:hAnsi="Arial" w:cs="Arial"/>
          <w:sz w:val="22"/>
          <w:vertAlign w:val="superscript"/>
          <w:lang w:val="en-US"/>
        </w:rPr>
        <w:t>1-3</w:t>
      </w:r>
      <w:r w:rsidRPr="00057829">
        <w:rPr>
          <w:rFonts w:ascii="Arial" w:hAnsi="Arial" w:cs="Arial"/>
          <w:sz w:val="22"/>
          <w:lang w:val="en-US"/>
        </w:rPr>
        <w:t xml:space="preserve"> Evaluation of measurable residual disease (MRD) during or after therapy may facilitate risk-adapted treatment decisions for individual AML patients.</w:t>
      </w:r>
      <w:r w:rsidRPr="00057829">
        <w:rPr>
          <w:rFonts w:ascii="Arial" w:hAnsi="Arial" w:cs="Arial"/>
          <w:sz w:val="22"/>
          <w:vertAlign w:val="superscript"/>
          <w:lang w:val="en-US"/>
        </w:rPr>
        <w:t xml:space="preserve">2-5 </w:t>
      </w:r>
      <w:r w:rsidRPr="00057829">
        <w:rPr>
          <w:rFonts w:ascii="Arial" w:hAnsi="Arial" w:cs="Arial"/>
          <w:sz w:val="22"/>
          <w:lang w:val="en-US"/>
        </w:rPr>
        <w:t>In today’s clinical routine, AML MRD</w:t>
      </w:r>
      <w:r w:rsidRPr="00057829">
        <w:rPr>
          <w:rFonts w:ascii="Arial" w:hAnsi="Arial" w:cs="Arial"/>
          <w:sz w:val="22"/>
          <w:lang w:val="en-US"/>
        </w:rPr>
        <w:t xml:space="preserve"> evaluation mostly relies on multiparameter flow cytometry (MFC) which is limited due to complex analyses performed in specialized laboratories</w:t>
      </w:r>
      <w:r w:rsidRPr="00057829">
        <w:rPr>
          <w:rFonts w:ascii="Arial" w:hAnsi="Arial" w:cs="Arial"/>
          <w:sz w:val="22"/>
          <w:vertAlign w:val="superscript"/>
          <w:lang w:val="en-US"/>
        </w:rPr>
        <w:t xml:space="preserve">6 </w:t>
      </w:r>
      <w:r w:rsidRPr="00057829">
        <w:rPr>
          <w:rFonts w:ascii="Arial" w:hAnsi="Arial" w:cs="Arial"/>
          <w:sz w:val="22"/>
          <w:lang w:val="en-US"/>
        </w:rPr>
        <w:t>and quantitative reverse transcriptase polymerase chain reaction (qRT-PCR) assays. qRT-PCR is largely restricte</w:t>
      </w:r>
      <w:r w:rsidRPr="00057829">
        <w:rPr>
          <w:rFonts w:ascii="Arial" w:hAnsi="Arial" w:cs="Arial"/>
          <w:sz w:val="22"/>
          <w:lang w:val="en-US"/>
        </w:rPr>
        <w:t xml:space="preserve">d to patients harboring stable and determinable fusion transcripts or specific, recurrent gene mutations, </w:t>
      </w:r>
      <w:r w:rsidRPr="00057829">
        <w:rPr>
          <w:rFonts w:ascii="Arial" w:hAnsi="Arial" w:cs="Arial"/>
          <w:i/>
          <w:sz w:val="22"/>
          <w:lang w:val="en-US"/>
        </w:rPr>
        <w:t>e.g.</w:t>
      </w:r>
      <w:r w:rsidRPr="00057829">
        <w:rPr>
          <w:rFonts w:ascii="Arial" w:hAnsi="Arial" w:cs="Arial"/>
          <w:sz w:val="22"/>
          <w:lang w:val="en-US"/>
        </w:rPr>
        <w:t xml:space="preserve"> mutated </w:t>
      </w:r>
      <w:r w:rsidRPr="00057829">
        <w:rPr>
          <w:rFonts w:ascii="Arial" w:hAnsi="Arial" w:cs="Arial"/>
          <w:i/>
          <w:sz w:val="22"/>
          <w:lang w:val="en-US"/>
        </w:rPr>
        <w:t>NPM1</w:t>
      </w:r>
      <w:r w:rsidRPr="00057829">
        <w:rPr>
          <w:rFonts w:ascii="Arial" w:hAnsi="Arial" w:cs="Arial"/>
          <w:sz w:val="22"/>
          <w:lang w:val="en-US"/>
        </w:rPr>
        <w:t>.</w:t>
      </w:r>
      <w:r w:rsidRPr="00057829">
        <w:rPr>
          <w:rFonts w:ascii="Arial" w:hAnsi="Arial" w:cs="Arial"/>
          <w:sz w:val="22"/>
          <w:vertAlign w:val="superscript"/>
          <w:lang w:val="en-US"/>
        </w:rPr>
        <w:t xml:space="preserve">2,4,7-9 </w:t>
      </w:r>
      <w:r w:rsidRPr="00057829">
        <w:rPr>
          <w:rFonts w:ascii="Arial" w:hAnsi="Arial" w:cs="Arial"/>
          <w:sz w:val="22"/>
          <w:lang w:val="en-US"/>
        </w:rPr>
        <w:t>Next generation sequencing studies showed AML to be composed of genetically different clones.</w:t>
      </w:r>
      <w:r w:rsidRPr="00057829">
        <w:rPr>
          <w:rFonts w:ascii="Arial" w:hAnsi="Arial" w:cs="Arial"/>
          <w:sz w:val="22"/>
          <w:vertAlign w:val="superscript"/>
          <w:lang w:val="en-US"/>
        </w:rPr>
        <w:t xml:space="preserve">1,3,10 </w:t>
      </w:r>
      <w:r w:rsidRPr="00057829">
        <w:rPr>
          <w:rFonts w:ascii="Arial" w:hAnsi="Arial" w:cs="Arial"/>
          <w:sz w:val="22"/>
          <w:lang w:val="en-US"/>
        </w:rPr>
        <w:t>Some subclones may acqui</w:t>
      </w:r>
      <w:r w:rsidRPr="00057829">
        <w:rPr>
          <w:rFonts w:ascii="Arial" w:hAnsi="Arial" w:cs="Arial"/>
          <w:sz w:val="22"/>
          <w:lang w:val="en-US"/>
        </w:rPr>
        <w:t>re resistance mechanism during disease course and promote relapse molecularly distinct from the AML at diagnosis.</w:t>
      </w:r>
      <w:r w:rsidRPr="00057829">
        <w:rPr>
          <w:rFonts w:ascii="Arial" w:hAnsi="Arial" w:cs="Arial"/>
          <w:sz w:val="22"/>
          <w:vertAlign w:val="superscript"/>
          <w:lang w:val="en-US"/>
        </w:rPr>
        <w:t xml:space="preserve">1,10,11 </w:t>
      </w:r>
      <w:r w:rsidRPr="00057829">
        <w:rPr>
          <w:rFonts w:ascii="Arial" w:hAnsi="Arial" w:cs="Arial"/>
          <w:sz w:val="22"/>
          <w:lang w:val="en-US"/>
        </w:rPr>
        <w:t>Thus, the inclusion of gene expression analyses in a MRD marker panel may improve the sensitivity of MRD detection in AML patients. Tod</w:t>
      </w:r>
      <w:r w:rsidRPr="00057829">
        <w:rPr>
          <w:rFonts w:ascii="Arial" w:hAnsi="Arial" w:cs="Arial"/>
          <w:sz w:val="22"/>
          <w:lang w:val="en-US"/>
        </w:rPr>
        <w:t>ay, gene expressions of Wilm’s tumor gene 1 (</w:t>
      </w:r>
      <w:r w:rsidRPr="00057829">
        <w:rPr>
          <w:rFonts w:ascii="Arial" w:hAnsi="Arial" w:cs="Arial"/>
          <w:i/>
          <w:sz w:val="22"/>
          <w:lang w:val="en-US"/>
        </w:rPr>
        <w:t>WT1</w:t>
      </w:r>
      <w:r w:rsidRPr="00057829">
        <w:rPr>
          <w:rFonts w:ascii="Arial" w:hAnsi="Arial" w:cs="Arial"/>
          <w:sz w:val="22"/>
          <w:lang w:val="en-US"/>
        </w:rPr>
        <w:t>)</w:t>
      </w:r>
      <w:r w:rsidRPr="00057829">
        <w:rPr>
          <w:rFonts w:ascii="Arial" w:hAnsi="Arial" w:cs="Arial"/>
          <w:sz w:val="22"/>
          <w:vertAlign w:val="superscript"/>
          <w:lang w:val="en-US"/>
        </w:rPr>
        <w:t>12,13</w:t>
      </w:r>
      <w:r w:rsidRPr="00057829">
        <w:rPr>
          <w:rFonts w:ascii="Arial" w:hAnsi="Arial" w:cs="Arial"/>
          <w:sz w:val="22"/>
          <w:lang w:val="en-US"/>
        </w:rPr>
        <w:t xml:space="preserve"> and brain and acute leukemia, cytoplasmic (</w:t>
      </w:r>
      <w:r w:rsidRPr="00057829">
        <w:rPr>
          <w:rFonts w:ascii="Arial" w:hAnsi="Arial" w:cs="Arial"/>
          <w:i/>
          <w:sz w:val="22"/>
          <w:lang w:val="en-US"/>
        </w:rPr>
        <w:t>BAALC</w:t>
      </w:r>
      <w:r w:rsidRPr="00057829">
        <w:rPr>
          <w:rFonts w:ascii="Arial" w:hAnsi="Arial" w:cs="Arial"/>
          <w:sz w:val="22"/>
          <w:lang w:val="en-US"/>
        </w:rPr>
        <w:t>)</w:t>
      </w:r>
      <w:r w:rsidRPr="00057829">
        <w:rPr>
          <w:rFonts w:ascii="Arial" w:hAnsi="Arial" w:cs="Arial"/>
          <w:sz w:val="22"/>
          <w:vertAlign w:val="superscript"/>
          <w:lang w:val="en-US"/>
        </w:rPr>
        <w:t xml:space="preserve">14-16 </w:t>
      </w:r>
      <w:r w:rsidRPr="00057829">
        <w:rPr>
          <w:rFonts w:ascii="Arial" w:hAnsi="Arial" w:cs="Arial"/>
          <w:sz w:val="22"/>
          <w:lang w:val="en-US"/>
        </w:rPr>
        <w:t xml:space="preserve">were shown to provide informative MRD data in AML remission. </w:t>
      </w:r>
    </w:p>
    <w:p w:rsidR="000730CE" w:rsidRPr="00057829" w:rsidRDefault="00141A43">
      <w:pPr>
        <w:spacing w:line="480" w:lineRule="auto"/>
        <w:jc w:val="both"/>
        <w:rPr>
          <w:rFonts w:ascii="Arial" w:hAnsi="Arial" w:cs="Arial"/>
          <w:sz w:val="22"/>
          <w:lang w:val="en-US"/>
        </w:rPr>
      </w:pPr>
      <w:r w:rsidRPr="00057829">
        <w:rPr>
          <w:rFonts w:ascii="Arial" w:hAnsi="Arial" w:cs="Arial"/>
          <w:sz w:val="22"/>
          <w:lang w:val="en-US"/>
        </w:rPr>
        <w:t>The gene meningioma-1 (</w:t>
      </w:r>
      <w:r w:rsidRPr="00057829">
        <w:rPr>
          <w:rFonts w:ascii="Arial" w:hAnsi="Arial" w:cs="Arial"/>
          <w:i/>
          <w:sz w:val="22"/>
          <w:lang w:val="en-US"/>
        </w:rPr>
        <w:t>MN1</w:t>
      </w:r>
      <w:r w:rsidRPr="00057829">
        <w:rPr>
          <w:rFonts w:ascii="Arial" w:hAnsi="Arial" w:cs="Arial"/>
          <w:sz w:val="22"/>
          <w:lang w:val="en-US"/>
        </w:rPr>
        <w:t xml:space="preserve">) was found highly expressed in primitive (CD34-positive) </w:t>
      </w:r>
      <w:r w:rsidRPr="00057829">
        <w:rPr>
          <w:rFonts w:ascii="Arial" w:hAnsi="Arial" w:cs="Arial"/>
          <w:sz w:val="22"/>
          <w:lang w:val="en-US"/>
        </w:rPr>
        <w:t>hematopoietic cells and is downregulated during cell differentiation.</w:t>
      </w:r>
      <w:r w:rsidRPr="00057829">
        <w:rPr>
          <w:rFonts w:ascii="Arial" w:hAnsi="Arial" w:cs="Arial"/>
          <w:sz w:val="22"/>
          <w:vertAlign w:val="superscript"/>
          <w:lang w:val="en-US"/>
        </w:rPr>
        <w:t>17</w:t>
      </w:r>
      <w:r w:rsidRPr="00057829">
        <w:rPr>
          <w:rFonts w:ascii="Arial" w:hAnsi="Arial" w:cs="Arial"/>
          <w:sz w:val="22"/>
          <w:lang w:val="en-US"/>
        </w:rPr>
        <w:t xml:space="preserve"> Elevated levels were described in acute leukemias of myeloid and lymphoid lineage</w:t>
      </w:r>
      <w:r w:rsidRPr="00057829">
        <w:rPr>
          <w:rFonts w:ascii="Arial" w:hAnsi="Arial" w:cs="Arial"/>
          <w:sz w:val="22"/>
          <w:vertAlign w:val="superscript"/>
          <w:lang w:val="en-US"/>
        </w:rPr>
        <w:t xml:space="preserve">17 </w:t>
      </w:r>
      <w:r w:rsidRPr="00057829">
        <w:rPr>
          <w:rFonts w:ascii="Arial" w:hAnsi="Arial" w:cs="Arial"/>
          <w:sz w:val="22"/>
          <w:lang w:val="en-US"/>
        </w:rPr>
        <w:t>and shown to induce proliferation and inhibit myeloid differentiation.</w:t>
      </w:r>
      <w:r w:rsidRPr="00057829">
        <w:rPr>
          <w:rFonts w:ascii="Arial" w:hAnsi="Arial" w:cs="Arial"/>
          <w:sz w:val="22"/>
          <w:vertAlign w:val="superscript"/>
          <w:lang w:val="en-US"/>
        </w:rPr>
        <w:t>18,19</w:t>
      </w:r>
      <w:r w:rsidRPr="00057829">
        <w:rPr>
          <w:rFonts w:ascii="Arial" w:hAnsi="Arial" w:cs="Arial"/>
          <w:sz w:val="22"/>
          <w:lang w:val="en-US"/>
        </w:rPr>
        <w:t xml:space="preserve"> At diagnosis, high </w:t>
      </w:r>
      <w:r w:rsidRPr="00057829">
        <w:rPr>
          <w:rFonts w:ascii="Arial" w:hAnsi="Arial" w:cs="Arial"/>
          <w:i/>
          <w:sz w:val="22"/>
          <w:lang w:val="en-US"/>
        </w:rPr>
        <w:t>MN1</w:t>
      </w:r>
      <w:r w:rsidRPr="00057829">
        <w:rPr>
          <w:rFonts w:ascii="Arial" w:hAnsi="Arial" w:cs="Arial"/>
          <w:sz w:val="22"/>
          <w:lang w:val="en-US"/>
        </w:rPr>
        <w:t xml:space="preserve"> e</w:t>
      </w:r>
      <w:r w:rsidRPr="00057829">
        <w:rPr>
          <w:rFonts w:ascii="Arial" w:hAnsi="Arial" w:cs="Arial"/>
          <w:sz w:val="22"/>
          <w:lang w:val="en-US"/>
        </w:rPr>
        <w:t>xpression was linked to shorter overall survival (OS) and shorter disease free survival in younger and older AML patients with normal cytogenetics.</w:t>
      </w:r>
      <w:r w:rsidRPr="00057829">
        <w:rPr>
          <w:rFonts w:ascii="Arial" w:hAnsi="Arial" w:cs="Arial"/>
          <w:sz w:val="22"/>
          <w:vertAlign w:val="superscript"/>
          <w:lang w:val="en-US"/>
        </w:rPr>
        <w:t xml:space="preserve">17,20,21 </w:t>
      </w:r>
      <w:r w:rsidRPr="00057829">
        <w:rPr>
          <w:rFonts w:ascii="Arial" w:hAnsi="Arial" w:cs="Arial"/>
          <w:sz w:val="22"/>
          <w:lang w:val="en-US"/>
        </w:rPr>
        <w:t xml:space="preserve">The feasibility of </w:t>
      </w:r>
      <w:r w:rsidRPr="00057829">
        <w:rPr>
          <w:rFonts w:ascii="Arial" w:hAnsi="Arial" w:cs="Arial"/>
          <w:i/>
          <w:sz w:val="22"/>
          <w:lang w:val="en-US"/>
        </w:rPr>
        <w:t>MN1</w:t>
      </w:r>
      <w:r w:rsidRPr="00057829">
        <w:rPr>
          <w:rFonts w:ascii="Arial" w:hAnsi="Arial" w:cs="Arial"/>
          <w:sz w:val="22"/>
          <w:lang w:val="en-US"/>
        </w:rPr>
        <w:t xml:space="preserve"> expression levels as MRD marker at a defined point in CR has not yet been eva</w:t>
      </w:r>
      <w:r w:rsidRPr="00057829">
        <w:rPr>
          <w:rFonts w:ascii="Arial" w:hAnsi="Arial" w:cs="Arial"/>
          <w:sz w:val="22"/>
          <w:lang w:val="en-US"/>
        </w:rPr>
        <w:t>luated. Only one study in 31 AML patients showed that</w:t>
      </w:r>
      <w:r w:rsidRPr="00057829">
        <w:rPr>
          <w:rFonts w:ascii="Arial" w:hAnsi="Arial" w:cs="Arial"/>
          <w:i/>
          <w:sz w:val="22"/>
          <w:lang w:val="en-US"/>
        </w:rPr>
        <w:t xml:space="preserve"> MN1</w:t>
      </w:r>
      <w:r w:rsidRPr="00057829">
        <w:rPr>
          <w:rFonts w:ascii="Arial" w:hAnsi="Arial" w:cs="Arial"/>
          <w:sz w:val="22"/>
          <w:lang w:val="en-US"/>
        </w:rPr>
        <w:t xml:space="preserve"> levels during disease course parallel disease-specific alterations (</w:t>
      </w:r>
      <w:r w:rsidRPr="00057829">
        <w:rPr>
          <w:rFonts w:ascii="Arial" w:hAnsi="Arial" w:cs="Arial"/>
          <w:i/>
          <w:sz w:val="22"/>
          <w:lang w:val="en-US"/>
        </w:rPr>
        <w:t>i.e.</w:t>
      </w:r>
      <w:r w:rsidRPr="00057829">
        <w:rPr>
          <w:rFonts w:ascii="Arial" w:hAnsi="Arial" w:cs="Arial"/>
          <w:sz w:val="22"/>
          <w:lang w:val="en-US"/>
        </w:rPr>
        <w:t xml:space="preserve"> </w:t>
      </w:r>
      <w:r w:rsidRPr="00057829">
        <w:rPr>
          <w:rFonts w:ascii="Arial" w:hAnsi="Arial" w:cs="Arial"/>
          <w:i/>
          <w:sz w:val="22"/>
          <w:lang w:val="en-US"/>
        </w:rPr>
        <w:t>NPM1</w:t>
      </w:r>
      <w:r w:rsidRPr="00057829">
        <w:rPr>
          <w:rFonts w:ascii="Arial" w:hAnsi="Arial" w:cs="Arial"/>
          <w:sz w:val="22"/>
          <w:lang w:val="en-US"/>
        </w:rPr>
        <w:t xml:space="preserve"> mutations and fusion transcripts </w:t>
      </w:r>
      <w:r w:rsidRPr="00057829">
        <w:rPr>
          <w:rFonts w:ascii="Arial" w:hAnsi="Arial" w:cs="Arial"/>
          <w:i/>
          <w:sz w:val="22"/>
          <w:lang w:val="en-US"/>
        </w:rPr>
        <w:t>CBFB</w:t>
      </w:r>
      <w:r w:rsidRPr="00057829">
        <w:rPr>
          <w:rFonts w:ascii="Arial" w:hAnsi="Arial" w:cs="Arial"/>
          <w:sz w:val="22"/>
          <w:lang w:val="en-US"/>
        </w:rPr>
        <w:t>-</w:t>
      </w:r>
      <w:r w:rsidRPr="00057829">
        <w:rPr>
          <w:rFonts w:ascii="Arial" w:hAnsi="Arial" w:cs="Arial"/>
          <w:i/>
          <w:sz w:val="22"/>
          <w:lang w:val="en-US"/>
        </w:rPr>
        <w:t>MYH11</w:t>
      </w:r>
      <w:r w:rsidRPr="00057829">
        <w:rPr>
          <w:rFonts w:ascii="Arial" w:hAnsi="Arial" w:cs="Arial"/>
          <w:sz w:val="22"/>
          <w:lang w:val="en-US"/>
        </w:rPr>
        <w:t xml:space="preserve"> and </w:t>
      </w:r>
      <w:r w:rsidRPr="00057829">
        <w:rPr>
          <w:rFonts w:ascii="Arial" w:hAnsi="Arial" w:cs="Arial"/>
          <w:i/>
          <w:sz w:val="22"/>
          <w:lang w:val="en-US"/>
        </w:rPr>
        <w:t>RUNX1</w:t>
      </w:r>
      <w:r w:rsidRPr="00057829">
        <w:rPr>
          <w:rFonts w:ascii="Arial" w:hAnsi="Arial" w:cs="Arial"/>
          <w:sz w:val="22"/>
          <w:lang w:val="en-US"/>
        </w:rPr>
        <w:t>-</w:t>
      </w:r>
      <w:r w:rsidRPr="00057829">
        <w:rPr>
          <w:rFonts w:ascii="Arial" w:hAnsi="Arial" w:cs="Arial"/>
          <w:i/>
          <w:sz w:val="22"/>
          <w:lang w:val="en-US"/>
        </w:rPr>
        <w:t>AML1</w:t>
      </w:r>
      <w:r w:rsidRPr="00057829">
        <w:rPr>
          <w:rFonts w:ascii="Arial" w:hAnsi="Arial" w:cs="Arial"/>
          <w:sz w:val="22"/>
          <w:lang w:val="en-US"/>
        </w:rPr>
        <w:t>).</w:t>
      </w:r>
      <w:r w:rsidRPr="00057829">
        <w:rPr>
          <w:rFonts w:ascii="Arial" w:hAnsi="Arial" w:cs="Arial"/>
          <w:sz w:val="22"/>
          <w:vertAlign w:val="superscript"/>
          <w:lang w:val="en-US"/>
        </w:rPr>
        <w:t>22</w:t>
      </w:r>
      <w:r w:rsidRPr="00057829">
        <w:rPr>
          <w:rFonts w:ascii="Arial" w:hAnsi="Arial" w:cs="Arial"/>
          <w:sz w:val="22"/>
          <w:lang w:val="en-US"/>
        </w:rPr>
        <w:t xml:space="preserve"> In contrast, low </w:t>
      </w:r>
      <w:r w:rsidRPr="00057829">
        <w:rPr>
          <w:rFonts w:ascii="Arial" w:hAnsi="Arial" w:cs="Arial"/>
          <w:i/>
          <w:sz w:val="22"/>
          <w:lang w:val="en-US"/>
        </w:rPr>
        <w:t>MN1</w:t>
      </w:r>
      <w:r w:rsidRPr="00057829">
        <w:rPr>
          <w:rFonts w:ascii="Arial" w:hAnsi="Arial" w:cs="Arial"/>
          <w:sz w:val="22"/>
          <w:lang w:val="en-US"/>
        </w:rPr>
        <w:t xml:space="preserve"> expression levels were found in the </w:t>
      </w:r>
      <w:r w:rsidRPr="00057829">
        <w:rPr>
          <w:rFonts w:ascii="Arial" w:hAnsi="Arial" w:cs="Arial"/>
          <w:sz w:val="22"/>
          <w:lang w:val="en-US"/>
        </w:rPr>
        <w:t xml:space="preserve">peripheral blood and bone marrow of healthy individuals. Thus, high bone marrow or blood </w:t>
      </w:r>
      <w:r w:rsidRPr="00057829">
        <w:rPr>
          <w:rFonts w:ascii="Arial" w:hAnsi="Arial" w:cs="Arial"/>
          <w:i/>
          <w:sz w:val="22"/>
          <w:lang w:val="en-US"/>
        </w:rPr>
        <w:t>MN1</w:t>
      </w:r>
      <w:r w:rsidRPr="00057829">
        <w:rPr>
          <w:rFonts w:ascii="Arial" w:hAnsi="Arial" w:cs="Arial"/>
          <w:sz w:val="22"/>
          <w:lang w:val="en-US"/>
        </w:rPr>
        <w:t xml:space="preserve"> expression might have potential use for MRD monitoring.</w:t>
      </w:r>
      <w:r w:rsidRPr="00057829">
        <w:rPr>
          <w:rFonts w:ascii="Arial" w:hAnsi="Arial" w:cs="Arial"/>
          <w:sz w:val="22"/>
          <w:vertAlign w:val="superscript"/>
          <w:lang w:val="en-US"/>
        </w:rPr>
        <w:t>22</w:t>
      </w:r>
      <w:r w:rsidRPr="00057829">
        <w:rPr>
          <w:rFonts w:ascii="Arial" w:hAnsi="Arial" w:cs="Arial"/>
          <w:sz w:val="22"/>
          <w:lang w:val="en-US"/>
        </w:rPr>
        <w:t xml:space="preserve"> Although allogeneic hematopoietic stem cell transplantation (HSCT) has </w:t>
      </w:r>
      <w:r w:rsidRPr="00057829">
        <w:rPr>
          <w:rFonts w:ascii="Arial" w:hAnsi="Arial" w:cs="Arial"/>
          <w:sz w:val="22"/>
          <w:lang w:val="en-US"/>
        </w:rPr>
        <w:lastRenderedPageBreak/>
        <w:t>been indicated as the consolidation therapy offering the highest chance of sustained CR in AML patients,</w:t>
      </w:r>
      <w:r w:rsidRPr="00057829">
        <w:rPr>
          <w:rFonts w:ascii="Arial" w:hAnsi="Arial" w:cs="Arial"/>
          <w:sz w:val="22"/>
          <w:vertAlign w:val="superscript"/>
          <w:lang w:val="en-US"/>
        </w:rPr>
        <w:t xml:space="preserve">3,23 </w:t>
      </w:r>
      <w:r w:rsidRPr="00057829">
        <w:rPr>
          <w:rFonts w:ascii="Arial" w:hAnsi="Arial" w:cs="Arial"/>
          <w:sz w:val="22"/>
          <w:lang w:val="en-US"/>
        </w:rPr>
        <w:t>detectable MRD prior to HSCT associates with worse outcomes.</w:t>
      </w:r>
      <w:r w:rsidRPr="00057829">
        <w:rPr>
          <w:rFonts w:ascii="Arial" w:hAnsi="Arial" w:cs="Arial"/>
          <w:sz w:val="22"/>
          <w:vertAlign w:val="superscript"/>
          <w:lang w:val="en-US"/>
        </w:rPr>
        <w:t xml:space="preserve">8,14,24 </w:t>
      </w:r>
      <w:r w:rsidRPr="00057829">
        <w:rPr>
          <w:rFonts w:ascii="Arial" w:hAnsi="Arial" w:cs="Arial"/>
          <w:sz w:val="22"/>
          <w:lang w:val="en-US"/>
        </w:rPr>
        <w:t xml:space="preserve"> This m</w:t>
      </w:r>
      <w:r w:rsidRPr="00057829">
        <w:rPr>
          <w:rFonts w:ascii="Arial" w:hAnsi="Arial" w:cs="Arial"/>
          <w:sz w:val="22"/>
          <w:lang w:val="en-US"/>
        </w:rPr>
        <w:t>ay be especially true in reduced intensity or non-myeloablative (NMA) conditioning regimens which are increasingly used to allow HSCT in older or comorbid individuals.</w:t>
      </w:r>
      <w:r w:rsidRPr="00057829">
        <w:rPr>
          <w:rFonts w:ascii="Arial" w:hAnsi="Arial" w:cs="Arial"/>
          <w:sz w:val="22"/>
          <w:vertAlign w:val="superscript"/>
          <w:lang w:val="en-US"/>
        </w:rPr>
        <w:t xml:space="preserve">25-27 </w:t>
      </w:r>
      <w:r w:rsidRPr="00057829">
        <w:rPr>
          <w:rFonts w:ascii="Arial" w:hAnsi="Arial" w:cs="Arial"/>
          <w:sz w:val="22"/>
          <w:lang w:val="en-US"/>
        </w:rPr>
        <w:t xml:space="preserve">Here, we evaluated the prognostic impact of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copy numbers prior to NMA-HSCT</w:t>
      </w:r>
      <w:r w:rsidRPr="00057829">
        <w:rPr>
          <w:rFonts w:ascii="Arial" w:hAnsi="Arial" w:cs="Arial"/>
          <w:sz w:val="22"/>
          <w:lang w:val="en-US"/>
        </w:rPr>
        <w:t>. We adopted the novel digital droplet PCR (ddPCR) technique that allows absolute copy number quantification without the need of standard curves.</w:t>
      </w:r>
      <w:r w:rsidRPr="00057829">
        <w:rPr>
          <w:rFonts w:ascii="Arial" w:hAnsi="Arial" w:cs="Arial"/>
          <w:sz w:val="22"/>
          <w:vertAlign w:val="superscript"/>
          <w:lang w:val="en-US"/>
        </w:rPr>
        <w:t>6,28</w:t>
      </w:r>
      <w:r w:rsidRPr="00057829">
        <w:rPr>
          <w:rFonts w:ascii="Arial" w:hAnsi="Arial" w:cs="Arial"/>
          <w:sz w:val="22"/>
          <w:lang w:val="en-US"/>
        </w:rPr>
        <w:t xml:space="preserve"> The use of peripheral blood enabled a rapid and easily repeatable approach for MRD measurement with high p</w:t>
      </w:r>
      <w:r w:rsidRPr="00057829">
        <w:rPr>
          <w:rFonts w:ascii="Arial" w:hAnsi="Arial" w:cs="Arial"/>
          <w:sz w:val="22"/>
          <w:lang w:val="en-US"/>
        </w:rPr>
        <w:t xml:space="preserve">atient convenience. Our study is the first to evaluate the use of </w:t>
      </w:r>
      <w:r w:rsidRPr="00057829">
        <w:rPr>
          <w:rFonts w:ascii="Arial" w:hAnsi="Arial" w:cs="Arial"/>
          <w:i/>
          <w:sz w:val="22"/>
          <w:lang w:val="en-US"/>
        </w:rPr>
        <w:t>MN1</w:t>
      </w:r>
      <w:r w:rsidRPr="00057829">
        <w:rPr>
          <w:rFonts w:ascii="Arial" w:hAnsi="Arial" w:cs="Arial"/>
          <w:sz w:val="22"/>
          <w:lang w:val="en-US"/>
        </w:rPr>
        <w:t xml:space="preserve"> expression levels as a prognostic factor in CR in a larger patient cohort.</w:t>
      </w:r>
      <w:r w:rsidRPr="00057829">
        <w:br w:type="page"/>
      </w:r>
    </w:p>
    <w:p w:rsidR="000730CE" w:rsidRPr="00057829" w:rsidRDefault="00141A43">
      <w:pPr>
        <w:spacing w:after="240" w:line="360" w:lineRule="auto"/>
        <w:jc w:val="both"/>
        <w:rPr>
          <w:rFonts w:ascii="Arial" w:hAnsi="Arial" w:cs="Arial"/>
          <w:sz w:val="22"/>
          <w:szCs w:val="22"/>
          <w:lang w:val="en-US"/>
        </w:rPr>
      </w:pPr>
      <w:r w:rsidRPr="00057829">
        <w:rPr>
          <w:rFonts w:ascii="Arial" w:hAnsi="Arial" w:cs="Arial"/>
          <w:b/>
          <w:lang w:val="en-US"/>
        </w:rPr>
        <w:lastRenderedPageBreak/>
        <w:t>Results</w:t>
      </w:r>
    </w:p>
    <w:p w:rsidR="000730CE" w:rsidRPr="00057829" w:rsidRDefault="00141A43">
      <w:pPr>
        <w:spacing w:line="480" w:lineRule="auto"/>
        <w:jc w:val="both"/>
        <w:rPr>
          <w:rFonts w:ascii="Arial" w:hAnsi="Arial" w:cs="Arial"/>
          <w:b/>
          <w:i/>
          <w:sz w:val="22"/>
          <w:lang w:val="en-US"/>
        </w:rPr>
      </w:pPr>
      <w:r w:rsidRPr="00057829">
        <w:rPr>
          <w:rFonts w:ascii="Arial" w:hAnsi="Arial" w:cs="Arial"/>
          <w:b/>
          <w:i/>
          <w:sz w:val="22"/>
          <w:lang w:val="en-US"/>
        </w:rPr>
        <w:t>MN1/ABL1 copy numbers in AML patients and healthy individuals</w:t>
      </w:r>
    </w:p>
    <w:p w:rsidR="000730CE" w:rsidRPr="00057829" w:rsidRDefault="00141A43">
      <w:pPr>
        <w:spacing w:line="480" w:lineRule="auto"/>
        <w:jc w:val="both"/>
        <w:rPr>
          <w:rFonts w:ascii="Arial" w:hAnsi="Arial" w:cs="Arial"/>
          <w:sz w:val="22"/>
          <w:lang w:val="en-US"/>
        </w:rPr>
      </w:pPr>
      <w:r w:rsidRPr="00057829">
        <w:rPr>
          <w:rFonts w:ascii="Arial" w:hAnsi="Arial" w:cs="Arial"/>
          <w:sz w:val="22"/>
          <w:lang w:val="en-US"/>
        </w:rPr>
        <w:t>In the patient cohort in complete remiss</w:t>
      </w:r>
      <w:r w:rsidRPr="00057829">
        <w:rPr>
          <w:rFonts w:ascii="Arial" w:hAnsi="Arial" w:cs="Arial"/>
          <w:sz w:val="22"/>
          <w:lang w:val="en-US"/>
        </w:rPr>
        <w:t xml:space="preserve">ion (CR) or CR with incomplete peripheral recovery (CRi; median 7, range 0-29 days) prior to allogeneic HSCT, median blood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copy numbers were 0.12 (range 0.01-2.04). In the healthy controls, we observed a median blood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copy number of </w:t>
      </w:r>
      <w:r w:rsidRPr="00057829">
        <w:rPr>
          <w:rFonts w:ascii="Arial" w:hAnsi="Arial" w:cs="Arial"/>
          <w:sz w:val="22"/>
          <w:u w:val="single"/>
          <w:lang w:val="en-US"/>
        </w:rPr>
        <w:t>0.15 (</w:t>
      </w:r>
      <w:r w:rsidRPr="00057829">
        <w:rPr>
          <w:rFonts w:ascii="Arial" w:hAnsi="Arial" w:cs="Arial"/>
          <w:sz w:val="22"/>
          <w:u w:val="single"/>
          <w:lang w:val="en-US"/>
        </w:rPr>
        <w:t>range 0.06-0.26</w:t>
      </w:r>
      <w:r w:rsidRPr="00057829">
        <w:rPr>
          <w:rFonts w:ascii="Arial" w:hAnsi="Arial" w:cs="Arial"/>
          <w:sz w:val="22"/>
          <w:lang w:val="en-US"/>
        </w:rPr>
        <w:t>)</w:t>
      </w:r>
      <w:r w:rsidRPr="00057829">
        <w:rPr>
          <w:rFonts w:ascii="Arial" w:hAnsi="Arial" w:cs="Arial"/>
          <w:sz w:val="22"/>
          <w:lang w:val="en-US"/>
        </w:rPr>
        <w:t xml:space="preserve">. Overall, AML patients in CR or CRi and the healthy control did not differ significantly in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copy numbers </w:t>
      </w:r>
      <w:r w:rsidRPr="00057829">
        <w:rPr>
          <w:rFonts w:ascii="Arial" w:hAnsi="Arial" w:cs="Arial"/>
          <w:sz w:val="22"/>
          <w:lang w:val="en-US"/>
        </w:rPr>
        <w:t>(</w:t>
      </w:r>
      <w:r w:rsidRPr="00057829">
        <w:rPr>
          <w:rFonts w:ascii="Arial" w:hAnsi="Arial" w:cs="Arial"/>
          <w:i/>
          <w:sz w:val="22"/>
          <w:u w:val="single"/>
          <w:lang w:val="en-US"/>
        </w:rPr>
        <w:t>P</w:t>
      </w:r>
      <w:r w:rsidRPr="00057829">
        <w:rPr>
          <w:rFonts w:ascii="Arial" w:hAnsi="Arial" w:cs="Arial"/>
          <w:sz w:val="22"/>
          <w:u w:val="single"/>
          <w:lang w:val="en-US"/>
        </w:rPr>
        <w:t>=.97, Figure 1</w:t>
      </w:r>
      <w:r w:rsidRPr="00057829">
        <w:rPr>
          <w:rFonts w:ascii="Arial" w:hAnsi="Arial" w:cs="Arial"/>
          <w:sz w:val="22"/>
          <w:lang w:val="en-US"/>
        </w:rPr>
        <w:t>) and were evenly matched in sex (</w:t>
      </w:r>
      <w:r w:rsidRPr="00057829">
        <w:rPr>
          <w:rFonts w:ascii="Arial" w:hAnsi="Arial" w:cs="Arial"/>
          <w:i/>
          <w:sz w:val="22"/>
          <w:lang w:val="en-US"/>
        </w:rPr>
        <w:t>P</w:t>
      </w:r>
      <w:r w:rsidRPr="00057829">
        <w:rPr>
          <w:rFonts w:ascii="Arial" w:hAnsi="Arial" w:cs="Arial"/>
          <w:sz w:val="22"/>
          <w:lang w:val="en-US"/>
        </w:rPr>
        <w:t xml:space="preserve">=1) </w:t>
      </w:r>
      <w:r w:rsidRPr="00057829">
        <w:rPr>
          <w:rFonts w:ascii="Arial" w:hAnsi="Arial" w:cs="Arial"/>
          <w:sz w:val="22"/>
          <w:u w:val="single"/>
          <w:lang w:val="en-US"/>
        </w:rPr>
        <w:t xml:space="preserve">while the healthy control was younger than the AML patients prior to </w:t>
      </w:r>
      <w:r w:rsidRPr="00057829">
        <w:rPr>
          <w:rFonts w:ascii="Arial" w:hAnsi="Arial" w:cs="Arial"/>
          <w:sz w:val="22"/>
          <w:u w:val="single"/>
          <w:lang w:val="en-US"/>
        </w:rPr>
        <w:t>HSCT (</w:t>
      </w:r>
      <w:r w:rsidRPr="00057829">
        <w:rPr>
          <w:rFonts w:ascii="Arial" w:hAnsi="Arial" w:cs="Arial"/>
          <w:i/>
          <w:sz w:val="22"/>
          <w:u w:val="single"/>
          <w:lang w:val="en-US"/>
        </w:rPr>
        <w:t>P</w:t>
      </w:r>
      <w:r w:rsidRPr="00057829">
        <w:rPr>
          <w:rFonts w:ascii="Arial" w:hAnsi="Arial" w:cs="Arial"/>
          <w:sz w:val="22"/>
          <w:u w:val="single"/>
          <w:lang w:val="en-US"/>
        </w:rPr>
        <w:t xml:space="preserve">=.01, </w:t>
      </w:r>
      <w:r w:rsidRPr="00057829">
        <w:rPr>
          <w:rFonts w:ascii="Arial" w:hAnsi="Arial" w:cs="Arial"/>
          <w:sz w:val="22"/>
          <w:lang w:val="en-US"/>
        </w:rPr>
        <w:t>Supplementary Table S2</w:t>
      </w:r>
      <w:bookmarkStart w:id="0" w:name="__DdeLink__3046_1001893498"/>
      <w:r w:rsidRPr="00057829">
        <w:rPr>
          <w:rFonts w:ascii="Arial" w:hAnsi="Arial" w:cs="Arial"/>
          <w:sz w:val="22"/>
          <w:lang w:val="en-US"/>
        </w:rPr>
        <w:t xml:space="preserve">, Supplemental Digital Content, </w:t>
      </w:r>
      <w:bookmarkStart w:id="1" w:name="__DdeLink__3111_309725793"/>
      <w:bookmarkEnd w:id="0"/>
      <w:r w:rsidRPr="00057829">
        <w:rPr>
          <w:rFonts w:ascii="Arial" w:hAnsi="Arial" w:cs="Arial"/>
          <w:sz w:val="22"/>
          <w:lang w:val="en-US"/>
        </w:rPr>
        <w:t>http://links.lww.com/HS/A20</w:t>
      </w:r>
      <w:bookmarkEnd w:id="1"/>
      <w:r w:rsidRPr="00057829">
        <w:rPr>
          <w:rFonts w:ascii="Arial" w:hAnsi="Arial" w:cs="Arial"/>
          <w:sz w:val="22"/>
          <w:lang w:val="en-US"/>
        </w:rPr>
        <w:t xml:space="preserve">). </w:t>
      </w:r>
      <w:r w:rsidRPr="00057829">
        <w:rPr>
          <w:rFonts w:ascii="Arial" w:hAnsi="Arial" w:cs="Arial"/>
          <w:sz w:val="22"/>
          <w:szCs w:val="22"/>
          <w:u w:val="single"/>
          <w:lang w:val="en-US"/>
        </w:rPr>
        <w:t xml:space="preserve">For further analyses, a 0.2992 pre-HSCT </w:t>
      </w:r>
      <w:r w:rsidRPr="00057829">
        <w:rPr>
          <w:rFonts w:ascii="Arial" w:hAnsi="Arial" w:cs="Arial"/>
          <w:i/>
          <w:sz w:val="22"/>
          <w:u w:val="single"/>
          <w:lang w:val="en-US"/>
        </w:rPr>
        <w:t>MN1</w:t>
      </w:r>
      <w:r w:rsidRPr="00057829">
        <w:rPr>
          <w:rFonts w:ascii="Arial" w:hAnsi="Arial" w:cs="Arial"/>
          <w:sz w:val="22"/>
          <w:u w:val="single"/>
          <w:lang w:val="en-US"/>
        </w:rPr>
        <w:t>/</w:t>
      </w:r>
      <w:r w:rsidRPr="00057829">
        <w:rPr>
          <w:rFonts w:ascii="Arial" w:hAnsi="Arial" w:cs="Arial"/>
          <w:i/>
          <w:sz w:val="22"/>
          <w:u w:val="single"/>
          <w:lang w:val="en-US"/>
        </w:rPr>
        <w:t>ABL1</w:t>
      </w:r>
      <w:r w:rsidRPr="00057829">
        <w:rPr>
          <w:rFonts w:ascii="Arial" w:hAnsi="Arial" w:cs="Arial"/>
          <w:sz w:val="22"/>
          <w:u w:val="single"/>
          <w:lang w:val="en-US"/>
        </w:rPr>
        <w:t xml:space="preserve"> copy numbers cut-off</w:t>
      </w:r>
      <w:r w:rsidRPr="00057829">
        <w:rPr>
          <w:rFonts w:ascii="Arial" w:hAnsi="Arial" w:cs="Arial"/>
          <w:sz w:val="22"/>
          <w:szCs w:val="22"/>
          <w:u w:val="single"/>
          <w:lang w:val="en-US"/>
        </w:rPr>
        <w:t xml:space="preserve"> was used to define patients with high (n=39, 31%) or low (n=85, 69%) pre-HSCT </w:t>
      </w:r>
      <w:r w:rsidRPr="00057829">
        <w:rPr>
          <w:rFonts w:ascii="Arial" w:hAnsi="Arial" w:cs="Arial"/>
          <w:i/>
          <w:sz w:val="22"/>
          <w:szCs w:val="22"/>
          <w:u w:val="single"/>
          <w:lang w:val="en-US"/>
        </w:rPr>
        <w:t>MN1</w:t>
      </w:r>
      <w:r w:rsidRPr="00057829">
        <w:rPr>
          <w:rFonts w:ascii="Arial" w:hAnsi="Arial" w:cs="Arial"/>
          <w:sz w:val="22"/>
          <w:szCs w:val="22"/>
          <w:u w:val="single"/>
          <w:lang w:val="en-US"/>
        </w:rPr>
        <w:t>/</w:t>
      </w:r>
      <w:r w:rsidRPr="00057829">
        <w:rPr>
          <w:rFonts w:ascii="Arial" w:hAnsi="Arial" w:cs="Arial"/>
          <w:i/>
          <w:sz w:val="22"/>
          <w:szCs w:val="22"/>
          <w:u w:val="single"/>
          <w:lang w:val="en-US"/>
        </w:rPr>
        <w:t xml:space="preserve">ABL1 </w:t>
      </w:r>
      <w:r w:rsidRPr="00057829">
        <w:rPr>
          <w:rFonts w:ascii="Arial" w:hAnsi="Arial" w:cs="Arial"/>
          <w:sz w:val="22"/>
          <w:szCs w:val="22"/>
          <w:u w:val="single"/>
          <w:lang w:val="en-US"/>
        </w:rPr>
        <w:t>co</w:t>
      </w:r>
      <w:r w:rsidRPr="00057829">
        <w:rPr>
          <w:rFonts w:ascii="Arial" w:hAnsi="Arial" w:cs="Arial"/>
          <w:sz w:val="22"/>
          <w:szCs w:val="22"/>
          <w:u w:val="single"/>
          <w:lang w:val="en-US"/>
        </w:rPr>
        <w:t>py numbers in peripheral blood.</w:t>
      </w:r>
    </w:p>
    <w:p w:rsidR="000730CE" w:rsidRPr="00057829" w:rsidRDefault="000730CE">
      <w:pPr>
        <w:spacing w:line="480" w:lineRule="auto"/>
        <w:jc w:val="both"/>
        <w:rPr>
          <w:rFonts w:ascii="Arial" w:hAnsi="Arial" w:cs="Arial"/>
          <w:sz w:val="22"/>
          <w:lang w:val="en-US"/>
        </w:rPr>
      </w:pPr>
    </w:p>
    <w:p w:rsidR="000730CE" w:rsidRPr="00057829" w:rsidRDefault="00141A43">
      <w:pPr>
        <w:spacing w:line="480" w:lineRule="auto"/>
        <w:jc w:val="both"/>
        <w:rPr>
          <w:rFonts w:ascii="Arial" w:hAnsi="Arial" w:cs="Arial"/>
          <w:b/>
          <w:i/>
          <w:sz w:val="22"/>
          <w:lang w:val="en-US"/>
        </w:rPr>
      </w:pPr>
      <w:r w:rsidRPr="00057829">
        <w:rPr>
          <w:rFonts w:ascii="Arial" w:hAnsi="Arial" w:cs="Arial"/>
          <w:b/>
          <w:i/>
          <w:sz w:val="22"/>
          <w:lang w:val="en-US"/>
        </w:rPr>
        <w:t>Associations of high pre-HSCT MN1/ABL1 copy numbers</w:t>
      </w:r>
    </w:p>
    <w:p w:rsidR="000730CE" w:rsidRPr="00057829" w:rsidRDefault="00141A43">
      <w:pPr>
        <w:spacing w:line="480" w:lineRule="auto"/>
        <w:jc w:val="both"/>
      </w:pPr>
      <w:r w:rsidRPr="00057829">
        <w:rPr>
          <w:rFonts w:ascii="Arial" w:hAnsi="Arial" w:cs="Arial"/>
          <w:sz w:val="22"/>
          <w:szCs w:val="22"/>
          <w:lang w:val="en-US"/>
        </w:rPr>
        <w:t xml:space="preserve">Patients with high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had a trend for more secondary or treatment related AML at diagnosis (</w:t>
      </w:r>
      <w:r w:rsidRPr="00057829">
        <w:rPr>
          <w:rFonts w:ascii="Arial" w:hAnsi="Arial" w:cs="Arial"/>
          <w:i/>
          <w:sz w:val="22"/>
          <w:szCs w:val="22"/>
          <w:lang w:val="en-US"/>
        </w:rPr>
        <w:t>P</w:t>
      </w:r>
      <w:r w:rsidRPr="00057829">
        <w:rPr>
          <w:rFonts w:ascii="Arial" w:hAnsi="Arial" w:cs="Arial"/>
          <w:sz w:val="22"/>
          <w:szCs w:val="22"/>
          <w:lang w:val="en-US"/>
        </w:rPr>
        <w:t xml:space="preserve">=.07). At diagnosis, patients with high pre-HSCT </w:t>
      </w:r>
      <w:r w:rsidRPr="00057829">
        <w:rPr>
          <w:rFonts w:ascii="Arial" w:hAnsi="Arial" w:cs="Arial"/>
          <w:i/>
          <w:sz w:val="22"/>
          <w:szCs w:val="22"/>
          <w:lang w:val="en-US"/>
        </w:rPr>
        <w:t>M</w:t>
      </w:r>
      <w:r w:rsidRPr="00057829">
        <w:rPr>
          <w:rFonts w:ascii="Arial" w:hAnsi="Arial" w:cs="Arial"/>
          <w:i/>
          <w:sz w:val="22"/>
          <w:szCs w:val="22"/>
          <w:lang w:val="en-US"/>
        </w:rPr>
        <w:t>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also had a trend for a higher CD34+/CD38- cell burden (</w:t>
      </w:r>
      <w:r w:rsidRPr="00057829">
        <w:rPr>
          <w:rFonts w:ascii="Arial" w:hAnsi="Arial" w:cs="Arial"/>
          <w:i/>
          <w:sz w:val="22"/>
          <w:szCs w:val="22"/>
          <w:lang w:val="en-US"/>
        </w:rPr>
        <w:t>P</w:t>
      </w:r>
      <w:r w:rsidRPr="00057829">
        <w:rPr>
          <w:rFonts w:ascii="Arial" w:hAnsi="Arial" w:cs="Arial"/>
          <w:sz w:val="22"/>
          <w:szCs w:val="22"/>
          <w:lang w:val="en-US"/>
        </w:rPr>
        <w:t>=.10), a higher white blood count (</w:t>
      </w:r>
      <w:r w:rsidRPr="00057829">
        <w:rPr>
          <w:rFonts w:ascii="Arial" w:hAnsi="Arial" w:cs="Arial"/>
          <w:i/>
          <w:sz w:val="22"/>
          <w:szCs w:val="22"/>
          <w:lang w:val="en-US"/>
        </w:rPr>
        <w:t>P</w:t>
      </w:r>
      <w:r w:rsidRPr="00057829">
        <w:rPr>
          <w:rFonts w:ascii="Arial" w:hAnsi="Arial" w:cs="Arial"/>
          <w:sz w:val="22"/>
          <w:szCs w:val="22"/>
          <w:lang w:val="en-US"/>
        </w:rPr>
        <w:t xml:space="preserve">=.02) and no patient with high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was </w:t>
      </w:r>
      <w:r w:rsidRPr="00057829">
        <w:rPr>
          <w:rFonts w:ascii="Arial" w:hAnsi="Arial" w:cs="Arial"/>
          <w:i/>
          <w:sz w:val="22"/>
          <w:szCs w:val="22"/>
          <w:lang w:val="en-US"/>
        </w:rPr>
        <w:t xml:space="preserve">CEBPA </w:t>
      </w:r>
      <w:r w:rsidRPr="00057829">
        <w:rPr>
          <w:rFonts w:ascii="Arial" w:hAnsi="Arial" w:cs="Arial"/>
          <w:sz w:val="22"/>
          <w:szCs w:val="22"/>
          <w:lang w:val="en-US"/>
        </w:rPr>
        <w:t>mutated (</w:t>
      </w:r>
      <w:r w:rsidRPr="00057829">
        <w:rPr>
          <w:rFonts w:ascii="Arial" w:hAnsi="Arial" w:cs="Arial"/>
          <w:i/>
          <w:sz w:val="22"/>
          <w:szCs w:val="22"/>
          <w:lang w:val="en-US"/>
        </w:rPr>
        <w:t>P</w:t>
      </w:r>
      <w:r w:rsidRPr="00057829">
        <w:rPr>
          <w:rFonts w:ascii="Arial" w:hAnsi="Arial" w:cs="Arial"/>
          <w:sz w:val="22"/>
          <w:szCs w:val="22"/>
          <w:lang w:val="en-US"/>
        </w:rPr>
        <w:t xml:space="preserve">=.05, Table 1). </w:t>
      </w:r>
      <w:r w:rsidRPr="00057829">
        <w:rPr>
          <w:rFonts w:ascii="Arial" w:hAnsi="Arial" w:cs="Arial"/>
          <w:sz w:val="22"/>
          <w:szCs w:val="22"/>
          <w:u w:val="single"/>
          <w:lang w:val="en-US"/>
        </w:rPr>
        <w:t xml:space="preserve">There were no associations of the pre-HSCT </w:t>
      </w:r>
      <w:r w:rsidRPr="00057829">
        <w:rPr>
          <w:rFonts w:ascii="Arial" w:hAnsi="Arial" w:cs="Arial"/>
          <w:i/>
          <w:sz w:val="22"/>
          <w:szCs w:val="22"/>
          <w:u w:val="single"/>
          <w:lang w:val="en-US"/>
        </w:rPr>
        <w:t>MN1</w:t>
      </w:r>
      <w:r w:rsidRPr="00057829">
        <w:rPr>
          <w:rFonts w:ascii="Arial" w:hAnsi="Arial" w:cs="Arial"/>
          <w:sz w:val="22"/>
          <w:szCs w:val="22"/>
          <w:u w:val="single"/>
          <w:lang w:val="en-US"/>
        </w:rPr>
        <w:t>/</w:t>
      </w:r>
      <w:r w:rsidRPr="00057829">
        <w:rPr>
          <w:rFonts w:ascii="Arial" w:hAnsi="Arial" w:cs="Arial"/>
          <w:i/>
          <w:sz w:val="22"/>
          <w:szCs w:val="22"/>
          <w:u w:val="single"/>
          <w:lang w:val="en-US"/>
        </w:rPr>
        <w:t>ABL1</w:t>
      </w:r>
      <w:r w:rsidRPr="00057829">
        <w:rPr>
          <w:rFonts w:ascii="Arial" w:hAnsi="Arial" w:cs="Arial"/>
          <w:sz w:val="22"/>
          <w:szCs w:val="22"/>
          <w:u w:val="single"/>
          <w:lang w:val="en-US"/>
        </w:rPr>
        <w:t xml:space="preserve"> copy numbers and other clinical, cytogenetic, molecular or immunophenotypic characteristics at diagnosis (Table 1, Supplementary Table S1, Supplemental Digital Content, http://links.lww.com/HS/A20).</w:t>
      </w:r>
      <w:r w:rsidRPr="00057829">
        <w:rPr>
          <w:rFonts w:ascii="Arial" w:hAnsi="Arial" w:cs="Arial"/>
          <w:sz w:val="22"/>
          <w:szCs w:val="22"/>
          <w:lang w:val="en-US"/>
        </w:rPr>
        <w:t xml:space="preserve">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did </w:t>
      </w:r>
      <w:r w:rsidRPr="00057829">
        <w:rPr>
          <w:rFonts w:ascii="Arial" w:hAnsi="Arial" w:cs="Arial"/>
          <w:sz w:val="22"/>
          <w:szCs w:val="22"/>
          <w:u w:val="single"/>
          <w:lang w:val="en-US"/>
        </w:rPr>
        <w:t>also</w:t>
      </w:r>
      <w:r w:rsidRPr="00057829">
        <w:rPr>
          <w:rFonts w:ascii="Arial" w:hAnsi="Arial" w:cs="Arial"/>
          <w:sz w:val="22"/>
          <w:szCs w:val="22"/>
          <w:lang w:val="en-US"/>
        </w:rPr>
        <w:t xml:space="preserve"> not asso</w:t>
      </w:r>
      <w:r w:rsidRPr="00057829">
        <w:rPr>
          <w:rFonts w:ascii="Arial" w:hAnsi="Arial" w:cs="Arial"/>
          <w:sz w:val="22"/>
          <w:szCs w:val="22"/>
          <w:lang w:val="en-US"/>
        </w:rPr>
        <w:t xml:space="preserve">ciate with any tested pre-HSCT characteristics (Supplementary Table S1, Supplemental Digital Content, </w:t>
      </w:r>
      <w:bookmarkStart w:id="2" w:name="__DdeLink__3113_309725793"/>
      <w:r w:rsidRPr="00057829">
        <w:rPr>
          <w:rFonts w:ascii="Arial" w:hAnsi="Arial" w:cs="Arial"/>
          <w:sz w:val="22"/>
          <w:szCs w:val="22"/>
          <w:lang w:val="en-US"/>
        </w:rPr>
        <w:t>h</w:t>
      </w:r>
      <w:bookmarkEnd w:id="2"/>
      <w:r w:rsidRPr="00057829">
        <w:rPr>
          <w:rFonts w:ascii="Arial" w:hAnsi="Arial" w:cs="Arial"/>
          <w:sz w:val="22"/>
          <w:szCs w:val="22"/>
          <w:lang w:val="en-US"/>
        </w:rPr>
        <w:t>ttp://links.lww.com/HS/A20</w:t>
      </w:r>
      <w:r w:rsidRPr="00057829">
        <w:rPr>
          <w:rFonts w:ascii="Arial" w:hAnsi="Arial" w:cs="Arial"/>
          <w:sz w:val="22"/>
          <w:lang w:val="en-US"/>
        </w:rPr>
        <w:t xml:space="preserve">). </w:t>
      </w:r>
    </w:p>
    <w:p w:rsidR="000730CE" w:rsidRPr="00057829" w:rsidRDefault="000730CE">
      <w:pPr>
        <w:spacing w:line="480" w:lineRule="auto"/>
        <w:jc w:val="both"/>
        <w:rPr>
          <w:rFonts w:ascii="Arial" w:hAnsi="Arial" w:cs="Arial"/>
          <w:lang w:val="en-US"/>
        </w:rPr>
      </w:pPr>
    </w:p>
    <w:p w:rsidR="000730CE" w:rsidRPr="00057829" w:rsidRDefault="00141A43">
      <w:pPr>
        <w:spacing w:line="480" w:lineRule="auto"/>
        <w:jc w:val="both"/>
        <w:rPr>
          <w:rFonts w:ascii="Arial" w:hAnsi="Arial" w:cs="Arial"/>
          <w:b/>
          <w:i/>
          <w:sz w:val="22"/>
          <w:szCs w:val="22"/>
          <w:lang w:val="en-US"/>
        </w:rPr>
      </w:pPr>
      <w:r w:rsidRPr="00057829">
        <w:rPr>
          <w:rFonts w:ascii="Arial" w:hAnsi="Arial" w:cs="Arial"/>
          <w:b/>
          <w:i/>
          <w:sz w:val="22"/>
          <w:szCs w:val="22"/>
          <w:lang w:val="en-US"/>
        </w:rPr>
        <w:t>Prognostic impact of pre-HSCT MN1/ABL1 copy numbers</w:t>
      </w:r>
    </w:p>
    <w:p w:rsidR="000730CE" w:rsidRPr="00057829" w:rsidRDefault="00141A43">
      <w:pPr>
        <w:spacing w:line="480" w:lineRule="auto"/>
        <w:jc w:val="both"/>
        <w:rPr>
          <w:rFonts w:ascii="Arial" w:hAnsi="Arial" w:cs="Arial"/>
          <w:sz w:val="22"/>
          <w:szCs w:val="22"/>
          <w:lang w:val="en-US"/>
        </w:rPr>
      </w:pPr>
      <w:r w:rsidRPr="00057829">
        <w:rPr>
          <w:rFonts w:ascii="Arial" w:hAnsi="Arial" w:cs="Arial"/>
          <w:sz w:val="22"/>
          <w:szCs w:val="22"/>
          <w:u w:val="single"/>
          <w:lang w:val="en-US"/>
        </w:rPr>
        <w:t>Considering only patients who relapsed after HSCT,</w:t>
      </w:r>
      <w:r w:rsidRPr="00057829">
        <w:rPr>
          <w:rFonts w:ascii="Arial" w:hAnsi="Arial" w:cs="Arial"/>
          <w:sz w:val="22"/>
          <w:szCs w:val="22"/>
          <w:lang w:val="en-US"/>
        </w:rPr>
        <w:t xml:space="preserve"> patients with high </w:t>
      </w:r>
      <w:r w:rsidRPr="00057829">
        <w:rPr>
          <w:rFonts w:ascii="Arial" w:hAnsi="Arial" w:cs="Arial"/>
          <w:sz w:val="22"/>
          <w:szCs w:val="22"/>
          <w:lang w:val="en-US"/>
        </w:rPr>
        <w:t xml:space="preserve">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had a shorter time from HSCT to relapse compared to patients with low pre-</w:t>
      </w:r>
      <w:r w:rsidRPr="00057829">
        <w:rPr>
          <w:rFonts w:ascii="Arial" w:hAnsi="Arial" w:cs="Arial"/>
          <w:sz w:val="22"/>
          <w:szCs w:val="22"/>
          <w:lang w:val="en-US"/>
        </w:rPr>
        <w:lastRenderedPageBreak/>
        <w:t xml:space="preserv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(median 70, range 20-363 days </w:t>
      </w:r>
      <w:r w:rsidRPr="00057829">
        <w:rPr>
          <w:rFonts w:ascii="Arial" w:hAnsi="Arial" w:cs="Arial"/>
          <w:i/>
          <w:sz w:val="22"/>
          <w:szCs w:val="22"/>
          <w:lang w:val="en-US"/>
        </w:rPr>
        <w:t>vs</w:t>
      </w:r>
      <w:r w:rsidRPr="00057829">
        <w:rPr>
          <w:rFonts w:ascii="Arial" w:hAnsi="Arial" w:cs="Arial"/>
          <w:sz w:val="22"/>
          <w:szCs w:val="22"/>
          <w:lang w:val="en-US"/>
        </w:rPr>
        <w:t xml:space="preserve">. median 124, range 19-543 days, </w:t>
      </w:r>
      <w:r w:rsidRPr="00057829">
        <w:rPr>
          <w:rFonts w:ascii="Arial" w:hAnsi="Arial" w:cs="Arial"/>
          <w:i/>
          <w:sz w:val="22"/>
          <w:szCs w:val="22"/>
          <w:lang w:val="en-US"/>
        </w:rPr>
        <w:t>P</w:t>
      </w:r>
      <w:r w:rsidRPr="00057829">
        <w:rPr>
          <w:rFonts w:ascii="Arial" w:hAnsi="Arial" w:cs="Arial"/>
          <w:sz w:val="22"/>
          <w:szCs w:val="22"/>
          <w:lang w:val="en-US"/>
        </w:rPr>
        <w:t xml:space="preserve">=.03, Figure 2). Patients with high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had a significantly higher cumulative incidence of relapse (CIR, </w:t>
      </w:r>
      <w:r w:rsidRPr="00057829">
        <w:rPr>
          <w:rFonts w:ascii="Arial" w:hAnsi="Arial" w:cs="Arial"/>
          <w:i/>
          <w:sz w:val="22"/>
          <w:szCs w:val="22"/>
          <w:lang w:val="en-US"/>
        </w:rPr>
        <w:t>P</w:t>
      </w:r>
      <w:r w:rsidRPr="00057829">
        <w:rPr>
          <w:rFonts w:ascii="Arial" w:hAnsi="Arial" w:cs="Arial"/>
          <w:sz w:val="22"/>
          <w:szCs w:val="22"/>
          <w:lang w:val="en-US"/>
        </w:rPr>
        <w:t xml:space="preserve">=.002, Figure 3A) which - despite a separation of the OS curves - did not translate into a significant shorter overall survival (OS, </w:t>
      </w:r>
      <w:r w:rsidRPr="00057829">
        <w:rPr>
          <w:rFonts w:ascii="Arial" w:hAnsi="Arial" w:cs="Arial"/>
          <w:i/>
          <w:sz w:val="22"/>
          <w:szCs w:val="22"/>
          <w:lang w:val="en-US"/>
        </w:rPr>
        <w:t>P</w:t>
      </w:r>
      <w:r w:rsidRPr="00057829">
        <w:rPr>
          <w:rFonts w:ascii="Arial" w:hAnsi="Arial" w:cs="Arial"/>
          <w:sz w:val="22"/>
          <w:szCs w:val="22"/>
          <w:lang w:val="en-US"/>
        </w:rPr>
        <w:t>=.13, Figure 3B). In contrast, there was n</w:t>
      </w:r>
      <w:r w:rsidRPr="00057829">
        <w:rPr>
          <w:rFonts w:ascii="Arial" w:hAnsi="Arial" w:cs="Arial"/>
          <w:sz w:val="22"/>
          <w:szCs w:val="22"/>
          <w:lang w:val="en-US"/>
        </w:rPr>
        <w:t xml:space="preserve">o difference in non-relapse mortality (NRM) between patients with high or low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 xml:space="preserve">ABL1 </w:t>
      </w:r>
      <w:r w:rsidRPr="00057829">
        <w:rPr>
          <w:rFonts w:ascii="Arial" w:hAnsi="Arial" w:cs="Arial"/>
          <w:sz w:val="22"/>
          <w:szCs w:val="22"/>
          <w:lang w:val="en-US"/>
        </w:rPr>
        <w:t>copy numbers (</w:t>
      </w:r>
      <w:r w:rsidRPr="00057829">
        <w:rPr>
          <w:rFonts w:ascii="Arial" w:hAnsi="Arial" w:cs="Arial"/>
          <w:i/>
          <w:sz w:val="22"/>
          <w:szCs w:val="22"/>
          <w:lang w:val="en-US"/>
        </w:rPr>
        <w:t>P</w:t>
      </w:r>
      <w:r w:rsidRPr="00057829">
        <w:rPr>
          <w:rFonts w:ascii="Arial" w:hAnsi="Arial" w:cs="Arial"/>
          <w:sz w:val="22"/>
          <w:szCs w:val="22"/>
          <w:lang w:val="en-US"/>
        </w:rPr>
        <w:t xml:space="preserve">=.28, Supplementary Figure S1, Supplemental Digital Content, http://links.lww.com/HS/A20). Similar effects on CIR and OS were also observed when </w:t>
      </w:r>
      <w:r w:rsidRPr="00057829">
        <w:rPr>
          <w:rFonts w:ascii="Arial" w:hAnsi="Arial" w:cs="Arial"/>
          <w:sz w:val="22"/>
          <w:szCs w:val="22"/>
          <w:lang w:val="en-US"/>
        </w:rPr>
        <w:t xml:space="preserve">we restricted our analyses to patients with normal karyotype (CIR, </w:t>
      </w:r>
      <w:r w:rsidRPr="00057829">
        <w:rPr>
          <w:rFonts w:ascii="Arial" w:hAnsi="Arial" w:cs="Arial"/>
          <w:i/>
          <w:sz w:val="22"/>
          <w:szCs w:val="22"/>
          <w:lang w:val="en-US"/>
        </w:rPr>
        <w:t>P</w:t>
      </w:r>
      <w:r w:rsidRPr="00057829">
        <w:rPr>
          <w:rFonts w:ascii="Arial" w:hAnsi="Arial" w:cs="Arial"/>
          <w:sz w:val="22"/>
          <w:szCs w:val="22"/>
          <w:lang w:val="en-US"/>
        </w:rPr>
        <w:t xml:space="preserve">=.005 and OS, </w:t>
      </w:r>
      <w:r w:rsidRPr="00057829">
        <w:rPr>
          <w:rFonts w:ascii="Arial" w:hAnsi="Arial" w:cs="Arial"/>
          <w:i/>
          <w:sz w:val="22"/>
          <w:szCs w:val="22"/>
          <w:lang w:val="en-US"/>
        </w:rPr>
        <w:t>P</w:t>
      </w:r>
      <w:r w:rsidRPr="00057829">
        <w:rPr>
          <w:rFonts w:ascii="Arial" w:hAnsi="Arial" w:cs="Arial"/>
          <w:sz w:val="22"/>
          <w:szCs w:val="22"/>
          <w:lang w:val="en-US"/>
        </w:rPr>
        <w:t xml:space="preserve">=.21; Supplementary Figures S2, Supplemental Digital Content, http://links.lww.com/HS/A20), </w:t>
      </w:r>
      <w:r w:rsidRPr="00057829">
        <w:rPr>
          <w:rFonts w:ascii="Arial" w:hAnsi="Arial" w:cs="Arial"/>
          <w:i/>
          <w:sz w:val="22"/>
          <w:szCs w:val="22"/>
          <w:lang w:val="en-US"/>
        </w:rPr>
        <w:t>de novo</w:t>
      </w:r>
      <w:r w:rsidRPr="00057829">
        <w:rPr>
          <w:rFonts w:ascii="Arial" w:hAnsi="Arial" w:cs="Arial"/>
          <w:sz w:val="22"/>
          <w:szCs w:val="22"/>
          <w:lang w:val="en-US"/>
        </w:rPr>
        <w:t xml:space="preserve"> AML (CIR, </w:t>
      </w:r>
      <w:r w:rsidRPr="00057829">
        <w:rPr>
          <w:rFonts w:ascii="Arial" w:hAnsi="Arial" w:cs="Arial"/>
          <w:i/>
          <w:sz w:val="22"/>
          <w:szCs w:val="22"/>
          <w:lang w:val="en-US"/>
        </w:rPr>
        <w:t>P</w:t>
      </w:r>
      <w:r w:rsidRPr="00057829">
        <w:rPr>
          <w:rFonts w:ascii="Arial" w:hAnsi="Arial" w:cs="Arial"/>
          <w:sz w:val="22"/>
          <w:szCs w:val="22"/>
          <w:lang w:val="en-US"/>
        </w:rPr>
        <w:t xml:space="preserve">=.009 and OS, </w:t>
      </w:r>
      <w:r w:rsidRPr="00057829">
        <w:rPr>
          <w:rFonts w:ascii="Arial" w:hAnsi="Arial" w:cs="Arial"/>
          <w:i/>
          <w:sz w:val="22"/>
          <w:szCs w:val="22"/>
          <w:lang w:val="en-US"/>
        </w:rPr>
        <w:t>P</w:t>
      </w:r>
      <w:r w:rsidRPr="00057829">
        <w:rPr>
          <w:rFonts w:ascii="Arial" w:hAnsi="Arial" w:cs="Arial"/>
          <w:sz w:val="22"/>
          <w:szCs w:val="22"/>
          <w:lang w:val="en-US"/>
        </w:rPr>
        <w:t>=.006; Supplementary Figures S3, Supplemental D</w:t>
      </w:r>
      <w:r w:rsidRPr="00057829">
        <w:rPr>
          <w:rFonts w:ascii="Arial" w:hAnsi="Arial" w:cs="Arial"/>
          <w:sz w:val="22"/>
          <w:szCs w:val="22"/>
          <w:lang w:val="en-US"/>
        </w:rPr>
        <w:t xml:space="preserve">igital Content, http://links.lww.com/HS/A20), excluding patients receiving HSCT in CRi (CIR, </w:t>
      </w:r>
      <w:r w:rsidRPr="00057829">
        <w:rPr>
          <w:rFonts w:ascii="Arial" w:hAnsi="Arial" w:cs="Arial"/>
          <w:i/>
          <w:sz w:val="22"/>
          <w:szCs w:val="22"/>
          <w:lang w:val="en-US"/>
        </w:rPr>
        <w:t>P</w:t>
      </w:r>
      <w:r w:rsidRPr="00057829">
        <w:rPr>
          <w:rFonts w:ascii="Arial" w:hAnsi="Arial" w:cs="Arial"/>
          <w:sz w:val="22"/>
          <w:szCs w:val="22"/>
          <w:lang w:val="en-US"/>
        </w:rPr>
        <w:t xml:space="preserve">=.01 and OS, </w:t>
      </w:r>
      <w:r w:rsidRPr="00057829">
        <w:rPr>
          <w:rFonts w:ascii="Arial" w:hAnsi="Arial" w:cs="Arial"/>
          <w:i/>
          <w:sz w:val="22"/>
          <w:szCs w:val="22"/>
          <w:lang w:val="en-US"/>
        </w:rPr>
        <w:t>P</w:t>
      </w:r>
      <w:r w:rsidRPr="00057829">
        <w:rPr>
          <w:rFonts w:ascii="Arial" w:hAnsi="Arial" w:cs="Arial"/>
          <w:sz w:val="22"/>
          <w:szCs w:val="22"/>
          <w:lang w:val="en-US"/>
        </w:rPr>
        <w:t>=.10; Supplementary Figures S4, Supplemental Digital Content, http://links.lww.com/HS/A20) and in a landmark analysis of patients surviving longer t</w:t>
      </w:r>
      <w:r w:rsidRPr="00057829">
        <w:rPr>
          <w:rFonts w:ascii="Arial" w:hAnsi="Arial" w:cs="Arial"/>
          <w:sz w:val="22"/>
          <w:szCs w:val="22"/>
          <w:lang w:val="en-US"/>
        </w:rPr>
        <w:t xml:space="preserve">han 100 days after HSCT (CIR, </w:t>
      </w:r>
      <w:r w:rsidRPr="00057829">
        <w:rPr>
          <w:rFonts w:ascii="Arial" w:hAnsi="Arial" w:cs="Arial"/>
          <w:i/>
          <w:sz w:val="22"/>
          <w:szCs w:val="22"/>
          <w:lang w:val="en-US"/>
        </w:rPr>
        <w:t>P</w:t>
      </w:r>
      <w:r w:rsidRPr="00057829">
        <w:rPr>
          <w:rFonts w:ascii="Arial" w:hAnsi="Arial" w:cs="Arial"/>
          <w:sz w:val="22"/>
          <w:szCs w:val="22"/>
          <w:lang w:val="en-US"/>
        </w:rPr>
        <w:t xml:space="preserve">=.02 and OS, </w:t>
      </w:r>
      <w:r w:rsidRPr="00057829">
        <w:rPr>
          <w:rFonts w:ascii="Arial" w:hAnsi="Arial" w:cs="Arial"/>
          <w:i/>
          <w:sz w:val="22"/>
          <w:szCs w:val="22"/>
          <w:lang w:val="en-US"/>
        </w:rPr>
        <w:t>P</w:t>
      </w:r>
      <w:r w:rsidRPr="00057829">
        <w:rPr>
          <w:rFonts w:ascii="Arial" w:hAnsi="Arial" w:cs="Arial"/>
          <w:sz w:val="22"/>
          <w:szCs w:val="22"/>
          <w:lang w:val="en-US"/>
        </w:rPr>
        <w:t xml:space="preserve">=.11; Supplementary Figures S5, Supplemental Digital Content, http://links.lww.com/HS/A20). In multivariable analysis, high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retained their prognostic impact on CIR after adjustment</w:t>
      </w:r>
      <w:r w:rsidRPr="00057829">
        <w:rPr>
          <w:rFonts w:ascii="Arial" w:hAnsi="Arial" w:cs="Arial"/>
          <w:sz w:val="22"/>
          <w:szCs w:val="22"/>
          <w:lang w:val="en-US"/>
        </w:rPr>
        <w:t xml:space="preserve"> for European LeukemiaNet (ELN) 2010 genetic group (Table 2). None of the tested variables were significantly associated with OS in multivariable analysis in this set of patients.</w:t>
      </w:r>
    </w:p>
    <w:p w:rsidR="000730CE" w:rsidRPr="00057829" w:rsidRDefault="000730CE">
      <w:pPr>
        <w:spacing w:line="480" w:lineRule="auto"/>
        <w:jc w:val="both"/>
        <w:rPr>
          <w:rFonts w:ascii="Arial" w:hAnsi="Arial" w:cs="Arial"/>
          <w:sz w:val="22"/>
          <w:szCs w:val="22"/>
          <w:lang w:val="en-US"/>
        </w:rPr>
      </w:pPr>
    </w:p>
    <w:p w:rsidR="000730CE" w:rsidRPr="00057829" w:rsidRDefault="00141A43">
      <w:pPr>
        <w:spacing w:line="480" w:lineRule="auto"/>
        <w:jc w:val="both"/>
        <w:rPr>
          <w:rFonts w:ascii="Arial" w:hAnsi="Arial" w:cs="Arial"/>
          <w:b/>
          <w:i/>
          <w:sz w:val="22"/>
          <w:szCs w:val="22"/>
          <w:lang w:val="en-US"/>
        </w:rPr>
      </w:pPr>
      <w:r w:rsidRPr="00057829">
        <w:rPr>
          <w:rFonts w:ascii="Arial" w:hAnsi="Arial" w:cs="Arial"/>
          <w:b/>
          <w:i/>
          <w:sz w:val="22"/>
          <w:szCs w:val="22"/>
          <w:lang w:val="en-US"/>
        </w:rPr>
        <w:t xml:space="preserve">CD34 expression at diagnosis and pre-HSCT MN1/ABL1 copy numbers </w:t>
      </w:r>
    </w:p>
    <w:p w:rsidR="000730CE" w:rsidRPr="00057829" w:rsidRDefault="00141A43">
      <w:pPr>
        <w:spacing w:line="480" w:lineRule="auto"/>
        <w:jc w:val="both"/>
        <w:rPr>
          <w:rFonts w:ascii="Arial" w:hAnsi="Arial" w:cs="Arial"/>
          <w:sz w:val="22"/>
          <w:szCs w:val="22"/>
          <w:lang w:val="en-US"/>
        </w:rPr>
      </w:pPr>
      <w:r w:rsidRPr="00057829">
        <w:rPr>
          <w:rFonts w:ascii="Arial" w:hAnsi="Arial" w:cs="Arial"/>
          <w:sz w:val="22"/>
          <w:szCs w:val="22"/>
          <w:lang w:val="en-US"/>
        </w:rPr>
        <w:t xml:space="preserve">Although </w:t>
      </w:r>
      <w:r w:rsidRPr="00057829">
        <w:rPr>
          <w:rFonts w:ascii="Arial" w:hAnsi="Arial" w:cs="Arial"/>
          <w:i/>
          <w:sz w:val="22"/>
          <w:szCs w:val="22"/>
          <w:lang w:val="en-US"/>
        </w:rPr>
        <w:t>M</w:t>
      </w:r>
      <w:r w:rsidRPr="00057829">
        <w:rPr>
          <w:rFonts w:ascii="Arial" w:hAnsi="Arial" w:cs="Arial"/>
          <w:i/>
          <w:sz w:val="22"/>
          <w:szCs w:val="22"/>
          <w:lang w:val="en-US"/>
        </w:rPr>
        <w:t>N1</w:t>
      </w:r>
      <w:r w:rsidRPr="00057829">
        <w:rPr>
          <w:rFonts w:ascii="Arial" w:hAnsi="Arial" w:cs="Arial"/>
          <w:sz w:val="22"/>
          <w:szCs w:val="22"/>
          <w:lang w:val="en-US"/>
        </w:rPr>
        <w:t xml:space="preserve"> was shown to be highly expressed in CD34-positive bone marrow cells,</w:t>
      </w:r>
      <w:r w:rsidRPr="00057829">
        <w:rPr>
          <w:rFonts w:ascii="Arial" w:hAnsi="Arial" w:cs="Arial"/>
          <w:sz w:val="22"/>
          <w:szCs w:val="22"/>
          <w:vertAlign w:val="superscript"/>
          <w:lang w:val="en-US"/>
        </w:rPr>
        <w:t xml:space="preserve">17 </w:t>
      </w:r>
      <w:r w:rsidRPr="00057829">
        <w:rPr>
          <w:rFonts w:ascii="Arial" w:hAnsi="Arial" w:cs="Arial"/>
          <w:sz w:val="22"/>
          <w:lang w:val="en-US"/>
        </w:rPr>
        <w:t xml:space="preserve">there are no studies reporting on </w:t>
      </w:r>
      <w:r w:rsidRPr="00057829">
        <w:rPr>
          <w:rFonts w:ascii="Arial" w:hAnsi="Arial" w:cs="Arial"/>
          <w:i/>
          <w:sz w:val="22"/>
          <w:lang w:val="en-US"/>
        </w:rPr>
        <w:t>MN1</w:t>
      </w:r>
      <w:r w:rsidRPr="00057829">
        <w:rPr>
          <w:rFonts w:ascii="Arial" w:hAnsi="Arial" w:cs="Arial"/>
          <w:sz w:val="22"/>
          <w:lang w:val="en-US"/>
        </w:rPr>
        <w:t xml:space="preserve"> as MRD marker in the context of CD34 expression status. In our study, data on CD34-status at diagnosis was available for 71 patients, </w:t>
      </w:r>
      <w:r w:rsidRPr="00057829">
        <w:rPr>
          <w:rFonts w:ascii="Arial" w:hAnsi="Arial" w:cs="Arial"/>
          <w:sz w:val="22"/>
          <w:szCs w:val="22"/>
          <w:lang w:val="en-US"/>
        </w:rPr>
        <w:t>40 patient</w:t>
      </w:r>
      <w:r w:rsidRPr="00057829">
        <w:rPr>
          <w:rFonts w:ascii="Arial" w:hAnsi="Arial" w:cs="Arial"/>
          <w:sz w:val="22"/>
          <w:szCs w:val="22"/>
          <w:lang w:val="en-US"/>
        </w:rPr>
        <w:t xml:space="preserve">s had CD34-positive and 31 patients had CD34-negative AML. Between patients with high or low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we observed no significant differences of CD34 expression (</w:t>
      </w:r>
      <w:r w:rsidRPr="00057829">
        <w:rPr>
          <w:rFonts w:ascii="Arial" w:hAnsi="Arial" w:cs="Arial"/>
          <w:i/>
          <w:sz w:val="22"/>
          <w:szCs w:val="22"/>
          <w:lang w:val="en-US"/>
        </w:rPr>
        <w:t>P</w:t>
      </w:r>
      <w:r w:rsidRPr="00057829">
        <w:rPr>
          <w:rFonts w:ascii="Arial" w:hAnsi="Arial" w:cs="Arial"/>
          <w:sz w:val="22"/>
          <w:szCs w:val="22"/>
          <w:lang w:val="en-US"/>
        </w:rPr>
        <w:t>=.35) or CD34-positive disease at diagnosis (</w:t>
      </w:r>
      <w:r w:rsidRPr="00057829">
        <w:rPr>
          <w:rFonts w:ascii="Arial" w:hAnsi="Arial" w:cs="Arial"/>
          <w:i/>
          <w:sz w:val="22"/>
          <w:szCs w:val="22"/>
          <w:lang w:val="en-US"/>
        </w:rPr>
        <w:t>P</w:t>
      </w:r>
      <w:r w:rsidRPr="00057829">
        <w:rPr>
          <w:rFonts w:ascii="Arial" w:hAnsi="Arial" w:cs="Arial"/>
          <w:sz w:val="22"/>
          <w:szCs w:val="22"/>
          <w:lang w:val="en-US"/>
        </w:rPr>
        <w:t xml:space="preserve">=.80). Despite low patient numbers, a higher CIR was observed in patients with higher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w:t>
      </w:r>
      <w:r w:rsidRPr="00057829">
        <w:rPr>
          <w:rFonts w:ascii="Arial" w:hAnsi="Arial" w:cs="Arial"/>
          <w:sz w:val="22"/>
          <w:szCs w:val="22"/>
          <w:lang w:val="en-US"/>
        </w:rPr>
        <w:t xml:space="preserve"> copy </w:t>
      </w:r>
      <w:r w:rsidRPr="00057829">
        <w:rPr>
          <w:rFonts w:ascii="Arial" w:hAnsi="Arial" w:cs="Arial"/>
          <w:sz w:val="22"/>
          <w:szCs w:val="22"/>
          <w:lang w:val="en-US"/>
        </w:rPr>
        <w:lastRenderedPageBreak/>
        <w:t>numbers when we restricted our analysis to patients diagnosed with CD34-positive AML (</w:t>
      </w:r>
      <w:r w:rsidRPr="00057829">
        <w:rPr>
          <w:rFonts w:ascii="Arial" w:hAnsi="Arial" w:cs="Arial"/>
          <w:i/>
          <w:sz w:val="22"/>
          <w:szCs w:val="22"/>
          <w:lang w:val="en-US"/>
        </w:rPr>
        <w:t>P</w:t>
      </w:r>
      <w:r w:rsidRPr="00057829">
        <w:rPr>
          <w:rFonts w:ascii="Arial" w:hAnsi="Arial" w:cs="Arial"/>
          <w:sz w:val="22"/>
          <w:szCs w:val="22"/>
          <w:lang w:val="en-US"/>
        </w:rPr>
        <w:t>=.001, Supplementary Figure S6A, Supplemental Digital Content</w:t>
      </w:r>
      <w:r w:rsidRPr="00057829">
        <w:rPr>
          <w:rFonts w:ascii="Arial" w:hAnsi="Arial" w:cs="Arial"/>
          <w:sz w:val="22"/>
          <w:szCs w:val="22"/>
          <w:lang w:val="en-US"/>
        </w:rPr>
        <w:t xml:space="preserve">, http://links.lww.com/HS/A20). In contrast, there were no significant differences in CIR according to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for the 31 patients with CD34-negative AML (</w:t>
      </w:r>
      <w:r w:rsidRPr="00057829">
        <w:rPr>
          <w:rFonts w:ascii="Arial" w:hAnsi="Arial" w:cs="Arial"/>
          <w:i/>
          <w:sz w:val="22"/>
          <w:szCs w:val="22"/>
          <w:lang w:val="en-US"/>
        </w:rPr>
        <w:t>P</w:t>
      </w:r>
      <w:r w:rsidRPr="00057829">
        <w:rPr>
          <w:rFonts w:ascii="Arial" w:hAnsi="Arial" w:cs="Arial"/>
          <w:sz w:val="22"/>
          <w:szCs w:val="22"/>
          <w:lang w:val="en-US"/>
        </w:rPr>
        <w:t>=.60, Supplementary Figure S6B, Supplemental Digital Content, http://links.lw</w:t>
      </w:r>
      <w:r w:rsidRPr="00057829">
        <w:rPr>
          <w:rFonts w:ascii="Arial" w:hAnsi="Arial" w:cs="Arial"/>
          <w:sz w:val="22"/>
          <w:szCs w:val="22"/>
          <w:lang w:val="en-US"/>
        </w:rPr>
        <w:t>w.com/HS/A20). In 53 patients, information on the CD34 expression status at diagnosis was not available.</w:t>
      </w:r>
    </w:p>
    <w:p w:rsidR="000730CE" w:rsidRPr="00057829" w:rsidRDefault="00141A43">
      <w:pPr>
        <w:spacing w:line="480" w:lineRule="auto"/>
        <w:jc w:val="both"/>
        <w:rPr>
          <w:rFonts w:ascii="Arial" w:hAnsi="Arial" w:cs="Arial"/>
          <w:b/>
          <w:i/>
          <w:sz w:val="22"/>
          <w:szCs w:val="22"/>
          <w:lang w:val="en-US"/>
        </w:rPr>
      </w:pPr>
      <w:r w:rsidRPr="00057829">
        <w:rPr>
          <w:rFonts w:ascii="Arial" w:hAnsi="Arial" w:cs="Arial"/>
          <w:b/>
          <w:i/>
          <w:sz w:val="22"/>
          <w:szCs w:val="22"/>
          <w:lang w:val="en-US"/>
        </w:rPr>
        <w:t>Prognostic impact of the topmost pre-HSCT MN1/ABL1 copy numbers</w:t>
      </w:r>
    </w:p>
    <w:p w:rsidR="000730CE" w:rsidRPr="00057829" w:rsidRDefault="00141A43">
      <w:pPr>
        <w:spacing w:line="480" w:lineRule="auto"/>
        <w:jc w:val="both"/>
        <w:rPr>
          <w:rFonts w:ascii="Arial" w:hAnsi="Arial" w:cs="Arial"/>
          <w:sz w:val="22"/>
          <w:szCs w:val="22"/>
          <w:lang w:val="en-US"/>
        </w:rPr>
      </w:pPr>
      <w:r w:rsidRPr="00057829">
        <w:rPr>
          <w:rFonts w:ascii="Arial" w:hAnsi="Arial" w:cs="Arial"/>
          <w:sz w:val="22"/>
          <w:szCs w:val="22"/>
          <w:lang w:val="en-US"/>
        </w:rPr>
        <w:t xml:space="preserve">To evaluate whether within the group of patients with high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w:t>
      </w:r>
      <w:r w:rsidRPr="00057829">
        <w:rPr>
          <w:rFonts w:ascii="Arial" w:hAnsi="Arial" w:cs="Arial"/>
          <w:sz w:val="22"/>
          <w:szCs w:val="22"/>
          <w:lang w:val="en-US"/>
        </w:rPr>
        <w:t xml:space="preserve">rs the amount of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also impacts on outcome, a second optimal cut-off was applied. Subsequently, the patient cohort was divided into 3 groups according to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(0.30 and 0.87 cut): patients with low (n=</w:t>
      </w:r>
      <w:r w:rsidRPr="00057829">
        <w:rPr>
          <w:rFonts w:ascii="Arial" w:hAnsi="Arial" w:cs="Arial"/>
          <w:sz w:val="22"/>
          <w:szCs w:val="22"/>
          <w:lang w:val="en-US"/>
        </w:rPr>
        <w:t xml:space="preserve">85), higher (n=27) and the topmost (n=12)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Applying these cut-offs, a stepwise higher CIR was observed with increasing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(low </w:t>
      </w:r>
      <w:r w:rsidRPr="00057829">
        <w:rPr>
          <w:rFonts w:ascii="Arial" w:hAnsi="Arial" w:cs="Arial"/>
          <w:i/>
          <w:sz w:val="22"/>
          <w:szCs w:val="22"/>
          <w:lang w:val="en-US"/>
        </w:rPr>
        <w:t>vs</w:t>
      </w:r>
      <w:r w:rsidRPr="00057829">
        <w:rPr>
          <w:rFonts w:ascii="Arial" w:hAnsi="Arial" w:cs="Arial"/>
          <w:sz w:val="22"/>
          <w:szCs w:val="22"/>
          <w:lang w:val="en-US"/>
        </w:rPr>
        <w:t xml:space="preserve">. higher, </w:t>
      </w:r>
      <w:r w:rsidRPr="00057829">
        <w:rPr>
          <w:rFonts w:ascii="Arial" w:hAnsi="Arial" w:cs="Arial"/>
          <w:i/>
          <w:sz w:val="22"/>
          <w:szCs w:val="22"/>
          <w:lang w:val="en-US"/>
        </w:rPr>
        <w:t>P</w:t>
      </w:r>
      <w:r w:rsidRPr="00057829">
        <w:rPr>
          <w:rFonts w:ascii="Arial" w:hAnsi="Arial" w:cs="Arial"/>
          <w:sz w:val="22"/>
          <w:szCs w:val="22"/>
          <w:lang w:val="en-US"/>
        </w:rPr>
        <w:t xml:space="preserve">=.15, higher </w:t>
      </w:r>
      <w:r w:rsidRPr="00057829">
        <w:rPr>
          <w:rFonts w:ascii="Arial" w:hAnsi="Arial" w:cs="Arial"/>
          <w:i/>
          <w:sz w:val="22"/>
          <w:szCs w:val="22"/>
          <w:lang w:val="en-US"/>
        </w:rPr>
        <w:t>vs</w:t>
      </w:r>
      <w:r w:rsidRPr="00057829">
        <w:rPr>
          <w:rFonts w:ascii="Arial" w:hAnsi="Arial" w:cs="Arial"/>
          <w:sz w:val="22"/>
          <w:szCs w:val="22"/>
          <w:lang w:val="en-US"/>
        </w:rPr>
        <w:t xml:space="preserve">. topmost, </w:t>
      </w:r>
      <w:r w:rsidRPr="00057829">
        <w:rPr>
          <w:rFonts w:ascii="Arial" w:hAnsi="Arial" w:cs="Arial"/>
          <w:i/>
          <w:sz w:val="22"/>
          <w:szCs w:val="22"/>
          <w:lang w:val="en-US"/>
        </w:rPr>
        <w:t>P</w:t>
      </w:r>
      <w:r w:rsidRPr="00057829">
        <w:rPr>
          <w:rFonts w:ascii="Arial" w:hAnsi="Arial" w:cs="Arial"/>
          <w:sz w:val="22"/>
          <w:szCs w:val="22"/>
          <w:lang w:val="en-US"/>
        </w:rPr>
        <w:t xml:space="preserve">=.03, overall </w:t>
      </w:r>
      <w:r w:rsidRPr="00057829">
        <w:rPr>
          <w:rFonts w:ascii="Arial" w:hAnsi="Arial" w:cs="Arial"/>
          <w:i/>
          <w:sz w:val="22"/>
          <w:szCs w:val="22"/>
          <w:lang w:val="en-US"/>
        </w:rPr>
        <w:t>P</w:t>
      </w:r>
      <w:r w:rsidRPr="00057829">
        <w:rPr>
          <w:rFonts w:ascii="Arial" w:hAnsi="Arial" w:cs="Arial"/>
          <w:sz w:val="22"/>
          <w:szCs w:val="22"/>
          <w:lang w:val="en-US"/>
        </w:rPr>
        <w:t>&lt;.001). However</w:t>
      </w:r>
      <w:r w:rsidRPr="00057829">
        <w:rPr>
          <w:rFonts w:ascii="Arial" w:hAnsi="Arial" w:cs="Arial"/>
          <w:sz w:val="22"/>
          <w:szCs w:val="22"/>
          <w:lang w:val="en-US"/>
        </w:rPr>
        <w:t xml:space="preserve">, despite the separation of these curves, again, no significant impact on OS was observed (Figures 3 C,D). Characteristics of patients with higher and the topmost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are shown in Supplementary Table S3 (Supplemental Digital Cont</w:t>
      </w:r>
      <w:r w:rsidRPr="00057829">
        <w:rPr>
          <w:rFonts w:ascii="Arial" w:hAnsi="Arial" w:cs="Arial"/>
          <w:sz w:val="22"/>
          <w:szCs w:val="22"/>
          <w:lang w:val="en-US"/>
        </w:rPr>
        <w:t>ent, http://links.lww.com/HS/A20).</w:t>
      </w:r>
    </w:p>
    <w:p w:rsidR="000730CE" w:rsidRPr="00057829" w:rsidRDefault="000730CE">
      <w:pPr>
        <w:spacing w:line="480" w:lineRule="auto"/>
        <w:jc w:val="both"/>
        <w:rPr>
          <w:rFonts w:ascii="Arial" w:hAnsi="Arial" w:cs="Arial"/>
          <w:sz w:val="22"/>
          <w:szCs w:val="22"/>
          <w:lang w:val="en-US"/>
        </w:rPr>
      </w:pPr>
    </w:p>
    <w:p w:rsidR="000730CE" w:rsidRPr="00057829" w:rsidRDefault="00141A43">
      <w:pPr>
        <w:spacing w:line="480" w:lineRule="auto"/>
        <w:jc w:val="both"/>
        <w:rPr>
          <w:rFonts w:ascii="Arial" w:hAnsi="Arial" w:cs="Arial"/>
          <w:b/>
          <w:i/>
          <w:sz w:val="22"/>
          <w:lang w:val="en-US"/>
        </w:rPr>
      </w:pPr>
      <w:r w:rsidRPr="00057829">
        <w:rPr>
          <w:rFonts w:ascii="Arial" w:hAnsi="Arial" w:cs="Arial"/>
          <w:b/>
          <w:i/>
          <w:sz w:val="22"/>
          <w:lang w:val="en-US"/>
        </w:rPr>
        <w:t xml:space="preserve">Correlation of pre-HSCT MN1/ABL1 copy numbers with pre-HSCT BAALC/ABL1 copy number-, </w:t>
      </w:r>
      <w:r w:rsidRPr="00057829">
        <w:rPr>
          <w:rFonts w:ascii="Arial" w:hAnsi="Arial" w:cs="Arial"/>
          <w:b/>
          <w:i/>
          <w:sz w:val="22"/>
          <w:u w:val="single"/>
          <w:lang w:val="en-US"/>
        </w:rPr>
        <w:t>WT1 expression-</w:t>
      </w:r>
      <w:r w:rsidRPr="00057829">
        <w:rPr>
          <w:rFonts w:ascii="Arial" w:hAnsi="Arial" w:cs="Arial"/>
          <w:b/>
          <w:i/>
          <w:sz w:val="22"/>
          <w:lang w:val="en-US"/>
        </w:rPr>
        <w:t xml:space="preserve"> and NPM1 mutation-based MRD </w:t>
      </w:r>
    </w:p>
    <w:p w:rsidR="000730CE" w:rsidRPr="00057829" w:rsidRDefault="00141A43">
      <w:pPr>
        <w:spacing w:line="480" w:lineRule="auto"/>
        <w:jc w:val="both"/>
      </w:pPr>
      <w:r w:rsidRPr="00057829">
        <w:rPr>
          <w:rFonts w:ascii="Arial" w:hAnsi="Arial" w:cs="Arial"/>
          <w:sz w:val="22"/>
          <w:lang w:val="en-US"/>
        </w:rPr>
        <w:t xml:space="preserve">Recently, our group showed the prognostic utility of pre-HSCT </w:t>
      </w:r>
      <w:r w:rsidRPr="00057829">
        <w:rPr>
          <w:rFonts w:ascii="Arial" w:hAnsi="Arial" w:cs="Arial"/>
          <w:i/>
          <w:sz w:val="22"/>
          <w:lang w:val="en-US"/>
        </w:rPr>
        <w:t>BAALC</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copy numbers and of pre-HSCT </w:t>
      </w:r>
      <w:r w:rsidRPr="00057829">
        <w:rPr>
          <w:rFonts w:ascii="Arial" w:hAnsi="Arial" w:cs="Arial"/>
          <w:i/>
          <w:sz w:val="22"/>
          <w:lang w:val="en-US"/>
        </w:rPr>
        <w:t>NPM1</w:t>
      </w:r>
      <w:r w:rsidRPr="00057829">
        <w:rPr>
          <w:rFonts w:ascii="Arial" w:hAnsi="Arial" w:cs="Arial"/>
          <w:sz w:val="22"/>
          <w:lang w:val="en-US"/>
        </w:rPr>
        <w:t xml:space="preserve"> for MRD assessment in AML patients undergoing allogeneic HSCT.</w:t>
      </w:r>
      <w:r w:rsidRPr="00057829">
        <w:rPr>
          <w:rFonts w:ascii="Arial" w:hAnsi="Arial" w:cs="Arial"/>
          <w:sz w:val="22"/>
          <w:vertAlign w:val="superscript"/>
          <w:lang w:val="en-US"/>
        </w:rPr>
        <w:t>8,14</w:t>
      </w:r>
      <w:r w:rsidRPr="00057829">
        <w:rPr>
          <w:rFonts w:ascii="Arial" w:hAnsi="Arial" w:cs="Arial"/>
          <w:sz w:val="22"/>
          <w:lang w:val="en-US"/>
        </w:rPr>
        <w:t xml:space="preserve"> Correlating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and </w:t>
      </w:r>
      <w:r w:rsidRPr="00057829">
        <w:rPr>
          <w:rFonts w:ascii="Arial" w:hAnsi="Arial" w:cs="Arial"/>
          <w:i/>
          <w:sz w:val="22"/>
          <w:lang w:val="en-US"/>
        </w:rPr>
        <w:t>BAALC</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copy numbers pre-HSCT, </w:t>
      </w:r>
      <w:r w:rsidRPr="00057829">
        <w:rPr>
          <w:rFonts w:ascii="Arial" w:hAnsi="Arial" w:cs="Arial"/>
          <w:sz w:val="22"/>
          <w:szCs w:val="22"/>
          <w:lang w:val="en-US"/>
        </w:rPr>
        <w:t xml:space="preserve">patients with high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also had higher pre-HSCT </w:t>
      </w:r>
      <w:r w:rsidRPr="00057829">
        <w:rPr>
          <w:rFonts w:ascii="Arial" w:hAnsi="Arial" w:cs="Arial"/>
          <w:i/>
          <w:sz w:val="22"/>
          <w:szCs w:val="22"/>
          <w:lang w:val="en-US"/>
        </w:rPr>
        <w:t>BAALC</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w:t>
      </w:r>
      <w:r w:rsidRPr="00057829">
        <w:rPr>
          <w:rFonts w:ascii="Arial" w:hAnsi="Arial" w:cs="Arial"/>
          <w:sz w:val="22"/>
          <w:szCs w:val="22"/>
          <w:lang w:val="en-US"/>
        </w:rPr>
        <w:t>ers (</w:t>
      </w:r>
      <w:r w:rsidRPr="00057829">
        <w:rPr>
          <w:rFonts w:ascii="Arial" w:hAnsi="Arial" w:cs="Arial"/>
          <w:i/>
          <w:sz w:val="22"/>
          <w:szCs w:val="22"/>
          <w:lang w:val="en-US"/>
        </w:rPr>
        <w:t>P</w:t>
      </w:r>
      <w:r w:rsidRPr="00057829">
        <w:rPr>
          <w:rFonts w:ascii="Arial" w:hAnsi="Arial" w:cs="Arial"/>
          <w:sz w:val="22"/>
          <w:szCs w:val="22"/>
          <w:lang w:val="en-US"/>
        </w:rPr>
        <w:t xml:space="preserve">&lt;.001). </w:t>
      </w:r>
      <w:r w:rsidRPr="00057829">
        <w:rPr>
          <w:rFonts w:ascii="Arial" w:hAnsi="Arial" w:cs="Arial"/>
          <w:sz w:val="22"/>
          <w:lang w:val="en-US"/>
        </w:rPr>
        <w:t xml:space="preserve">Despite the correlation of pre-HSCT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and </w:t>
      </w:r>
      <w:r w:rsidRPr="00057829">
        <w:rPr>
          <w:rFonts w:ascii="Arial" w:hAnsi="Arial" w:cs="Arial"/>
          <w:i/>
          <w:sz w:val="22"/>
          <w:lang w:val="en-US"/>
        </w:rPr>
        <w:t>BAALC</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copy numbers (Pearson's product moment correlation coefficient r=.79), 17 patients (14%) only </w:t>
      </w:r>
      <w:r w:rsidRPr="00057829">
        <w:rPr>
          <w:rFonts w:ascii="Arial" w:hAnsi="Arial" w:cs="Arial"/>
          <w:sz w:val="22"/>
          <w:lang w:val="en-US"/>
        </w:rPr>
        <w:lastRenderedPageBreak/>
        <w:t xml:space="preserve">showed high pre-HSCT expression of one of the two genes in peripheral blood. Next, we </w:t>
      </w:r>
      <w:r w:rsidRPr="00057829">
        <w:rPr>
          <w:rFonts w:ascii="Arial" w:hAnsi="Arial" w:cs="Arial"/>
          <w:sz w:val="22"/>
          <w:szCs w:val="22"/>
          <w:lang w:val="en-US"/>
        </w:rPr>
        <w:t>co</w:t>
      </w:r>
      <w:r w:rsidRPr="00057829">
        <w:rPr>
          <w:rFonts w:ascii="Arial" w:hAnsi="Arial" w:cs="Arial"/>
          <w:sz w:val="22"/>
          <w:szCs w:val="22"/>
          <w:lang w:val="en-US"/>
        </w:rPr>
        <w:t xml:space="preserve">mpared the Bayesian information criterion (BIC) for univariable models comprising the pre-HSCT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and </w:t>
      </w:r>
      <w:r w:rsidRPr="00057829">
        <w:rPr>
          <w:rFonts w:ascii="Arial" w:hAnsi="Arial" w:cs="Arial"/>
          <w:i/>
          <w:sz w:val="22"/>
          <w:lang w:val="en-US"/>
        </w:rPr>
        <w:t>BAALC</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copy number information </w:t>
      </w:r>
      <w:r w:rsidRPr="00057829">
        <w:rPr>
          <w:rFonts w:ascii="Arial" w:hAnsi="Arial" w:cs="Arial"/>
          <w:sz w:val="22"/>
          <w:szCs w:val="22"/>
          <w:lang w:val="en-US"/>
        </w:rPr>
        <w:t xml:space="preserve">alone or combined (both high </w:t>
      </w:r>
      <w:r w:rsidRPr="00057829">
        <w:rPr>
          <w:rFonts w:ascii="Arial" w:hAnsi="Arial" w:cs="Arial"/>
          <w:i/>
          <w:sz w:val="22"/>
          <w:szCs w:val="22"/>
          <w:lang w:val="en-US"/>
        </w:rPr>
        <w:t>vs.</w:t>
      </w:r>
      <w:r w:rsidRPr="00057829">
        <w:rPr>
          <w:rFonts w:ascii="Arial" w:hAnsi="Arial" w:cs="Arial"/>
          <w:sz w:val="22"/>
          <w:szCs w:val="22"/>
          <w:lang w:val="en-US"/>
        </w:rPr>
        <w:t xml:space="preserve"> one or both low) for their predictive value for CIR. Here, the model including t</w:t>
      </w:r>
      <w:r w:rsidRPr="00057829">
        <w:rPr>
          <w:rFonts w:ascii="Arial" w:hAnsi="Arial" w:cs="Arial"/>
          <w:sz w:val="22"/>
          <w:szCs w:val="22"/>
          <w:lang w:val="en-US"/>
        </w:rPr>
        <w:t xml:space="preserve">he copy number information for both genes combined showed the lowest BIC (Supplementary Table S4, Supplemental Digital Content, http://links.lww.com/HS/A20). This indicates that the evaluation of copy numbers of both genes has higher informative value for </w:t>
      </w:r>
      <w:r w:rsidRPr="00057829">
        <w:rPr>
          <w:rFonts w:ascii="Arial" w:hAnsi="Arial" w:cs="Arial"/>
          <w:sz w:val="22"/>
          <w:szCs w:val="22"/>
          <w:lang w:val="en-US"/>
        </w:rPr>
        <w:t xml:space="preserve">MRD assessment than pre-HSCT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and </w:t>
      </w:r>
      <w:r w:rsidRPr="00057829">
        <w:rPr>
          <w:rFonts w:ascii="Arial" w:hAnsi="Arial" w:cs="Arial"/>
          <w:i/>
          <w:sz w:val="22"/>
          <w:lang w:val="en-US"/>
        </w:rPr>
        <w:t>BAALC</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copy number information </w:t>
      </w:r>
      <w:r w:rsidRPr="00057829">
        <w:rPr>
          <w:rFonts w:ascii="Arial" w:hAnsi="Arial" w:cs="Arial"/>
          <w:sz w:val="22"/>
          <w:szCs w:val="22"/>
          <w:lang w:val="en-US"/>
        </w:rPr>
        <w:t xml:space="preserve">alone. For outcome analyses according to pre-HSCT </w:t>
      </w:r>
      <w:r w:rsidRPr="00057829">
        <w:rPr>
          <w:rFonts w:ascii="Arial" w:hAnsi="Arial" w:cs="Arial"/>
          <w:i/>
          <w:sz w:val="22"/>
          <w:szCs w:val="22"/>
          <w:lang w:val="en-US"/>
        </w:rPr>
        <w:t>BAALC</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and the combination of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and </w:t>
      </w:r>
      <w:r w:rsidRPr="00057829">
        <w:rPr>
          <w:rFonts w:ascii="Arial" w:hAnsi="Arial" w:cs="Arial"/>
          <w:i/>
          <w:sz w:val="22"/>
          <w:szCs w:val="22"/>
          <w:lang w:val="en-US"/>
        </w:rPr>
        <w:t>BAALC</w:t>
      </w:r>
      <w:r w:rsidRPr="00057829">
        <w:rPr>
          <w:rFonts w:ascii="Arial" w:hAnsi="Arial" w:cs="Arial"/>
          <w:sz w:val="22"/>
          <w:szCs w:val="22"/>
          <w:lang w:val="en-US"/>
        </w:rPr>
        <w:t>/</w:t>
      </w:r>
      <w:r w:rsidRPr="00057829">
        <w:rPr>
          <w:rFonts w:ascii="Arial" w:hAnsi="Arial" w:cs="Arial"/>
          <w:i/>
          <w:sz w:val="22"/>
          <w:szCs w:val="22"/>
          <w:lang w:val="en-US"/>
        </w:rPr>
        <w:t xml:space="preserve">ABL1 </w:t>
      </w:r>
      <w:r w:rsidRPr="00057829">
        <w:rPr>
          <w:rFonts w:ascii="Arial" w:hAnsi="Arial" w:cs="Arial"/>
          <w:sz w:val="22"/>
          <w:szCs w:val="22"/>
          <w:lang w:val="en-US"/>
        </w:rPr>
        <w:t xml:space="preserve">copy numbers, see Supplementary Information and </w:t>
      </w:r>
      <w:r w:rsidRPr="00057829">
        <w:rPr>
          <w:rFonts w:ascii="Arial" w:hAnsi="Arial" w:cs="Arial"/>
          <w:sz w:val="22"/>
          <w:szCs w:val="22"/>
          <w:lang w:val="en-US"/>
        </w:rPr>
        <w:t>Supplementary Figure S7 (Supplemental Digital Content, http://links.lww.com/HS/A20).</w:t>
      </w:r>
    </w:p>
    <w:p w:rsidR="000730CE" w:rsidRPr="00057829" w:rsidRDefault="00141A43">
      <w:pPr>
        <w:spacing w:line="480" w:lineRule="auto"/>
        <w:jc w:val="both"/>
        <w:rPr>
          <w:rFonts w:ascii="Arial" w:hAnsi="Arial" w:cs="Arial"/>
          <w:sz w:val="22"/>
          <w:szCs w:val="22"/>
          <w:lang w:val="en-US"/>
        </w:rPr>
      </w:pPr>
      <w:r w:rsidRPr="00057829">
        <w:rPr>
          <w:rFonts w:ascii="Arial" w:hAnsi="Arial" w:cs="Arial"/>
          <w:sz w:val="22"/>
          <w:szCs w:val="22"/>
          <w:u w:val="single"/>
          <w:lang w:val="en-US"/>
        </w:rPr>
        <w:t xml:space="preserve">For 111 of the 124 patients, pre-HSCT </w:t>
      </w:r>
      <w:r w:rsidRPr="00057829">
        <w:rPr>
          <w:rFonts w:ascii="Arial" w:hAnsi="Arial" w:cs="Arial"/>
          <w:i/>
          <w:sz w:val="22"/>
          <w:szCs w:val="22"/>
          <w:u w:val="single"/>
          <w:lang w:val="en-US"/>
        </w:rPr>
        <w:t xml:space="preserve">WT1/ABL1 </w:t>
      </w:r>
      <w:r w:rsidRPr="00057829">
        <w:rPr>
          <w:rFonts w:ascii="Arial" w:hAnsi="Arial" w:cs="Arial"/>
          <w:sz w:val="22"/>
          <w:szCs w:val="22"/>
          <w:u w:val="single"/>
          <w:lang w:val="en-US"/>
        </w:rPr>
        <w:t>expression</w:t>
      </w:r>
      <w:r w:rsidRPr="00057829">
        <w:rPr>
          <w:rFonts w:ascii="Arial" w:hAnsi="Arial" w:cs="Arial"/>
          <w:i/>
          <w:sz w:val="22"/>
          <w:szCs w:val="22"/>
          <w:u w:val="single"/>
          <w:lang w:val="en-US"/>
        </w:rPr>
        <w:t xml:space="preserve"> </w:t>
      </w:r>
      <w:r w:rsidRPr="00057829">
        <w:rPr>
          <w:rFonts w:ascii="Arial" w:hAnsi="Arial" w:cs="Arial"/>
          <w:sz w:val="22"/>
          <w:szCs w:val="22"/>
          <w:u w:val="single"/>
          <w:lang w:val="en-US"/>
        </w:rPr>
        <w:t xml:space="preserve">levels were available. Pre-HSCT </w:t>
      </w:r>
      <w:r w:rsidRPr="00057829">
        <w:rPr>
          <w:rFonts w:ascii="Arial" w:hAnsi="Arial" w:cs="Arial"/>
          <w:i/>
          <w:sz w:val="22"/>
          <w:szCs w:val="22"/>
          <w:u w:val="single"/>
          <w:lang w:val="en-US"/>
        </w:rPr>
        <w:t xml:space="preserve">WT1/ABL1 </w:t>
      </w:r>
      <w:r w:rsidRPr="00057829">
        <w:rPr>
          <w:rFonts w:ascii="Arial" w:hAnsi="Arial" w:cs="Arial"/>
          <w:sz w:val="22"/>
          <w:szCs w:val="22"/>
          <w:u w:val="single"/>
          <w:lang w:val="en-US"/>
        </w:rPr>
        <w:t xml:space="preserve">expression and </w:t>
      </w:r>
      <w:r w:rsidRPr="00057829">
        <w:rPr>
          <w:rFonts w:ascii="Arial" w:hAnsi="Arial" w:cs="Arial"/>
          <w:i/>
          <w:sz w:val="22"/>
          <w:szCs w:val="22"/>
          <w:u w:val="single"/>
          <w:lang w:val="en-US"/>
        </w:rPr>
        <w:t>MN1/ABL1</w:t>
      </w:r>
      <w:r w:rsidRPr="00057829">
        <w:rPr>
          <w:rFonts w:ascii="Arial" w:hAnsi="Arial" w:cs="Arial"/>
          <w:sz w:val="22"/>
          <w:szCs w:val="22"/>
          <w:u w:val="single"/>
          <w:lang w:val="en-US"/>
        </w:rPr>
        <w:t xml:space="preserve"> copy numbers did not correlate well (Pearson's p</w:t>
      </w:r>
      <w:r w:rsidRPr="00057829">
        <w:rPr>
          <w:rFonts w:ascii="Arial" w:hAnsi="Arial" w:cs="Arial"/>
          <w:sz w:val="22"/>
          <w:szCs w:val="22"/>
          <w:u w:val="single"/>
          <w:lang w:val="en-US"/>
        </w:rPr>
        <w:t xml:space="preserve">roduct moment correlation coefficient r=.22, Supplementary Figure S8, Supplemental Digital Content, http://links.lww.com/HS/A20). However, using the published cut-off of previous work of our institution by Lange </w:t>
      </w:r>
      <w:r w:rsidRPr="00057829">
        <w:rPr>
          <w:rFonts w:ascii="Arial" w:hAnsi="Arial" w:cs="Arial"/>
          <w:i/>
          <w:sz w:val="22"/>
          <w:szCs w:val="22"/>
          <w:u w:val="single"/>
          <w:lang w:val="en-US"/>
        </w:rPr>
        <w:t>et al.</w:t>
      </w:r>
      <w:r w:rsidRPr="00057829">
        <w:rPr>
          <w:rFonts w:ascii="Arial" w:hAnsi="Arial" w:cs="Arial"/>
          <w:sz w:val="22"/>
          <w:szCs w:val="22"/>
          <w:u w:val="single"/>
          <w:vertAlign w:val="superscript"/>
          <w:lang w:val="en-US"/>
        </w:rPr>
        <w:t xml:space="preserve">13 </w:t>
      </w:r>
      <w:r w:rsidRPr="00057829">
        <w:rPr>
          <w:rFonts w:ascii="Arial" w:hAnsi="Arial" w:cs="Arial"/>
          <w:sz w:val="22"/>
          <w:szCs w:val="22"/>
          <w:u w:val="single"/>
          <w:lang w:val="en-US"/>
        </w:rPr>
        <w:t xml:space="preserve">patients with high pre-HSCT </w:t>
      </w:r>
      <w:r w:rsidRPr="00057829">
        <w:rPr>
          <w:rFonts w:ascii="Arial" w:hAnsi="Arial" w:cs="Arial"/>
          <w:i/>
          <w:sz w:val="22"/>
          <w:szCs w:val="22"/>
          <w:u w:val="single"/>
          <w:lang w:val="en-US"/>
        </w:rPr>
        <w:t>MN1</w:t>
      </w:r>
      <w:r w:rsidRPr="00057829">
        <w:rPr>
          <w:rFonts w:ascii="Arial" w:hAnsi="Arial" w:cs="Arial"/>
          <w:sz w:val="22"/>
          <w:szCs w:val="22"/>
          <w:u w:val="single"/>
          <w:lang w:val="en-US"/>
        </w:rPr>
        <w:t>/</w:t>
      </w:r>
      <w:r w:rsidRPr="00057829">
        <w:rPr>
          <w:rFonts w:ascii="Arial" w:hAnsi="Arial" w:cs="Arial"/>
          <w:i/>
          <w:sz w:val="22"/>
          <w:szCs w:val="22"/>
          <w:u w:val="single"/>
          <w:lang w:val="en-US"/>
        </w:rPr>
        <w:t>ABL</w:t>
      </w:r>
      <w:r w:rsidRPr="00057829">
        <w:rPr>
          <w:rFonts w:ascii="Arial" w:hAnsi="Arial" w:cs="Arial"/>
          <w:i/>
          <w:sz w:val="22"/>
          <w:szCs w:val="22"/>
          <w:u w:val="single"/>
          <w:lang w:val="en-US"/>
        </w:rPr>
        <w:t>1</w:t>
      </w:r>
      <w:r w:rsidRPr="00057829">
        <w:rPr>
          <w:rFonts w:ascii="Arial" w:hAnsi="Arial" w:cs="Arial"/>
          <w:sz w:val="22"/>
          <w:szCs w:val="22"/>
          <w:u w:val="single"/>
          <w:lang w:val="en-US"/>
        </w:rPr>
        <w:t xml:space="preserve"> copy numbers had significantly higher </w:t>
      </w:r>
      <w:r w:rsidRPr="00057829">
        <w:rPr>
          <w:rFonts w:ascii="Arial" w:hAnsi="Arial" w:cs="Arial"/>
          <w:i/>
          <w:sz w:val="22"/>
          <w:szCs w:val="22"/>
          <w:u w:val="single"/>
          <w:lang w:val="en-US"/>
        </w:rPr>
        <w:t>WT1</w:t>
      </w:r>
      <w:r w:rsidRPr="00057829">
        <w:rPr>
          <w:rFonts w:ascii="Arial" w:hAnsi="Arial" w:cs="Arial"/>
          <w:sz w:val="22"/>
          <w:szCs w:val="22"/>
          <w:u w:val="single"/>
          <w:lang w:val="en-US"/>
        </w:rPr>
        <w:t>/</w:t>
      </w:r>
      <w:r w:rsidRPr="00057829">
        <w:rPr>
          <w:rFonts w:ascii="Arial" w:hAnsi="Arial" w:cs="Arial"/>
          <w:i/>
          <w:sz w:val="22"/>
          <w:szCs w:val="22"/>
          <w:u w:val="single"/>
          <w:lang w:val="en-US"/>
        </w:rPr>
        <w:t>ABL1</w:t>
      </w:r>
      <w:r w:rsidRPr="00057829">
        <w:rPr>
          <w:rFonts w:ascii="Arial" w:hAnsi="Arial" w:cs="Arial"/>
          <w:sz w:val="22"/>
          <w:szCs w:val="22"/>
          <w:u w:val="single"/>
          <w:lang w:val="en-US"/>
        </w:rPr>
        <w:t xml:space="preserve"> expression (</w:t>
      </w:r>
      <w:r w:rsidRPr="00057829">
        <w:rPr>
          <w:rFonts w:ascii="Arial" w:hAnsi="Arial" w:cs="Arial"/>
          <w:i/>
          <w:sz w:val="22"/>
          <w:szCs w:val="22"/>
          <w:u w:val="single"/>
          <w:lang w:val="en-US"/>
        </w:rPr>
        <w:t>P</w:t>
      </w:r>
      <w:r w:rsidRPr="00057829">
        <w:rPr>
          <w:rFonts w:ascii="Arial" w:hAnsi="Arial" w:cs="Arial"/>
          <w:sz w:val="22"/>
          <w:szCs w:val="22"/>
          <w:u w:val="single"/>
          <w:lang w:val="en-US"/>
        </w:rPr>
        <w:t xml:space="preserve">&lt;.001, Supplementary Table S1, Supplemental Digital Content, http://links.lww.com/HS/A20). While patients with high pre-HSCT </w:t>
      </w:r>
      <w:r w:rsidRPr="00057829">
        <w:rPr>
          <w:rFonts w:ascii="Arial" w:hAnsi="Arial" w:cs="Arial"/>
          <w:i/>
          <w:sz w:val="22"/>
          <w:szCs w:val="22"/>
          <w:u w:val="single"/>
          <w:lang w:val="en-US"/>
        </w:rPr>
        <w:t>WT1</w:t>
      </w:r>
      <w:r w:rsidRPr="00057829">
        <w:rPr>
          <w:rFonts w:ascii="Arial" w:hAnsi="Arial" w:cs="Arial"/>
          <w:sz w:val="22"/>
          <w:szCs w:val="22"/>
          <w:u w:val="single"/>
          <w:lang w:val="en-US"/>
        </w:rPr>
        <w:t>/</w:t>
      </w:r>
      <w:r w:rsidRPr="00057829">
        <w:rPr>
          <w:rFonts w:ascii="Arial" w:hAnsi="Arial" w:cs="Arial"/>
          <w:i/>
          <w:sz w:val="22"/>
          <w:szCs w:val="22"/>
          <w:u w:val="single"/>
          <w:lang w:val="en-US"/>
        </w:rPr>
        <w:t>ABL1</w:t>
      </w:r>
      <w:r w:rsidRPr="00057829">
        <w:rPr>
          <w:rFonts w:ascii="Arial" w:hAnsi="Arial" w:cs="Arial"/>
          <w:sz w:val="22"/>
          <w:szCs w:val="22"/>
          <w:u w:val="single"/>
          <w:lang w:val="en-US"/>
        </w:rPr>
        <w:t xml:space="preserve"> expression had a significantly higher CIR (Supplementary Fig</w:t>
      </w:r>
      <w:r w:rsidRPr="00057829">
        <w:rPr>
          <w:rFonts w:ascii="Arial" w:hAnsi="Arial" w:cs="Arial"/>
          <w:sz w:val="22"/>
          <w:szCs w:val="22"/>
          <w:u w:val="single"/>
          <w:lang w:val="en-US"/>
        </w:rPr>
        <w:t xml:space="preserve">ure S9A, Supplemental Digital Content, http://links.lww.com/HS/A20), pre-HSCT </w:t>
      </w:r>
      <w:r w:rsidRPr="00057829">
        <w:rPr>
          <w:rFonts w:ascii="Arial" w:hAnsi="Arial" w:cs="Arial"/>
          <w:i/>
          <w:sz w:val="22"/>
          <w:szCs w:val="22"/>
          <w:u w:val="single"/>
          <w:lang w:val="en-US"/>
        </w:rPr>
        <w:t>MN1</w:t>
      </w:r>
      <w:r w:rsidRPr="00057829">
        <w:rPr>
          <w:rFonts w:ascii="Arial" w:hAnsi="Arial" w:cs="Arial"/>
          <w:sz w:val="22"/>
          <w:szCs w:val="22"/>
          <w:u w:val="single"/>
          <w:lang w:val="en-US"/>
        </w:rPr>
        <w:t>/</w:t>
      </w:r>
      <w:r w:rsidRPr="00057829">
        <w:rPr>
          <w:rFonts w:ascii="Arial" w:hAnsi="Arial" w:cs="Arial"/>
          <w:i/>
          <w:sz w:val="22"/>
          <w:szCs w:val="22"/>
          <w:u w:val="single"/>
          <w:lang w:val="en-US"/>
        </w:rPr>
        <w:t>ABL1</w:t>
      </w:r>
      <w:r w:rsidRPr="00057829">
        <w:rPr>
          <w:rFonts w:ascii="Arial" w:hAnsi="Arial" w:cs="Arial"/>
          <w:sz w:val="22"/>
          <w:szCs w:val="22"/>
          <w:u w:val="single"/>
          <w:lang w:val="en-US"/>
        </w:rPr>
        <w:t xml:space="preserve"> copy number assessment provided additional prognostic information to </w:t>
      </w:r>
      <w:r w:rsidRPr="00057829">
        <w:rPr>
          <w:rFonts w:ascii="Arial" w:hAnsi="Arial" w:cs="Arial"/>
          <w:i/>
          <w:sz w:val="22"/>
          <w:szCs w:val="22"/>
          <w:u w:val="single"/>
          <w:lang w:val="en-US"/>
        </w:rPr>
        <w:t>WT1</w:t>
      </w:r>
      <w:r w:rsidRPr="00057829">
        <w:rPr>
          <w:rFonts w:ascii="Arial" w:hAnsi="Arial" w:cs="Arial"/>
          <w:sz w:val="22"/>
          <w:szCs w:val="22"/>
          <w:u w:val="single"/>
          <w:lang w:val="en-US"/>
        </w:rPr>
        <w:t>/</w:t>
      </w:r>
      <w:r w:rsidRPr="00057829">
        <w:rPr>
          <w:rFonts w:ascii="Arial" w:hAnsi="Arial" w:cs="Arial"/>
          <w:i/>
          <w:sz w:val="22"/>
          <w:szCs w:val="22"/>
          <w:u w:val="single"/>
          <w:lang w:val="en-US"/>
        </w:rPr>
        <w:t>ABL1</w:t>
      </w:r>
      <w:r w:rsidRPr="00057829">
        <w:rPr>
          <w:rFonts w:ascii="Arial" w:hAnsi="Arial" w:cs="Arial"/>
          <w:sz w:val="22"/>
          <w:szCs w:val="22"/>
          <w:u w:val="single"/>
          <w:lang w:val="en-US"/>
        </w:rPr>
        <w:t xml:space="preserve"> expression (Supplementary Figure S9B, Supplemental Digital Content, http://links.lww.com/HS</w:t>
      </w:r>
      <w:r w:rsidRPr="00057829">
        <w:rPr>
          <w:rFonts w:ascii="Arial" w:hAnsi="Arial" w:cs="Arial"/>
          <w:sz w:val="22"/>
          <w:szCs w:val="22"/>
          <w:u w:val="single"/>
          <w:lang w:val="en-US"/>
        </w:rPr>
        <w:t xml:space="preserve">/A20). BIC comparison showed that the model with both pre-HSCT </w:t>
      </w:r>
      <w:r w:rsidRPr="00057829">
        <w:rPr>
          <w:rFonts w:ascii="Arial" w:hAnsi="Arial" w:cs="Arial"/>
          <w:i/>
          <w:sz w:val="22"/>
          <w:u w:val="single"/>
          <w:lang w:val="en-US"/>
        </w:rPr>
        <w:t>MN1</w:t>
      </w:r>
      <w:r w:rsidRPr="00057829">
        <w:rPr>
          <w:rFonts w:ascii="Arial" w:hAnsi="Arial" w:cs="Arial"/>
          <w:sz w:val="22"/>
          <w:u w:val="single"/>
          <w:lang w:val="en-US"/>
        </w:rPr>
        <w:t xml:space="preserve"> and </w:t>
      </w:r>
      <w:r w:rsidRPr="00057829">
        <w:rPr>
          <w:rFonts w:ascii="Arial" w:hAnsi="Arial" w:cs="Arial"/>
          <w:i/>
          <w:sz w:val="22"/>
          <w:u w:val="single"/>
          <w:lang w:val="en-US"/>
        </w:rPr>
        <w:t xml:space="preserve">WT1 </w:t>
      </w:r>
      <w:r w:rsidRPr="00057829">
        <w:rPr>
          <w:rFonts w:ascii="Arial" w:hAnsi="Arial" w:cs="Arial"/>
          <w:sz w:val="22"/>
          <w:u w:val="single"/>
          <w:lang w:val="en-US"/>
        </w:rPr>
        <w:t xml:space="preserve">expression </w:t>
      </w:r>
      <w:r w:rsidRPr="00057829">
        <w:rPr>
          <w:rFonts w:ascii="Arial" w:hAnsi="Arial" w:cs="Arial"/>
          <w:sz w:val="22"/>
          <w:szCs w:val="22"/>
          <w:u w:val="single"/>
          <w:lang w:val="en-US"/>
        </w:rPr>
        <w:t>provided higher informative value than the models with either MRD marker alone (Supplementary Table S5, Supplemental Digital Content, http://links.lww.com/HS/A20).</w:t>
      </w:r>
    </w:p>
    <w:p w:rsidR="000730CE" w:rsidRPr="00057829" w:rsidRDefault="00141A43">
      <w:pPr>
        <w:spacing w:line="480" w:lineRule="auto"/>
        <w:jc w:val="both"/>
        <w:rPr>
          <w:rFonts w:ascii="Arial" w:hAnsi="Arial" w:cs="Arial"/>
          <w:sz w:val="22"/>
          <w:lang w:val="en-US"/>
        </w:rPr>
      </w:pPr>
      <w:r w:rsidRPr="00057829">
        <w:rPr>
          <w:rFonts w:ascii="Arial" w:hAnsi="Arial" w:cs="Arial"/>
          <w:sz w:val="22"/>
          <w:lang w:val="en-US"/>
        </w:rPr>
        <w:t xml:space="preserve">For 20 of the 23 </w:t>
      </w:r>
      <w:r w:rsidRPr="00057829">
        <w:rPr>
          <w:rFonts w:ascii="Arial" w:hAnsi="Arial" w:cs="Arial"/>
          <w:i/>
          <w:sz w:val="22"/>
          <w:lang w:val="en-US"/>
        </w:rPr>
        <w:t>NPM1</w:t>
      </w:r>
      <w:r w:rsidRPr="00057829">
        <w:rPr>
          <w:rFonts w:ascii="Arial" w:hAnsi="Arial" w:cs="Arial"/>
          <w:sz w:val="22"/>
          <w:lang w:val="en-US"/>
        </w:rPr>
        <w:t xml:space="preserve"> mutated patients information of pre-HSCT </w:t>
      </w:r>
      <w:r w:rsidRPr="00057829">
        <w:rPr>
          <w:rFonts w:ascii="Arial" w:hAnsi="Arial" w:cs="Arial"/>
          <w:i/>
          <w:sz w:val="22"/>
          <w:lang w:val="en-US"/>
        </w:rPr>
        <w:t>NPM1</w:t>
      </w:r>
      <w:r w:rsidRPr="00057829">
        <w:rPr>
          <w:rFonts w:ascii="Arial" w:hAnsi="Arial" w:cs="Arial"/>
          <w:sz w:val="22"/>
          <w:lang w:val="en-US"/>
        </w:rPr>
        <w:t xml:space="preserve"> MRD status was available (Supplementary Table S1, Supplemental Digital Content, http://links.lww.com/HS/A20). Four of the five </w:t>
      </w:r>
      <w:r w:rsidRPr="00057829">
        <w:rPr>
          <w:rFonts w:ascii="Arial" w:hAnsi="Arial" w:cs="Arial"/>
          <w:i/>
          <w:sz w:val="22"/>
          <w:szCs w:val="22"/>
          <w:lang w:val="en-US"/>
        </w:rPr>
        <w:t xml:space="preserve">NPM1 </w:t>
      </w:r>
      <w:r w:rsidRPr="00057829">
        <w:rPr>
          <w:rFonts w:ascii="Arial" w:hAnsi="Arial" w:cs="Arial"/>
          <w:sz w:val="22"/>
          <w:szCs w:val="22"/>
          <w:lang w:val="en-US"/>
        </w:rPr>
        <w:t>MRD</w:t>
      </w:r>
      <w:r w:rsidRPr="00057829">
        <w:rPr>
          <w:rFonts w:ascii="Arial" w:hAnsi="Arial" w:cs="Arial"/>
          <w:sz w:val="22"/>
          <w:szCs w:val="22"/>
          <w:vertAlign w:val="superscript"/>
          <w:lang w:val="en-US"/>
        </w:rPr>
        <w:t xml:space="preserve"> </w:t>
      </w:r>
      <w:r w:rsidRPr="00057829">
        <w:rPr>
          <w:rFonts w:ascii="Arial" w:hAnsi="Arial" w:cs="Arial"/>
          <w:sz w:val="22"/>
          <w:szCs w:val="22"/>
          <w:lang w:val="en-US"/>
        </w:rPr>
        <w:t>positive (MRD</w:t>
      </w:r>
      <w:r w:rsidRPr="00057829">
        <w:rPr>
          <w:rFonts w:ascii="Arial" w:hAnsi="Arial" w:cs="Arial"/>
          <w:sz w:val="22"/>
          <w:szCs w:val="22"/>
          <w:vertAlign w:val="superscript"/>
          <w:lang w:val="en-US"/>
        </w:rPr>
        <w:t>pos</w:t>
      </w:r>
      <w:r w:rsidRPr="00057829">
        <w:rPr>
          <w:rFonts w:ascii="Arial" w:hAnsi="Arial" w:cs="Arial"/>
          <w:sz w:val="22"/>
          <w:szCs w:val="22"/>
          <w:lang w:val="en-US"/>
        </w:rPr>
        <w:t>)</w:t>
      </w:r>
      <w:r w:rsidRPr="00057829">
        <w:rPr>
          <w:rFonts w:ascii="Arial" w:hAnsi="Arial" w:cs="Arial"/>
          <w:sz w:val="22"/>
          <w:lang w:val="en-US"/>
        </w:rPr>
        <w:t xml:space="preserve"> patients</w:t>
      </w:r>
      <w:r w:rsidRPr="00057829">
        <w:rPr>
          <w:rFonts w:ascii="Arial" w:hAnsi="Arial" w:cs="Arial"/>
          <w:sz w:val="22"/>
          <w:szCs w:val="22"/>
          <w:lang w:val="en-US"/>
        </w:rPr>
        <w:t xml:space="preserve"> also had </w:t>
      </w:r>
      <w:r w:rsidRPr="00057829">
        <w:rPr>
          <w:rFonts w:ascii="Arial" w:hAnsi="Arial" w:cs="Arial"/>
          <w:sz w:val="22"/>
          <w:szCs w:val="22"/>
          <w:lang w:val="en-US"/>
        </w:rPr>
        <w:lastRenderedPageBreak/>
        <w:t xml:space="preserve">high pre-HSCT </w:t>
      </w:r>
      <w:r w:rsidRPr="00057829">
        <w:rPr>
          <w:rFonts w:ascii="Arial" w:hAnsi="Arial" w:cs="Arial"/>
          <w:i/>
          <w:sz w:val="22"/>
          <w:szCs w:val="22"/>
          <w:lang w:val="en-US"/>
        </w:rPr>
        <w:t>MN</w:t>
      </w:r>
      <w:r w:rsidRPr="00057829">
        <w:rPr>
          <w:rFonts w:ascii="Arial" w:hAnsi="Arial" w:cs="Arial"/>
          <w:i/>
          <w:sz w:val="22"/>
          <w:szCs w:val="22"/>
          <w:lang w:val="en-US"/>
        </w:rPr>
        <w:t>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Two of them relapsed, while two patients died of NRM within 100 days after HSCT. One </w:t>
      </w:r>
      <w:r w:rsidRPr="00057829">
        <w:rPr>
          <w:rFonts w:ascii="Arial" w:hAnsi="Arial" w:cs="Arial"/>
          <w:i/>
          <w:sz w:val="22"/>
          <w:szCs w:val="22"/>
          <w:lang w:val="en-US"/>
        </w:rPr>
        <w:t>NPM1</w:t>
      </w:r>
      <w:r w:rsidRPr="00057829">
        <w:rPr>
          <w:rFonts w:ascii="Arial" w:hAnsi="Arial" w:cs="Arial"/>
          <w:sz w:val="22"/>
          <w:szCs w:val="22"/>
          <w:lang w:val="en-US"/>
        </w:rPr>
        <w:t xml:space="preserve"> MRD</w:t>
      </w:r>
      <w:r w:rsidRPr="00057829">
        <w:rPr>
          <w:rFonts w:ascii="Arial" w:hAnsi="Arial" w:cs="Arial"/>
          <w:sz w:val="22"/>
          <w:szCs w:val="22"/>
          <w:vertAlign w:val="superscript"/>
          <w:lang w:val="en-US"/>
        </w:rPr>
        <w:t xml:space="preserve">pos </w:t>
      </w:r>
      <w:r w:rsidRPr="00057829">
        <w:rPr>
          <w:rFonts w:ascii="Arial" w:hAnsi="Arial" w:cs="Arial"/>
          <w:sz w:val="22"/>
          <w:lang w:val="en-US"/>
        </w:rPr>
        <w:t xml:space="preserve">patient had low </w:t>
      </w:r>
      <w:r w:rsidRPr="00057829">
        <w:rPr>
          <w:rFonts w:ascii="Arial" w:hAnsi="Arial" w:cs="Arial"/>
          <w:sz w:val="22"/>
          <w:szCs w:val="22"/>
          <w:lang w:val="en-US"/>
        </w:rPr>
        <w:t xml:space="preserve">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and relapsed. </w:t>
      </w:r>
      <w:r w:rsidRPr="00057829">
        <w:rPr>
          <w:rFonts w:ascii="Arial" w:hAnsi="Arial" w:cs="Arial"/>
          <w:sz w:val="22"/>
          <w:lang w:val="en-US"/>
        </w:rPr>
        <w:t xml:space="preserve">In the 15 mutated </w:t>
      </w:r>
      <w:r w:rsidRPr="00057829">
        <w:rPr>
          <w:rFonts w:ascii="Arial" w:hAnsi="Arial" w:cs="Arial"/>
          <w:i/>
          <w:sz w:val="22"/>
          <w:lang w:val="en-US"/>
        </w:rPr>
        <w:t>NPM1</w:t>
      </w:r>
      <w:r w:rsidRPr="00057829">
        <w:rPr>
          <w:rFonts w:ascii="Arial" w:hAnsi="Arial" w:cs="Arial"/>
          <w:sz w:val="22"/>
          <w:lang w:val="en-US"/>
        </w:rPr>
        <w:t xml:space="preserve"> MRD negative (MRD</w:t>
      </w:r>
      <w:r w:rsidRPr="00057829">
        <w:rPr>
          <w:rFonts w:ascii="Arial" w:hAnsi="Arial" w:cs="Arial"/>
          <w:sz w:val="22"/>
          <w:vertAlign w:val="superscript"/>
          <w:lang w:val="en-US"/>
        </w:rPr>
        <w:t>neg</w:t>
      </w:r>
      <w:r w:rsidRPr="00057829">
        <w:rPr>
          <w:rFonts w:ascii="Arial" w:hAnsi="Arial" w:cs="Arial"/>
          <w:sz w:val="22"/>
          <w:lang w:val="en-US"/>
        </w:rPr>
        <w:t xml:space="preserve">) patients, five had high </w:t>
      </w:r>
      <w:r w:rsidRPr="00057829">
        <w:rPr>
          <w:rFonts w:ascii="Arial" w:hAnsi="Arial" w:cs="Arial"/>
          <w:sz w:val="22"/>
          <w:szCs w:val="22"/>
          <w:lang w:val="en-US"/>
        </w:rPr>
        <w:t>pre-HSCT</w:t>
      </w:r>
      <w:r w:rsidRPr="00057829">
        <w:rPr>
          <w:rFonts w:ascii="Arial" w:hAnsi="Arial" w:cs="Arial"/>
          <w:sz w:val="22"/>
          <w:szCs w:val="22"/>
          <w:lang w:val="en-US"/>
        </w:rPr>
        <w:t xml:space="preserve">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Of those, two patients relapsed, one patient died of NRM within 100 days after HSCT and two patients are in continued remission.</w:t>
      </w:r>
      <w:r w:rsidRPr="00057829">
        <w:rPr>
          <w:rFonts w:ascii="Arial" w:hAnsi="Arial" w:cs="Arial"/>
          <w:sz w:val="22"/>
          <w:lang w:val="en-US"/>
        </w:rPr>
        <w:t xml:space="preserve"> None of the ten </w:t>
      </w:r>
      <w:r w:rsidRPr="00057829">
        <w:rPr>
          <w:rFonts w:ascii="Arial" w:hAnsi="Arial" w:cs="Arial"/>
          <w:i/>
          <w:sz w:val="22"/>
          <w:szCs w:val="22"/>
          <w:lang w:val="en-US"/>
        </w:rPr>
        <w:t>NPM1</w:t>
      </w:r>
      <w:r w:rsidRPr="00057829">
        <w:rPr>
          <w:rFonts w:ascii="Arial" w:hAnsi="Arial" w:cs="Arial"/>
          <w:sz w:val="22"/>
          <w:szCs w:val="22"/>
          <w:lang w:val="en-US"/>
        </w:rPr>
        <w:t xml:space="preserve"> MRD</w:t>
      </w:r>
      <w:r w:rsidRPr="00057829">
        <w:rPr>
          <w:rFonts w:ascii="Arial" w:hAnsi="Arial" w:cs="Arial"/>
          <w:sz w:val="22"/>
          <w:szCs w:val="22"/>
          <w:vertAlign w:val="superscript"/>
          <w:lang w:val="en-US"/>
        </w:rPr>
        <w:t xml:space="preserve"> </w:t>
      </w:r>
      <w:r w:rsidRPr="00057829">
        <w:rPr>
          <w:rFonts w:ascii="Arial" w:hAnsi="Arial" w:cs="Arial"/>
          <w:sz w:val="22"/>
          <w:szCs w:val="22"/>
          <w:lang w:val="en-US"/>
        </w:rPr>
        <w:t>negative</w:t>
      </w:r>
      <w:r w:rsidRPr="00057829">
        <w:rPr>
          <w:rFonts w:ascii="Arial" w:hAnsi="Arial" w:cs="Arial"/>
          <w:sz w:val="22"/>
          <w:lang w:val="en-US"/>
        </w:rPr>
        <w:t xml:space="preserve"> patients with low </w:t>
      </w:r>
      <w:r w:rsidRPr="00057829">
        <w:rPr>
          <w:rFonts w:ascii="Arial" w:hAnsi="Arial" w:cs="Arial"/>
          <w:sz w:val="22"/>
          <w:szCs w:val="22"/>
          <w:lang w:val="en-US"/>
        </w:rPr>
        <w:t xml:space="preserve">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relapsed.</w:t>
      </w:r>
      <w:r w:rsidRPr="00057829">
        <w:rPr>
          <w:rFonts w:ascii="Arial" w:hAnsi="Arial" w:cs="Arial"/>
          <w:sz w:val="22"/>
          <w:lang w:val="en-US"/>
        </w:rPr>
        <w:t xml:space="preserve"> In the 15 mutated </w:t>
      </w:r>
      <w:r w:rsidRPr="00057829">
        <w:rPr>
          <w:rFonts w:ascii="Arial" w:hAnsi="Arial" w:cs="Arial"/>
          <w:i/>
          <w:sz w:val="22"/>
          <w:lang w:val="en-US"/>
        </w:rPr>
        <w:t>NPM1</w:t>
      </w:r>
      <w:r w:rsidRPr="00057829">
        <w:rPr>
          <w:rFonts w:ascii="Arial" w:hAnsi="Arial" w:cs="Arial"/>
          <w:sz w:val="22"/>
          <w:lang w:val="en-US"/>
        </w:rPr>
        <w:t xml:space="preserve"> MRD</w:t>
      </w:r>
      <w:r w:rsidRPr="00057829">
        <w:rPr>
          <w:rFonts w:ascii="Arial" w:hAnsi="Arial" w:cs="Arial"/>
          <w:sz w:val="22"/>
          <w:vertAlign w:val="superscript"/>
          <w:lang w:val="en-US"/>
        </w:rPr>
        <w:t>neg</w:t>
      </w:r>
      <w:r w:rsidRPr="00057829">
        <w:rPr>
          <w:rFonts w:ascii="Arial" w:hAnsi="Arial" w:cs="Arial"/>
          <w:sz w:val="22"/>
          <w:lang w:val="en-US"/>
        </w:rPr>
        <w:t xml:space="preserve"> patients, we observed a clear separation of CIR (Figure 4A) and OS (Figure 4B) curves according to pre-HSCT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 xml:space="preserve">ABL1 </w:t>
      </w:r>
      <w:r w:rsidRPr="00057829">
        <w:rPr>
          <w:rFonts w:ascii="Arial" w:hAnsi="Arial" w:cs="Arial"/>
          <w:sz w:val="22"/>
          <w:lang w:val="en-US"/>
        </w:rPr>
        <w:t xml:space="preserve">copy numbers, indicating higher CIR and shorter OS for patients with high pre-HSCT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 xml:space="preserve">ABL1 </w:t>
      </w:r>
      <w:r w:rsidRPr="00057829">
        <w:rPr>
          <w:rFonts w:ascii="Arial" w:hAnsi="Arial" w:cs="Arial"/>
          <w:sz w:val="22"/>
          <w:lang w:val="en-US"/>
        </w:rPr>
        <w:t>copy numbers. In</w:t>
      </w:r>
      <w:r w:rsidRPr="00057829">
        <w:rPr>
          <w:rFonts w:ascii="Arial" w:hAnsi="Arial" w:cs="Arial"/>
          <w:sz w:val="22"/>
          <w:lang w:val="en-US"/>
        </w:rPr>
        <w:t xml:space="preserve"> all five relapsing patients with information on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 xml:space="preserve">ABL1 </w:t>
      </w:r>
      <w:r w:rsidRPr="00057829">
        <w:rPr>
          <w:rFonts w:ascii="Arial" w:hAnsi="Arial" w:cs="Arial"/>
          <w:sz w:val="22"/>
          <w:lang w:val="en-US"/>
        </w:rPr>
        <w:t>copy number and</w:t>
      </w:r>
      <w:r w:rsidRPr="00057829">
        <w:rPr>
          <w:rFonts w:ascii="Arial" w:hAnsi="Arial" w:cs="Arial"/>
          <w:i/>
          <w:sz w:val="22"/>
          <w:lang w:val="en-US"/>
        </w:rPr>
        <w:t xml:space="preserve"> NPM1</w:t>
      </w:r>
      <w:r w:rsidRPr="00057829">
        <w:rPr>
          <w:rFonts w:ascii="Arial" w:hAnsi="Arial" w:cs="Arial"/>
          <w:sz w:val="22"/>
          <w:lang w:val="en-US"/>
        </w:rPr>
        <w:t xml:space="preserve"> MRD status pre-HSCT available, relapse could be predicted prior to HSCT by one (only </w:t>
      </w:r>
      <w:r w:rsidRPr="00057829">
        <w:rPr>
          <w:rFonts w:ascii="Arial" w:hAnsi="Arial" w:cs="Arial"/>
          <w:i/>
          <w:sz w:val="22"/>
          <w:lang w:val="en-US"/>
        </w:rPr>
        <w:t>NPM1</w:t>
      </w:r>
      <w:r w:rsidRPr="00057829">
        <w:rPr>
          <w:rFonts w:ascii="Arial" w:hAnsi="Arial" w:cs="Arial"/>
          <w:sz w:val="22"/>
          <w:lang w:val="en-US"/>
        </w:rPr>
        <w:t xml:space="preserve"> [n=1], only </w:t>
      </w:r>
      <w:r w:rsidRPr="00057829">
        <w:rPr>
          <w:rFonts w:ascii="Arial" w:hAnsi="Arial" w:cs="Arial"/>
          <w:i/>
          <w:sz w:val="22"/>
          <w:lang w:val="en-US"/>
        </w:rPr>
        <w:t>MN1</w:t>
      </w:r>
      <w:r w:rsidRPr="00057829">
        <w:rPr>
          <w:rFonts w:ascii="Arial" w:hAnsi="Arial" w:cs="Arial"/>
          <w:sz w:val="22"/>
          <w:lang w:val="en-US"/>
        </w:rPr>
        <w:t xml:space="preserve"> [n=2]) or both (n=2) markers. </w:t>
      </w:r>
      <w:r w:rsidRPr="00057829">
        <w:br w:type="page"/>
      </w:r>
    </w:p>
    <w:p w:rsidR="000730CE" w:rsidRPr="00057829" w:rsidRDefault="00141A43">
      <w:pPr>
        <w:spacing w:line="480" w:lineRule="auto"/>
        <w:jc w:val="both"/>
        <w:rPr>
          <w:rFonts w:ascii="Arial" w:hAnsi="Arial" w:cs="Arial"/>
          <w:b/>
          <w:lang w:val="en-US"/>
        </w:rPr>
      </w:pPr>
      <w:r w:rsidRPr="00057829">
        <w:rPr>
          <w:rFonts w:ascii="Arial" w:hAnsi="Arial" w:cs="Arial"/>
          <w:b/>
          <w:lang w:val="en-US"/>
        </w:rPr>
        <w:lastRenderedPageBreak/>
        <w:t>Discussion</w:t>
      </w:r>
    </w:p>
    <w:p w:rsidR="000730CE" w:rsidRPr="00057829" w:rsidRDefault="00141A43">
      <w:pPr>
        <w:widowControl w:val="0"/>
        <w:spacing w:line="480" w:lineRule="auto"/>
        <w:jc w:val="both"/>
        <w:rPr>
          <w:rFonts w:ascii="Arial" w:hAnsi="Arial" w:cs="Arial"/>
          <w:sz w:val="22"/>
          <w:szCs w:val="22"/>
          <w:lang w:val="en-US"/>
        </w:rPr>
      </w:pPr>
      <w:r w:rsidRPr="00057829">
        <w:rPr>
          <w:rFonts w:ascii="Arial" w:hAnsi="Arial" w:cs="Arial"/>
          <w:sz w:val="22"/>
          <w:lang w:val="en-US"/>
        </w:rPr>
        <w:t xml:space="preserve">Evaluation of MRD during or </w:t>
      </w:r>
      <w:r w:rsidRPr="00057829">
        <w:rPr>
          <w:rFonts w:ascii="Arial" w:hAnsi="Arial" w:cs="Arial"/>
          <w:sz w:val="22"/>
          <w:lang w:val="en-US"/>
        </w:rPr>
        <w:t>after AML therapy is of growing importance as it allows dynamic and personalized risk stratification.</w:t>
      </w:r>
      <w:r w:rsidRPr="00057829">
        <w:rPr>
          <w:rFonts w:ascii="Arial" w:hAnsi="Arial" w:cs="Arial"/>
          <w:sz w:val="22"/>
          <w:vertAlign w:val="superscript"/>
          <w:lang w:val="en-US"/>
        </w:rPr>
        <w:t>2</w:t>
      </w:r>
      <w:r w:rsidRPr="00057829">
        <w:rPr>
          <w:rFonts w:ascii="Arial" w:hAnsi="Arial" w:cs="Arial"/>
          <w:sz w:val="22"/>
          <w:lang w:val="en-US"/>
        </w:rPr>
        <w:t xml:space="preserve"> Thus, MRD assessment in AML patients is increasingly integrated in clinical trials and daily routine.</w:t>
      </w:r>
      <w:r w:rsidRPr="00057829">
        <w:rPr>
          <w:rFonts w:ascii="Arial" w:hAnsi="Arial" w:cs="Arial"/>
          <w:sz w:val="22"/>
          <w:vertAlign w:val="superscript"/>
          <w:lang w:val="en-US"/>
        </w:rPr>
        <w:t>3,4,29</w:t>
      </w:r>
      <w:r w:rsidRPr="00057829">
        <w:rPr>
          <w:rFonts w:ascii="Arial" w:hAnsi="Arial" w:cs="Arial"/>
          <w:sz w:val="22"/>
          <w:lang w:val="en-US"/>
        </w:rPr>
        <w:t xml:space="preserve"> However, </w:t>
      </w:r>
      <w:r w:rsidRPr="00057829">
        <w:rPr>
          <w:rFonts w:ascii="Arial" w:hAnsi="Arial" w:cs="Arial"/>
          <w:sz w:val="22"/>
          <w:szCs w:val="22"/>
          <w:lang w:val="en-US"/>
        </w:rPr>
        <w:t>AML relapse might be mediated by clo</w:t>
      </w:r>
      <w:r w:rsidRPr="00057829">
        <w:rPr>
          <w:rFonts w:ascii="Arial" w:hAnsi="Arial" w:cs="Arial"/>
          <w:sz w:val="22"/>
          <w:szCs w:val="22"/>
          <w:lang w:val="en-US"/>
        </w:rPr>
        <w:t>nes that gained additional mutations or subclones genetically distinct to the AML clone that caused the initial leukemia.</w:t>
      </w:r>
      <w:r w:rsidRPr="00057829">
        <w:rPr>
          <w:rFonts w:ascii="Arial" w:hAnsi="Arial" w:cs="Arial"/>
          <w:sz w:val="22"/>
          <w:vertAlign w:val="superscript"/>
          <w:lang w:val="en-US"/>
        </w:rPr>
        <w:t>1,3,10</w:t>
      </w:r>
      <w:r w:rsidRPr="00057829">
        <w:rPr>
          <w:rFonts w:ascii="Arial" w:hAnsi="Arial" w:cs="Arial"/>
          <w:sz w:val="22"/>
          <w:szCs w:val="22"/>
          <w:lang w:val="en-US"/>
        </w:rPr>
        <w:t xml:space="preserve"> Consequently, evaluation of more than one MRD marker might help to improve risk-adapted treatment.</w:t>
      </w:r>
    </w:p>
    <w:p w:rsidR="000730CE" w:rsidRPr="00057829" w:rsidRDefault="00141A43">
      <w:pPr>
        <w:widowControl w:val="0"/>
        <w:spacing w:line="480" w:lineRule="auto"/>
        <w:jc w:val="both"/>
        <w:rPr>
          <w:rFonts w:ascii="Arial" w:hAnsi="Arial" w:cs="Arial"/>
          <w:sz w:val="22"/>
          <w:szCs w:val="22"/>
          <w:lang w:val="en-US"/>
        </w:rPr>
      </w:pPr>
      <w:r w:rsidRPr="00057829">
        <w:rPr>
          <w:rFonts w:ascii="Arial" w:hAnsi="Arial" w:cs="Arial"/>
          <w:sz w:val="22"/>
          <w:szCs w:val="22"/>
          <w:lang w:val="en-US"/>
        </w:rPr>
        <w:t xml:space="preserve">The transcription factor MN1 </w:t>
      </w:r>
      <w:r w:rsidRPr="00057829">
        <w:rPr>
          <w:rFonts w:ascii="Arial" w:hAnsi="Arial" w:cs="Arial"/>
          <w:sz w:val="22"/>
          <w:szCs w:val="22"/>
          <w:lang w:val="en-US"/>
        </w:rPr>
        <w:t>was first described in the rare t(12;22)(p13;q11) AML as fusion partner of TEL resulting in a fusion protein with oncogenic potential.</w:t>
      </w:r>
      <w:r w:rsidRPr="00057829">
        <w:rPr>
          <w:rFonts w:ascii="Arial" w:hAnsi="Arial" w:cs="Arial"/>
          <w:sz w:val="22"/>
          <w:szCs w:val="22"/>
          <w:vertAlign w:val="superscript"/>
          <w:lang w:val="en-US"/>
        </w:rPr>
        <w:t xml:space="preserve">30 </w:t>
      </w:r>
      <w:r w:rsidRPr="00057829">
        <w:rPr>
          <w:rFonts w:ascii="Arial" w:hAnsi="Arial" w:cs="Arial"/>
          <w:i/>
          <w:sz w:val="22"/>
          <w:szCs w:val="22"/>
          <w:lang w:val="en-US"/>
        </w:rPr>
        <w:t>MN1</w:t>
      </w:r>
      <w:r w:rsidRPr="00057829">
        <w:rPr>
          <w:rFonts w:ascii="Arial" w:hAnsi="Arial" w:cs="Arial"/>
          <w:sz w:val="22"/>
          <w:szCs w:val="22"/>
          <w:lang w:val="en-US"/>
        </w:rPr>
        <w:t xml:space="preserve"> is overexpressed in AML with inv(16)(p13q22),</w:t>
      </w:r>
      <w:r w:rsidRPr="00057829">
        <w:rPr>
          <w:rFonts w:ascii="Arial" w:hAnsi="Arial" w:cs="Arial"/>
          <w:sz w:val="22"/>
          <w:szCs w:val="22"/>
          <w:vertAlign w:val="superscript"/>
          <w:lang w:val="en-US"/>
        </w:rPr>
        <w:t>18,22,31</w:t>
      </w:r>
      <w:r w:rsidRPr="00057829">
        <w:rPr>
          <w:rFonts w:ascii="Arial" w:hAnsi="Arial" w:cs="Arial"/>
          <w:sz w:val="22"/>
          <w:szCs w:val="22"/>
          <w:lang w:val="en-US"/>
        </w:rPr>
        <w:t xml:space="preserve"> high </w:t>
      </w:r>
      <w:r w:rsidRPr="00057829">
        <w:rPr>
          <w:rFonts w:ascii="Arial" w:hAnsi="Arial" w:cs="Arial"/>
          <w:i/>
          <w:sz w:val="22"/>
          <w:szCs w:val="22"/>
          <w:lang w:val="en-US"/>
        </w:rPr>
        <w:t>EVI1</w:t>
      </w:r>
      <w:r w:rsidRPr="00057829">
        <w:rPr>
          <w:rFonts w:ascii="Arial" w:hAnsi="Arial" w:cs="Arial"/>
          <w:sz w:val="22"/>
          <w:szCs w:val="22"/>
          <w:lang w:val="en-US"/>
        </w:rPr>
        <w:t xml:space="preserve"> expression</w:t>
      </w:r>
      <w:r w:rsidRPr="00057829">
        <w:rPr>
          <w:rFonts w:ascii="Arial" w:hAnsi="Arial" w:cs="Arial"/>
          <w:sz w:val="22"/>
          <w:szCs w:val="22"/>
          <w:vertAlign w:val="superscript"/>
          <w:lang w:val="en-US"/>
        </w:rPr>
        <w:t>31</w:t>
      </w:r>
      <w:r w:rsidRPr="00057829">
        <w:rPr>
          <w:rFonts w:ascii="Arial" w:hAnsi="Arial" w:cs="Arial"/>
          <w:sz w:val="22"/>
          <w:szCs w:val="22"/>
          <w:lang w:val="en-US"/>
        </w:rPr>
        <w:t xml:space="preserve"> and some cases with normal karyotype.</w:t>
      </w:r>
      <w:r w:rsidRPr="00057829">
        <w:rPr>
          <w:rFonts w:ascii="Arial" w:hAnsi="Arial" w:cs="Arial"/>
          <w:sz w:val="22"/>
          <w:szCs w:val="22"/>
          <w:vertAlign w:val="superscript"/>
          <w:lang w:val="en-US"/>
        </w:rPr>
        <w:t>17,22</w:t>
      </w:r>
      <w:r w:rsidRPr="00057829">
        <w:rPr>
          <w:rFonts w:ascii="Arial" w:hAnsi="Arial" w:cs="Arial"/>
          <w:sz w:val="22"/>
          <w:szCs w:val="22"/>
          <w:lang w:val="en-US"/>
        </w:rPr>
        <w:t xml:space="preserve"> In the latter, a strong association of high </w:t>
      </w:r>
      <w:r w:rsidRPr="00057829">
        <w:rPr>
          <w:rFonts w:ascii="Arial" w:hAnsi="Arial" w:cs="Arial"/>
          <w:i/>
          <w:sz w:val="22"/>
          <w:szCs w:val="22"/>
          <w:lang w:val="en-US"/>
        </w:rPr>
        <w:t>MN1</w:t>
      </w:r>
      <w:r w:rsidRPr="00057829">
        <w:rPr>
          <w:rFonts w:ascii="Arial" w:hAnsi="Arial" w:cs="Arial"/>
          <w:sz w:val="22"/>
          <w:szCs w:val="22"/>
          <w:lang w:val="en-US"/>
        </w:rPr>
        <w:t xml:space="preserve"> expression at diagnosis with adverse outcomes in younger and older AML patients was described.</w:t>
      </w:r>
      <w:r w:rsidRPr="00057829">
        <w:rPr>
          <w:rFonts w:ascii="Arial" w:hAnsi="Arial" w:cs="Arial"/>
          <w:sz w:val="22"/>
          <w:vertAlign w:val="superscript"/>
          <w:lang w:val="en-US"/>
        </w:rPr>
        <w:t xml:space="preserve">17,20,21 </w:t>
      </w:r>
      <w:r w:rsidRPr="00057829">
        <w:rPr>
          <w:rFonts w:ascii="Arial" w:hAnsi="Arial" w:cs="Arial"/>
          <w:sz w:val="22"/>
          <w:lang w:val="en-US"/>
        </w:rPr>
        <w:t xml:space="preserve">In contrast, low </w:t>
      </w:r>
      <w:r w:rsidRPr="00057829">
        <w:rPr>
          <w:rFonts w:ascii="Arial" w:hAnsi="Arial" w:cs="Arial"/>
          <w:i/>
          <w:sz w:val="22"/>
          <w:lang w:val="en-US"/>
        </w:rPr>
        <w:t xml:space="preserve">MN1 </w:t>
      </w:r>
      <w:r w:rsidRPr="00057829">
        <w:rPr>
          <w:rFonts w:ascii="Arial" w:hAnsi="Arial" w:cs="Arial"/>
          <w:sz w:val="22"/>
          <w:lang w:val="en-US"/>
        </w:rPr>
        <w:t>expression levels were found in the bone marrow and peripheral blood of health</w:t>
      </w:r>
      <w:r w:rsidRPr="00057829">
        <w:rPr>
          <w:rFonts w:ascii="Arial" w:hAnsi="Arial" w:cs="Arial"/>
          <w:sz w:val="22"/>
          <w:lang w:val="en-US"/>
        </w:rPr>
        <w:t>y individuals.</w:t>
      </w:r>
      <w:r w:rsidRPr="00057829">
        <w:rPr>
          <w:rFonts w:ascii="Arial" w:hAnsi="Arial" w:cs="Arial"/>
          <w:sz w:val="22"/>
          <w:szCs w:val="22"/>
          <w:vertAlign w:val="superscript"/>
          <w:lang w:val="en-US"/>
        </w:rPr>
        <w:t>22</w:t>
      </w:r>
      <w:r w:rsidRPr="00057829">
        <w:rPr>
          <w:rFonts w:ascii="Arial" w:hAnsi="Arial" w:cs="Arial"/>
          <w:sz w:val="22"/>
          <w:lang w:val="en-US"/>
        </w:rPr>
        <w:t xml:space="preserve"> Assessing </w:t>
      </w:r>
      <w:r w:rsidRPr="00057829">
        <w:rPr>
          <w:rFonts w:ascii="Arial" w:hAnsi="Arial" w:cs="Arial"/>
          <w:i/>
          <w:sz w:val="22"/>
          <w:lang w:val="en-US"/>
        </w:rPr>
        <w:t>MN1</w:t>
      </w:r>
      <w:r w:rsidRPr="00057829">
        <w:rPr>
          <w:rFonts w:ascii="Arial" w:hAnsi="Arial" w:cs="Arial"/>
          <w:sz w:val="22"/>
          <w:lang w:val="en-US"/>
        </w:rPr>
        <w:t xml:space="preserve"> expression as a potential MRD marker, Carturan </w:t>
      </w:r>
      <w:r w:rsidRPr="00057829">
        <w:rPr>
          <w:rFonts w:ascii="Arial" w:hAnsi="Arial" w:cs="Arial"/>
          <w:i/>
          <w:sz w:val="22"/>
          <w:lang w:val="en-US"/>
        </w:rPr>
        <w:t>et al</w:t>
      </w:r>
      <w:r w:rsidRPr="00057829">
        <w:rPr>
          <w:rFonts w:ascii="Arial" w:hAnsi="Arial" w:cs="Arial"/>
          <w:sz w:val="22"/>
          <w:lang w:val="en-US"/>
        </w:rPr>
        <w:t>.</w:t>
      </w:r>
      <w:r w:rsidRPr="00057829">
        <w:rPr>
          <w:rFonts w:ascii="Arial" w:hAnsi="Arial" w:cs="Arial"/>
          <w:sz w:val="22"/>
          <w:szCs w:val="22"/>
          <w:vertAlign w:val="superscript"/>
          <w:lang w:val="en-US"/>
        </w:rPr>
        <w:t>22</w:t>
      </w:r>
      <w:r w:rsidRPr="00057829">
        <w:rPr>
          <w:rFonts w:ascii="Arial" w:hAnsi="Arial" w:cs="Arial"/>
          <w:sz w:val="22"/>
          <w:lang w:val="en-US"/>
        </w:rPr>
        <w:t xml:space="preserve"> demonstrated </w:t>
      </w:r>
      <w:r w:rsidRPr="00057829">
        <w:rPr>
          <w:rFonts w:ascii="Arial" w:hAnsi="Arial" w:cs="Arial"/>
          <w:i/>
          <w:sz w:val="22"/>
          <w:lang w:val="en-US"/>
        </w:rPr>
        <w:t>MN1</w:t>
      </w:r>
      <w:r w:rsidRPr="00057829">
        <w:rPr>
          <w:rFonts w:ascii="Arial" w:hAnsi="Arial" w:cs="Arial"/>
          <w:sz w:val="22"/>
          <w:lang w:val="en-US"/>
        </w:rPr>
        <w:t xml:space="preserve"> expression to be parallel to simultaneously evaluated fusion gene transcript levels.</w:t>
      </w:r>
      <w:r w:rsidRPr="00057829">
        <w:rPr>
          <w:rFonts w:ascii="Arial" w:hAnsi="Arial" w:cs="Arial"/>
          <w:sz w:val="22"/>
          <w:szCs w:val="22"/>
          <w:vertAlign w:val="superscript"/>
          <w:lang w:val="en-US"/>
        </w:rPr>
        <w:t xml:space="preserve"> </w:t>
      </w:r>
      <w:r w:rsidRPr="00057829">
        <w:rPr>
          <w:rFonts w:ascii="Arial" w:hAnsi="Arial" w:cs="Arial"/>
          <w:sz w:val="22"/>
          <w:lang w:val="en-US"/>
        </w:rPr>
        <w:t xml:space="preserve">However, the feasibility of </w:t>
      </w:r>
      <w:r w:rsidRPr="00057829">
        <w:rPr>
          <w:rFonts w:ascii="Arial" w:hAnsi="Arial" w:cs="Arial"/>
          <w:i/>
          <w:sz w:val="22"/>
          <w:lang w:val="en-US"/>
        </w:rPr>
        <w:t xml:space="preserve">MN1 </w:t>
      </w:r>
      <w:r w:rsidRPr="00057829">
        <w:rPr>
          <w:rFonts w:ascii="Arial" w:hAnsi="Arial" w:cs="Arial"/>
          <w:sz w:val="22"/>
          <w:lang w:val="en-US"/>
        </w:rPr>
        <w:t>copy number measurement for MRD ass</w:t>
      </w:r>
      <w:r w:rsidRPr="00057829">
        <w:rPr>
          <w:rFonts w:ascii="Arial" w:hAnsi="Arial" w:cs="Arial"/>
          <w:sz w:val="22"/>
          <w:lang w:val="en-US"/>
        </w:rPr>
        <w:t xml:space="preserve">essment in morphologic CR in a larger AML patient cohort has not been evaluated. In this study we retrospectively analyzed peripheral blood of AML patients in hematologic CR prior to allogeneic HSCT for consolidation therapy. Using ddPCR, absolute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copy numbers were assessed in all patients and a healthy control cohort. The determined optimal cut-off to differentiate between patients with high or low pre-HSCT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copy numbers was also higher than the two-fold standard deviation over the median </w:t>
      </w:r>
      <w:r w:rsidRPr="00057829">
        <w:rPr>
          <w:rFonts w:ascii="Arial" w:hAnsi="Arial" w:cs="Arial"/>
          <w:sz w:val="22"/>
          <w:lang w:val="en-US"/>
        </w:rPr>
        <w:t xml:space="preserve">of the healthy control cohort, allowing a reliable distinction to a physiological </w:t>
      </w:r>
      <w:r w:rsidRPr="00057829">
        <w:rPr>
          <w:rFonts w:ascii="Arial" w:hAnsi="Arial" w:cs="Arial"/>
          <w:i/>
          <w:sz w:val="22"/>
          <w:lang w:val="en-US"/>
        </w:rPr>
        <w:t>MN1</w:t>
      </w:r>
      <w:r w:rsidRPr="00057829">
        <w:rPr>
          <w:rFonts w:ascii="Arial" w:hAnsi="Arial" w:cs="Arial"/>
          <w:sz w:val="22"/>
          <w:lang w:val="en-US"/>
        </w:rPr>
        <w:t xml:space="preserve"> expression background.</w:t>
      </w:r>
      <w:r w:rsidRPr="00057829">
        <w:rPr>
          <w:rFonts w:ascii="Arial" w:hAnsi="Arial" w:cs="Arial"/>
          <w:sz w:val="22"/>
          <w:szCs w:val="22"/>
          <w:lang w:val="en-US"/>
        </w:rPr>
        <w:t xml:space="preserve"> While we observed no differences in pre-HSCT clinical characteristics such as numbers of chemotherapy cycles or remission status (</w:t>
      </w:r>
      <w:r w:rsidRPr="00057829">
        <w:rPr>
          <w:rFonts w:ascii="Arial" w:hAnsi="Arial" w:cs="Arial"/>
          <w:sz w:val="22"/>
          <w:szCs w:val="22"/>
          <w:u w:val="single"/>
          <w:lang w:val="en-US"/>
        </w:rPr>
        <w:t>Table 1,</w:t>
      </w:r>
      <w:r w:rsidRPr="00057829">
        <w:rPr>
          <w:rFonts w:ascii="Arial" w:hAnsi="Arial" w:cs="Arial"/>
          <w:sz w:val="22"/>
          <w:szCs w:val="22"/>
          <w:lang w:val="en-US"/>
        </w:rPr>
        <w:t xml:space="preserve"> </w:t>
      </w:r>
      <w:r w:rsidRPr="00057829">
        <w:rPr>
          <w:rFonts w:ascii="Arial" w:hAnsi="Arial" w:cs="Arial"/>
          <w:sz w:val="22"/>
          <w:szCs w:val="22"/>
          <w:lang w:val="en-US"/>
        </w:rPr>
        <w:t>Suppleme</w:t>
      </w:r>
      <w:r w:rsidRPr="00057829">
        <w:rPr>
          <w:rFonts w:ascii="Arial" w:hAnsi="Arial" w:cs="Arial"/>
          <w:sz w:val="22"/>
          <w:szCs w:val="22"/>
          <w:lang w:val="en-US"/>
        </w:rPr>
        <w:t xml:space="preserve">ntary Table S1) </w:t>
      </w:r>
      <w:r w:rsidRPr="00057829">
        <w:rPr>
          <w:rFonts w:ascii="Arial" w:hAnsi="Arial" w:cs="Arial"/>
          <w:sz w:val="22"/>
          <w:szCs w:val="22"/>
          <w:u w:val="single"/>
          <w:lang w:val="en-US"/>
        </w:rPr>
        <w:t>which matches the literature on other MRD markers,</w:t>
      </w:r>
      <w:r w:rsidRPr="00057829">
        <w:rPr>
          <w:rFonts w:ascii="Arial" w:hAnsi="Arial" w:cs="Arial"/>
          <w:sz w:val="22"/>
          <w:szCs w:val="22"/>
          <w:u w:val="single"/>
          <w:vertAlign w:val="superscript"/>
          <w:lang w:val="en-US"/>
        </w:rPr>
        <w:t>8,14</w:t>
      </w:r>
      <w:r w:rsidRPr="00057829">
        <w:rPr>
          <w:rFonts w:ascii="Arial" w:hAnsi="Arial" w:cs="Arial"/>
          <w:sz w:val="22"/>
          <w:szCs w:val="22"/>
          <w:lang w:val="en-US"/>
        </w:rPr>
        <w:t xml:space="preserve"> patients with high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had a significantly higher risk of relapse compared to patients with low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w:t>
      </w:r>
      <w:r w:rsidRPr="00057829">
        <w:rPr>
          <w:rFonts w:ascii="Arial" w:hAnsi="Arial" w:cs="Arial"/>
          <w:i/>
          <w:sz w:val="22"/>
          <w:szCs w:val="22"/>
          <w:lang w:val="en-US"/>
        </w:rPr>
        <w:t>P</w:t>
      </w:r>
      <w:r w:rsidRPr="00057829">
        <w:rPr>
          <w:rFonts w:ascii="Arial" w:hAnsi="Arial" w:cs="Arial"/>
          <w:sz w:val="22"/>
          <w:szCs w:val="22"/>
          <w:lang w:val="en-US"/>
        </w:rPr>
        <w:t xml:space="preserve">=.002, Figure 3A). Despite a separation of the OS curves OS </w:t>
      </w:r>
      <w:r w:rsidRPr="00057829">
        <w:rPr>
          <w:rFonts w:ascii="Arial" w:hAnsi="Arial" w:cs="Arial"/>
          <w:sz w:val="22"/>
          <w:szCs w:val="22"/>
          <w:lang w:val="en-US"/>
        </w:rPr>
        <w:lastRenderedPageBreak/>
        <w:t xml:space="preserve">was not significantly different according to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 status, likely due to the restricted patient number in our study.</w:t>
      </w:r>
      <w:r w:rsidRPr="00057829">
        <w:rPr>
          <w:rStyle w:val="CommentReference"/>
          <w:lang w:val="en-US"/>
        </w:rPr>
        <w:t xml:space="preserve"> </w:t>
      </w:r>
    </w:p>
    <w:p w:rsidR="000730CE" w:rsidRPr="00057829" w:rsidRDefault="00141A43">
      <w:pPr>
        <w:widowControl w:val="0"/>
        <w:spacing w:line="480" w:lineRule="auto"/>
        <w:jc w:val="both"/>
        <w:rPr>
          <w:rFonts w:ascii="Arial" w:hAnsi="Arial" w:cs="Arial"/>
          <w:sz w:val="22"/>
          <w:lang w:val="en-US"/>
        </w:rPr>
      </w:pPr>
      <w:r w:rsidRPr="00057829">
        <w:rPr>
          <w:rFonts w:ascii="Arial" w:hAnsi="Arial" w:cs="Arial"/>
          <w:sz w:val="22"/>
          <w:szCs w:val="22"/>
          <w:lang w:val="en-US"/>
        </w:rPr>
        <w:t>In multivariable analysis, the impact of high pre-HSCT</w:t>
      </w:r>
      <w:r w:rsidRPr="00057829">
        <w:rPr>
          <w:rFonts w:ascii="Arial" w:hAnsi="Arial" w:cs="Arial"/>
          <w:sz w:val="22"/>
          <w:szCs w:val="22"/>
          <w:lang w:val="en-US"/>
        </w:rPr>
        <w:t xml:space="preserve">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on relapse was shown to be independent from other known risk factors in AML (Table 2). We also observed that the time from HSCT to relapse was significantly shorter in relapsing patients with high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than </w:t>
      </w:r>
      <w:r w:rsidRPr="00057829">
        <w:rPr>
          <w:rFonts w:ascii="Arial" w:hAnsi="Arial" w:cs="Arial"/>
          <w:sz w:val="22"/>
          <w:szCs w:val="22"/>
          <w:lang w:val="en-US"/>
        </w:rPr>
        <w:t xml:space="preserve">in patients with low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w:t>
      </w:r>
      <w:r w:rsidRPr="00057829">
        <w:rPr>
          <w:rFonts w:ascii="Arial" w:hAnsi="Arial" w:cs="Arial"/>
          <w:i/>
          <w:sz w:val="22"/>
          <w:szCs w:val="22"/>
          <w:lang w:val="en-US"/>
        </w:rPr>
        <w:t>P</w:t>
      </w:r>
      <w:r w:rsidRPr="00057829">
        <w:rPr>
          <w:rFonts w:ascii="Arial" w:hAnsi="Arial" w:cs="Arial"/>
          <w:sz w:val="22"/>
          <w:szCs w:val="22"/>
          <w:lang w:val="en-US"/>
        </w:rPr>
        <w:t xml:space="preserve">=.03, Figure 2). In patients with high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we evaluated if increasing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also associated with a higher relapse risk. Patients with the topmost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(&gt;0.87) also had the highest risk of suffering relapse after HSCT (</w:t>
      </w:r>
      <w:r w:rsidRPr="00057829">
        <w:rPr>
          <w:rFonts w:ascii="Arial" w:hAnsi="Arial" w:cs="Arial"/>
          <w:i/>
          <w:sz w:val="22"/>
          <w:szCs w:val="22"/>
          <w:lang w:val="en-US"/>
        </w:rPr>
        <w:t>P</w:t>
      </w:r>
      <w:r w:rsidRPr="00057829">
        <w:rPr>
          <w:rFonts w:ascii="Arial" w:hAnsi="Arial" w:cs="Arial"/>
          <w:sz w:val="22"/>
          <w:szCs w:val="22"/>
          <w:lang w:val="en-US"/>
        </w:rPr>
        <w:t xml:space="preserve">&lt;.001, Figure 3C): one year after HSCT, in patients with the topmost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CIR was 71% compared to 41% in patients with higher (0.30 – 0.87) and </w:t>
      </w:r>
      <w:r w:rsidRPr="00057829">
        <w:rPr>
          <w:rFonts w:ascii="Arial" w:hAnsi="Arial" w:cs="Arial"/>
          <w:sz w:val="22"/>
          <w:szCs w:val="22"/>
          <w:lang w:val="en-US"/>
        </w:rPr>
        <w:t xml:space="preserve">only 27% in patients with low (&lt;0.30)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Again, despite no significant differences in OS, a separation of the OS curves was observed according to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using both cut-offs (Figure 3D). We conclude that </w:t>
      </w:r>
      <w:r w:rsidRPr="00057829">
        <w:rPr>
          <w:rFonts w:ascii="Arial" w:hAnsi="Arial" w:cs="Arial"/>
          <w:sz w:val="22"/>
          <w:szCs w:val="22"/>
          <w:lang w:val="en-US"/>
        </w:rPr>
        <w:t xml:space="preserve">not only a “higher than normal” </w:t>
      </w:r>
      <w:r w:rsidRPr="00057829">
        <w:rPr>
          <w:rFonts w:ascii="Arial" w:hAnsi="Arial" w:cs="Arial"/>
          <w:i/>
          <w:sz w:val="22"/>
          <w:szCs w:val="22"/>
          <w:lang w:val="en-US"/>
        </w:rPr>
        <w:t>MN1</w:t>
      </w:r>
      <w:r w:rsidRPr="00057829">
        <w:rPr>
          <w:rFonts w:ascii="Arial" w:hAnsi="Arial" w:cs="Arial"/>
          <w:sz w:val="22"/>
          <w:szCs w:val="22"/>
          <w:lang w:val="en-US"/>
        </w:rPr>
        <w:t xml:space="preserve"> copy number correlates with a higher relapse risk but that the absolute amount of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may also provide additional prognostic information. A correlation of higher MRD levels with higher relapse risk have</w:t>
      </w:r>
      <w:r w:rsidRPr="00057829">
        <w:rPr>
          <w:rFonts w:ascii="Arial" w:hAnsi="Arial" w:cs="Arial"/>
          <w:sz w:val="22"/>
          <w:szCs w:val="22"/>
          <w:lang w:val="en-US"/>
        </w:rPr>
        <w:t xml:space="preserve"> also recently been described for MFC MRD assessment.</w:t>
      </w:r>
      <w:r w:rsidRPr="00057829">
        <w:rPr>
          <w:rFonts w:ascii="Arial" w:hAnsi="Arial" w:cs="Arial"/>
          <w:sz w:val="22"/>
          <w:szCs w:val="22"/>
          <w:vertAlign w:val="superscript"/>
          <w:lang w:val="en-US"/>
        </w:rPr>
        <w:t>32</w:t>
      </w:r>
    </w:p>
    <w:p w:rsidR="000730CE" w:rsidRPr="00057829" w:rsidRDefault="00141A43">
      <w:pPr>
        <w:widowControl w:val="0"/>
        <w:spacing w:line="480" w:lineRule="auto"/>
        <w:jc w:val="both"/>
        <w:rPr>
          <w:rFonts w:ascii="Arial" w:hAnsi="Arial" w:cs="Arial"/>
          <w:sz w:val="22"/>
          <w:szCs w:val="22"/>
          <w:lang w:val="en-US"/>
        </w:rPr>
      </w:pPr>
      <w:r w:rsidRPr="00057829">
        <w:rPr>
          <w:rFonts w:ascii="Arial" w:hAnsi="Arial" w:cs="Arial"/>
          <w:sz w:val="22"/>
          <w:szCs w:val="22"/>
          <w:lang w:val="en-US"/>
        </w:rPr>
        <w:t xml:space="preserve">Carturan </w:t>
      </w:r>
      <w:r w:rsidRPr="00057829">
        <w:rPr>
          <w:rFonts w:ascii="Arial" w:hAnsi="Arial" w:cs="Arial"/>
          <w:i/>
          <w:sz w:val="22"/>
          <w:szCs w:val="22"/>
          <w:lang w:val="en-US"/>
        </w:rPr>
        <w:t>et al</w:t>
      </w:r>
      <w:r w:rsidRPr="00057829">
        <w:rPr>
          <w:rFonts w:ascii="Arial" w:hAnsi="Arial" w:cs="Arial"/>
          <w:sz w:val="22"/>
          <w:szCs w:val="22"/>
          <w:lang w:val="en-US"/>
        </w:rPr>
        <w:t>.</w:t>
      </w:r>
      <w:r w:rsidRPr="00057829">
        <w:rPr>
          <w:rFonts w:ascii="Arial" w:hAnsi="Arial" w:cs="Arial"/>
          <w:sz w:val="22"/>
          <w:szCs w:val="22"/>
          <w:vertAlign w:val="superscript"/>
          <w:lang w:val="en-US"/>
        </w:rPr>
        <w:t>22</w:t>
      </w:r>
      <w:r w:rsidRPr="00057829">
        <w:rPr>
          <w:rFonts w:ascii="Arial" w:hAnsi="Arial" w:cs="Arial"/>
          <w:sz w:val="22"/>
          <w:szCs w:val="22"/>
          <w:lang w:val="en-US"/>
        </w:rPr>
        <w:t xml:space="preserve"> suggested </w:t>
      </w:r>
      <w:r w:rsidRPr="00057829">
        <w:rPr>
          <w:rFonts w:ascii="Arial" w:hAnsi="Arial" w:cs="Arial"/>
          <w:i/>
          <w:sz w:val="22"/>
          <w:szCs w:val="22"/>
          <w:lang w:val="en-US"/>
        </w:rPr>
        <w:t>MN1</w:t>
      </w:r>
      <w:r w:rsidRPr="00057829">
        <w:rPr>
          <w:rFonts w:ascii="Arial" w:hAnsi="Arial" w:cs="Arial"/>
          <w:sz w:val="22"/>
          <w:szCs w:val="22"/>
          <w:lang w:val="en-US"/>
        </w:rPr>
        <w:t xml:space="preserve"> as a possible MRD marker with particular benefit in 45% of AML cases lacking other suitable genetic MRD markers. It remains to be investigated for which subset of AML p</w:t>
      </w:r>
      <w:r w:rsidRPr="00057829">
        <w:rPr>
          <w:rFonts w:ascii="Arial" w:hAnsi="Arial" w:cs="Arial"/>
          <w:sz w:val="22"/>
          <w:szCs w:val="22"/>
          <w:lang w:val="en-US"/>
        </w:rPr>
        <w:t xml:space="preserve">atients </w:t>
      </w:r>
      <w:r w:rsidRPr="00057829">
        <w:rPr>
          <w:rFonts w:ascii="Arial" w:hAnsi="Arial" w:cs="Arial"/>
          <w:i/>
          <w:sz w:val="22"/>
          <w:szCs w:val="22"/>
          <w:lang w:val="en-US"/>
        </w:rPr>
        <w:t xml:space="preserve">MN1 </w:t>
      </w:r>
      <w:r w:rsidRPr="00057829">
        <w:rPr>
          <w:rFonts w:ascii="Arial" w:hAnsi="Arial" w:cs="Arial"/>
          <w:sz w:val="22"/>
          <w:szCs w:val="22"/>
          <w:lang w:val="en-US"/>
        </w:rPr>
        <w:t xml:space="preserve">copy number analysis for MRD detection will be most informative. In our study, subgroup analyses of patients with normal karyotype (Supplementary Figures S2) or </w:t>
      </w:r>
      <w:r w:rsidRPr="00057829">
        <w:rPr>
          <w:rFonts w:ascii="Arial" w:hAnsi="Arial" w:cs="Arial"/>
          <w:i/>
          <w:sz w:val="22"/>
          <w:szCs w:val="22"/>
          <w:lang w:val="en-US"/>
        </w:rPr>
        <w:t>de novo</w:t>
      </w:r>
      <w:r w:rsidRPr="00057829">
        <w:rPr>
          <w:rFonts w:ascii="Arial" w:hAnsi="Arial" w:cs="Arial"/>
          <w:sz w:val="22"/>
          <w:szCs w:val="22"/>
          <w:lang w:val="en-US"/>
        </w:rPr>
        <w:t xml:space="preserve"> disease (Supplementary Figure S3) showed resembling impact on outcome as in</w:t>
      </w:r>
      <w:r w:rsidRPr="00057829">
        <w:rPr>
          <w:rFonts w:ascii="Arial" w:hAnsi="Arial" w:cs="Arial"/>
          <w:sz w:val="22"/>
          <w:szCs w:val="22"/>
          <w:lang w:val="en-US"/>
        </w:rPr>
        <w:t xml:space="preserve"> the whole cohort. In previous reports high </w:t>
      </w:r>
      <w:r w:rsidRPr="00057829">
        <w:rPr>
          <w:rFonts w:ascii="Arial" w:hAnsi="Arial" w:cs="Arial"/>
          <w:i/>
          <w:sz w:val="22"/>
          <w:szCs w:val="22"/>
          <w:lang w:val="en-US"/>
        </w:rPr>
        <w:t>MN1</w:t>
      </w:r>
      <w:r w:rsidRPr="00057829">
        <w:rPr>
          <w:rFonts w:ascii="Arial" w:hAnsi="Arial" w:cs="Arial"/>
          <w:sz w:val="22"/>
          <w:szCs w:val="22"/>
          <w:lang w:val="en-US"/>
        </w:rPr>
        <w:t xml:space="preserve"> expression at diagnosis was linked to immature AML subtypes with higher CD34 expression.</w:t>
      </w:r>
      <w:r w:rsidRPr="00057829">
        <w:rPr>
          <w:rFonts w:ascii="Arial" w:hAnsi="Arial" w:cs="Arial"/>
          <w:sz w:val="22"/>
          <w:vertAlign w:val="superscript"/>
          <w:lang w:val="en-US"/>
        </w:rPr>
        <w:t>17,33</w:t>
      </w:r>
      <w:r w:rsidRPr="00057829">
        <w:rPr>
          <w:rFonts w:ascii="Arial" w:hAnsi="Arial" w:cs="Arial"/>
          <w:sz w:val="22"/>
          <w:szCs w:val="22"/>
          <w:lang w:val="en-US"/>
        </w:rPr>
        <w:t xml:space="preserve"> Thus, we investigated the possibility to predict relapse within the patient cohorts with CD34-positive AML (n=40) and CD34-negative AML (n=31) at diagnosis. Here, </w:t>
      </w:r>
      <w:r w:rsidRPr="00057829">
        <w:rPr>
          <w:rFonts w:ascii="Arial" w:hAnsi="Arial" w:cs="Arial"/>
          <w:sz w:val="22"/>
          <w:szCs w:val="22"/>
          <w:lang w:val="en-US"/>
        </w:rPr>
        <w:lastRenderedPageBreak/>
        <w:t xml:space="preserve">we observed a strong impact of high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on CIR in patients with C</w:t>
      </w:r>
      <w:r w:rsidRPr="00057829">
        <w:rPr>
          <w:rFonts w:ascii="Arial" w:hAnsi="Arial" w:cs="Arial"/>
          <w:sz w:val="22"/>
          <w:szCs w:val="22"/>
          <w:lang w:val="en-US"/>
        </w:rPr>
        <w:t>D34-positive AML (</w:t>
      </w:r>
      <w:r w:rsidRPr="00057829">
        <w:rPr>
          <w:rFonts w:ascii="Arial" w:hAnsi="Arial" w:cs="Arial"/>
          <w:i/>
          <w:sz w:val="22"/>
          <w:szCs w:val="22"/>
          <w:lang w:val="en-US"/>
        </w:rPr>
        <w:t>P</w:t>
      </w:r>
      <w:r w:rsidRPr="00057829">
        <w:rPr>
          <w:rFonts w:ascii="Arial" w:hAnsi="Arial" w:cs="Arial"/>
          <w:sz w:val="22"/>
          <w:szCs w:val="22"/>
          <w:lang w:val="en-US"/>
        </w:rPr>
        <w:t>=.001, Supplementary Figure 6A) while no impact was observed in patients with CD34-negative AML (</w:t>
      </w:r>
      <w:r w:rsidRPr="00057829">
        <w:rPr>
          <w:rFonts w:ascii="Arial" w:hAnsi="Arial" w:cs="Arial"/>
          <w:i/>
          <w:sz w:val="22"/>
          <w:szCs w:val="22"/>
          <w:lang w:val="en-US"/>
        </w:rPr>
        <w:t>P</w:t>
      </w:r>
      <w:r w:rsidRPr="00057829">
        <w:rPr>
          <w:rFonts w:ascii="Arial" w:hAnsi="Arial" w:cs="Arial"/>
          <w:sz w:val="22"/>
          <w:szCs w:val="22"/>
          <w:lang w:val="en-US"/>
        </w:rPr>
        <w:t xml:space="preserve">=.60, Supplementary Figure 6B). This suggests that evaluation of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might be of higher value in patients with a</w:t>
      </w:r>
      <w:r w:rsidRPr="00057829">
        <w:rPr>
          <w:rFonts w:ascii="Arial" w:hAnsi="Arial" w:cs="Arial"/>
          <w:sz w:val="22"/>
          <w:szCs w:val="22"/>
          <w:lang w:val="en-US"/>
        </w:rPr>
        <w:t xml:space="preserve">n immature CD34-positive AML phenotype. However, these subanalyses were restricted by limited patient numbers. </w:t>
      </w:r>
      <w:r w:rsidRPr="00057829">
        <w:rPr>
          <w:rFonts w:ascii="Arial" w:hAnsi="Arial" w:cs="Arial"/>
          <w:sz w:val="22"/>
          <w:szCs w:val="22"/>
          <w:u w:val="single"/>
          <w:lang w:val="en-US"/>
        </w:rPr>
        <w:t xml:space="preserve">Furthermore, </w:t>
      </w:r>
      <w:r w:rsidRPr="00057829">
        <w:rPr>
          <w:rFonts w:ascii="Arial" w:hAnsi="Arial" w:cs="Arial"/>
          <w:i/>
          <w:sz w:val="22"/>
          <w:szCs w:val="22"/>
          <w:u w:val="single"/>
          <w:lang w:val="en-US"/>
        </w:rPr>
        <w:t>NPM1</w:t>
      </w:r>
      <w:r w:rsidRPr="00057829">
        <w:rPr>
          <w:rFonts w:ascii="Arial" w:hAnsi="Arial" w:cs="Arial"/>
          <w:sz w:val="22"/>
          <w:szCs w:val="22"/>
          <w:u w:val="single"/>
          <w:lang w:val="en-US"/>
        </w:rPr>
        <w:t>-mutated AML was enriched in the CD34-negative cohort (53% of patients), which might explain low relapse rates and the missing p</w:t>
      </w:r>
      <w:r w:rsidRPr="00057829">
        <w:rPr>
          <w:rFonts w:ascii="Arial" w:hAnsi="Arial" w:cs="Arial"/>
          <w:sz w:val="22"/>
          <w:szCs w:val="22"/>
          <w:u w:val="single"/>
          <w:lang w:val="en-US"/>
        </w:rPr>
        <w:t xml:space="preserve">rognostic impact of pre-HSCT </w:t>
      </w:r>
      <w:r w:rsidRPr="00057829">
        <w:rPr>
          <w:rFonts w:ascii="Arial" w:hAnsi="Arial" w:cs="Arial"/>
          <w:i/>
          <w:sz w:val="22"/>
          <w:szCs w:val="22"/>
          <w:u w:val="single"/>
          <w:lang w:val="en-US"/>
        </w:rPr>
        <w:t>MN1</w:t>
      </w:r>
      <w:r w:rsidRPr="00057829">
        <w:rPr>
          <w:rFonts w:ascii="Arial" w:hAnsi="Arial" w:cs="Arial"/>
          <w:sz w:val="22"/>
          <w:szCs w:val="22"/>
          <w:u w:val="single"/>
          <w:lang w:val="en-US"/>
        </w:rPr>
        <w:t>/</w:t>
      </w:r>
      <w:r w:rsidRPr="00057829">
        <w:rPr>
          <w:rFonts w:ascii="Arial" w:hAnsi="Arial" w:cs="Arial"/>
          <w:i/>
          <w:sz w:val="22"/>
          <w:szCs w:val="22"/>
          <w:u w:val="single"/>
          <w:lang w:val="en-US"/>
        </w:rPr>
        <w:t>ABL1</w:t>
      </w:r>
      <w:r w:rsidRPr="00057829">
        <w:rPr>
          <w:rFonts w:ascii="Arial" w:hAnsi="Arial" w:cs="Arial"/>
          <w:sz w:val="22"/>
          <w:szCs w:val="22"/>
          <w:u w:val="single"/>
          <w:lang w:val="en-US"/>
        </w:rPr>
        <w:t xml:space="preserve"> copy numbers in these patients</w:t>
      </w:r>
      <w:r w:rsidRPr="00057829">
        <w:rPr>
          <w:rFonts w:ascii="Arial" w:hAnsi="Arial" w:cs="Arial"/>
          <w:sz w:val="22"/>
          <w:szCs w:val="22"/>
          <w:lang w:val="en-US"/>
        </w:rPr>
        <w:t xml:space="preserve">. Larger trials should evaluate for which subgroups of patients </w:t>
      </w:r>
      <w:r w:rsidRPr="00057829">
        <w:rPr>
          <w:rFonts w:ascii="Arial" w:hAnsi="Arial" w:cs="Arial"/>
          <w:i/>
          <w:sz w:val="22"/>
          <w:szCs w:val="22"/>
          <w:lang w:val="en-US"/>
        </w:rPr>
        <w:t>MN1</w:t>
      </w:r>
      <w:r w:rsidRPr="00057829">
        <w:rPr>
          <w:rFonts w:ascii="Arial" w:hAnsi="Arial" w:cs="Arial"/>
          <w:sz w:val="22"/>
          <w:szCs w:val="22"/>
          <w:lang w:val="en-US"/>
        </w:rPr>
        <w:t xml:space="preserve"> assessment in CR is of the highest prognostic significance.</w:t>
      </w:r>
    </w:p>
    <w:p w:rsidR="000730CE" w:rsidRPr="00057829" w:rsidRDefault="00141A43">
      <w:pPr>
        <w:widowControl w:val="0"/>
        <w:spacing w:line="480" w:lineRule="auto"/>
        <w:jc w:val="both"/>
        <w:rPr>
          <w:rFonts w:ascii="Arial" w:hAnsi="Arial" w:cs="Arial"/>
          <w:sz w:val="22"/>
          <w:szCs w:val="22"/>
          <w:u w:val="single"/>
          <w:lang w:val="en-US"/>
        </w:rPr>
      </w:pPr>
      <w:r w:rsidRPr="00057829">
        <w:rPr>
          <w:rFonts w:ascii="Arial" w:hAnsi="Arial" w:cs="Arial"/>
          <w:sz w:val="22"/>
          <w:lang w:val="en-US"/>
        </w:rPr>
        <w:t xml:space="preserve">As each MRD assay (PCR </w:t>
      </w:r>
      <w:r w:rsidRPr="00057829">
        <w:rPr>
          <w:rFonts w:ascii="Arial" w:hAnsi="Arial" w:cs="Arial"/>
          <w:i/>
          <w:sz w:val="22"/>
          <w:lang w:val="en-US"/>
        </w:rPr>
        <w:t>vs</w:t>
      </w:r>
      <w:r w:rsidRPr="00057829">
        <w:rPr>
          <w:rFonts w:ascii="Arial" w:hAnsi="Arial" w:cs="Arial"/>
          <w:sz w:val="22"/>
          <w:lang w:val="en-US"/>
        </w:rPr>
        <w:t xml:space="preserve">. MFC) and marker (fusion gene </w:t>
      </w:r>
      <w:r w:rsidRPr="00057829">
        <w:rPr>
          <w:rFonts w:ascii="Arial" w:hAnsi="Arial" w:cs="Arial"/>
          <w:i/>
          <w:sz w:val="22"/>
          <w:lang w:val="en-US"/>
        </w:rPr>
        <w:t>vs</w:t>
      </w:r>
      <w:r w:rsidRPr="00057829">
        <w:rPr>
          <w:rFonts w:ascii="Arial" w:hAnsi="Arial" w:cs="Arial"/>
          <w:sz w:val="22"/>
          <w:lang w:val="en-US"/>
        </w:rPr>
        <w:t xml:space="preserve">. </w:t>
      </w:r>
      <w:r w:rsidRPr="00057829">
        <w:rPr>
          <w:rFonts w:ascii="Arial" w:hAnsi="Arial" w:cs="Arial"/>
          <w:sz w:val="22"/>
          <w:lang w:val="en-US"/>
        </w:rPr>
        <w:t xml:space="preserve">gene mutation </w:t>
      </w:r>
      <w:r w:rsidRPr="00057829">
        <w:rPr>
          <w:rFonts w:ascii="Arial" w:hAnsi="Arial" w:cs="Arial"/>
          <w:i/>
          <w:sz w:val="22"/>
          <w:lang w:val="en-US"/>
        </w:rPr>
        <w:t>vs</w:t>
      </w:r>
      <w:r w:rsidRPr="00057829">
        <w:rPr>
          <w:rFonts w:ascii="Arial" w:hAnsi="Arial" w:cs="Arial"/>
          <w:sz w:val="22"/>
          <w:lang w:val="en-US"/>
        </w:rPr>
        <w:t>. gene expression) has distinct advantages and disadvantages, combining more than one marker for MRD assessment will presumably improve risk stratification.</w:t>
      </w:r>
      <w:r w:rsidRPr="00057829">
        <w:rPr>
          <w:rFonts w:ascii="Arial" w:hAnsi="Arial" w:cs="Arial"/>
          <w:sz w:val="22"/>
          <w:vertAlign w:val="superscript"/>
          <w:lang w:val="en-US"/>
        </w:rPr>
        <w:t xml:space="preserve">7,38,34 </w:t>
      </w:r>
      <w:r w:rsidRPr="00057829">
        <w:rPr>
          <w:rFonts w:ascii="Arial" w:hAnsi="Arial" w:cs="Arial"/>
          <w:sz w:val="22"/>
          <w:lang w:val="en-US"/>
        </w:rPr>
        <w:t xml:space="preserve">Thus, we also evaluated </w:t>
      </w:r>
      <w:r w:rsidRPr="00057829">
        <w:rPr>
          <w:rFonts w:ascii="Arial" w:hAnsi="Arial" w:cs="Arial"/>
          <w:i/>
          <w:sz w:val="22"/>
          <w:lang w:val="en-US"/>
        </w:rPr>
        <w:t>MN1</w:t>
      </w:r>
      <w:r w:rsidRPr="00057829">
        <w:rPr>
          <w:rFonts w:ascii="Arial" w:hAnsi="Arial" w:cs="Arial"/>
          <w:sz w:val="22"/>
          <w:lang w:val="en-US"/>
        </w:rPr>
        <w:t xml:space="preserve"> MRD results in the context of </w:t>
      </w:r>
      <w:r w:rsidRPr="00057829">
        <w:rPr>
          <w:rFonts w:ascii="Arial" w:hAnsi="Arial" w:cs="Arial"/>
          <w:sz w:val="22"/>
          <w:u w:val="single"/>
          <w:lang w:val="en-US"/>
        </w:rPr>
        <w:t>three</w:t>
      </w:r>
      <w:r w:rsidRPr="00057829">
        <w:rPr>
          <w:rFonts w:ascii="Arial" w:hAnsi="Arial" w:cs="Arial"/>
          <w:sz w:val="22"/>
          <w:lang w:val="en-US"/>
        </w:rPr>
        <w:t xml:space="preserve"> other MRD ma</w:t>
      </w:r>
      <w:r w:rsidRPr="00057829">
        <w:rPr>
          <w:rFonts w:ascii="Arial" w:hAnsi="Arial" w:cs="Arial"/>
          <w:sz w:val="22"/>
          <w:lang w:val="en-US"/>
        </w:rPr>
        <w:t xml:space="preserve">rkers available for our patient set. Previously, our institution and others were able to show that </w:t>
      </w:r>
      <w:r w:rsidRPr="00057829">
        <w:rPr>
          <w:rFonts w:ascii="Arial" w:hAnsi="Arial" w:cs="Arial"/>
          <w:i/>
          <w:sz w:val="22"/>
          <w:lang w:val="en-US"/>
        </w:rPr>
        <w:t>BAALC</w:t>
      </w:r>
      <w:r w:rsidRPr="00057829">
        <w:rPr>
          <w:rFonts w:ascii="Arial" w:hAnsi="Arial" w:cs="Arial"/>
          <w:sz w:val="22"/>
          <w:lang w:val="en-US"/>
        </w:rPr>
        <w:t xml:space="preserve"> </w:t>
      </w:r>
      <w:r w:rsidRPr="00057829">
        <w:rPr>
          <w:rFonts w:ascii="Arial" w:hAnsi="Arial" w:cs="Arial"/>
          <w:sz w:val="22"/>
          <w:u w:val="single"/>
          <w:lang w:val="en-US"/>
        </w:rPr>
        <w:t xml:space="preserve">and </w:t>
      </w:r>
      <w:r w:rsidRPr="00057829">
        <w:rPr>
          <w:rFonts w:ascii="Arial" w:hAnsi="Arial" w:cs="Arial"/>
          <w:i/>
          <w:sz w:val="22"/>
          <w:u w:val="single"/>
          <w:lang w:val="en-US"/>
        </w:rPr>
        <w:t>WT1</w:t>
      </w:r>
      <w:r w:rsidRPr="00057829">
        <w:rPr>
          <w:rFonts w:ascii="Arial" w:hAnsi="Arial" w:cs="Arial"/>
          <w:sz w:val="22"/>
          <w:lang w:val="en-US"/>
        </w:rPr>
        <w:t xml:space="preserve"> may function as marker</w:t>
      </w:r>
      <w:r w:rsidRPr="00057829">
        <w:rPr>
          <w:rFonts w:ascii="Arial" w:hAnsi="Arial" w:cs="Arial"/>
          <w:sz w:val="22"/>
          <w:u w:val="single"/>
          <w:lang w:val="en-US"/>
        </w:rPr>
        <w:t>s</w:t>
      </w:r>
      <w:r w:rsidRPr="00057829">
        <w:rPr>
          <w:rFonts w:ascii="Arial" w:hAnsi="Arial" w:cs="Arial"/>
          <w:sz w:val="22"/>
          <w:lang w:val="en-US"/>
        </w:rPr>
        <w:t xml:space="preserve"> for residual disease in patients after chemotherapy as well as prior to HSCT.</w:t>
      </w:r>
      <w:r w:rsidRPr="00057829">
        <w:rPr>
          <w:rFonts w:ascii="Arial" w:hAnsi="Arial" w:cs="Arial"/>
          <w:sz w:val="22"/>
          <w:u w:val="single"/>
          <w:vertAlign w:val="superscript"/>
          <w:lang w:val="en-US"/>
        </w:rPr>
        <w:t>12-16</w:t>
      </w:r>
      <w:r w:rsidRPr="00057829">
        <w:rPr>
          <w:rFonts w:ascii="Arial" w:hAnsi="Arial" w:cs="Arial"/>
          <w:sz w:val="22"/>
          <w:lang w:val="en-US"/>
        </w:rPr>
        <w:t xml:space="preserve"> As expected, in the here presented cohort, high pre-HSCT </w:t>
      </w:r>
      <w:r w:rsidRPr="00057829">
        <w:rPr>
          <w:rFonts w:ascii="Arial" w:hAnsi="Arial" w:cs="Arial"/>
          <w:i/>
          <w:sz w:val="22"/>
          <w:lang w:val="en-US"/>
        </w:rPr>
        <w:t>BAALC</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copy numbers also associated with a higher CIR (</w:t>
      </w:r>
      <w:r w:rsidRPr="00057829">
        <w:rPr>
          <w:rFonts w:ascii="Arial" w:hAnsi="Arial" w:cs="Arial"/>
          <w:i/>
          <w:sz w:val="22"/>
          <w:lang w:val="en-US"/>
        </w:rPr>
        <w:t>P</w:t>
      </w:r>
      <w:r w:rsidRPr="00057829">
        <w:rPr>
          <w:rFonts w:ascii="Arial" w:hAnsi="Arial" w:cs="Arial"/>
          <w:sz w:val="22"/>
          <w:lang w:val="en-US"/>
        </w:rPr>
        <w:t>=.007) and a trend for shorter OS (</w:t>
      </w:r>
      <w:r w:rsidRPr="00057829">
        <w:rPr>
          <w:rFonts w:ascii="Arial" w:hAnsi="Arial" w:cs="Arial"/>
          <w:i/>
          <w:sz w:val="22"/>
          <w:lang w:val="en-US"/>
        </w:rPr>
        <w:t>P</w:t>
      </w:r>
      <w:r w:rsidRPr="00057829">
        <w:rPr>
          <w:rFonts w:ascii="Arial" w:hAnsi="Arial" w:cs="Arial"/>
          <w:sz w:val="22"/>
          <w:lang w:val="en-US"/>
        </w:rPr>
        <w:t xml:space="preserve">=.08, </w:t>
      </w:r>
      <w:r w:rsidRPr="00057829">
        <w:rPr>
          <w:rFonts w:ascii="Arial" w:hAnsi="Arial" w:cs="Arial"/>
          <w:sz w:val="22"/>
          <w:szCs w:val="22"/>
          <w:lang w:val="en-US"/>
        </w:rPr>
        <w:t>Supplementary Information</w:t>
      </w:r>
      <w:r w:rsidRPr="00057829">
        <w:rPr>
          <w:rFonts w:ascii="Arial" w:hAnsi="Arial" w:cs="Arial"/>
          <w:sz w:val="22"/>
          <w:lang w:val="en-US"/>
        </w:rPr>
        <w:t xml:space="preserve">). When we combined the information of pre-HSCT </w:t>
      </w:r>
      <w:r w:rsidRPr="00057829">
        <w:rPr>
          <w:rFonts w:ascii="Arial" w:hAnsi="Arial" w:cs="Arial"/>
          <w:i/>
          <w:sz w:val="22"/>
          <w:lang w:val="en-US"/>
        </w:rPr>
        <w:t>BAALC</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and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ABL1</w:t>
      </w:r>
      <w:r w:rsidRPr="00057829">
        <w:rPr>
          <w:rFonts w:ascii="Arial" w:hAnsi="Arial" w:cs="Arial"/>
          <w:sz w:val="22"/>
          <w:lang w:val="en-US"/>
        </w:rPr>
        <w:t xml:space="preserve"> copy numbers (both high </w:t>
      </w:r>
      <w:r w:rsidRPr="00057829">
        <w:rPr>
          <w:rFonts w:ascii="Arial" w:hAnsi="Arial" w:cs="Arial"/>
          <w:i/>
          <w:sz w:val="22"/>
          <w:lang w:val="en-US"/>
        </w:rPr>
        <w:t>vs</w:t>
      </w:r>
      <w:r w:rsidRPr="00057829">
        <w:rPr>
          <w:rFonts w:ascii="Arial" w:hAnsi="Arial" w:cs="Arial"/>
          <w:sz w:val="22"/>
          <w:lang w:val="en-US"/>
        </w:rPr>
        <w:t xml:space="preserve">. one or both low, Supplementary Figure S7C,D), our data suggested that evaluation of both genes might be more informative with respect to the risk of relapse after HSCT. </w:t>
      </w:r>
      <w:r w:rsidRPr="00057829">
        <w:rPr>
          <w:rFonts w:ascii="Arial" w:hAnsi="Arial" w:cs="Arial"/>
          <w:sz w:val="22"/>
          <w:u w:val="single"/>
          <w:lang w:val="en-US"/>
        </w:rPr>
        <w:t xml:space="preserve">Similarly, a high pre-HSCT </w:t>
      </w:r>
      <w:r w:rsidRPr="00057829">
        <w:rPr>
          <w:rFonts w:ascii="Arial" w:hAnsi="Arial" w:cs="Arial"/>
          <w:i/>
          <w:sz w:val="22"/>
          <w:u w:val="single"/>
          <w:lang w:val="en-US"/>
        </w:rPr>
        <w:t>WT1</w:t>
      </w:r>
      <w:r w:rsidRPr="00057829">
        <w:rPr>
          <w:rFonts w:ascii="Arial" w:hAnsi="Arial" w:cs="Arial"/>
          <w:sz w:val="22"/>
          <w:u w:val="single"/>
          <w:lang w:val="en-US"/>
        </w:rPr>
        <w:t>/</w:t>
      </w:r>
      <w:r w:rsidRPr="00057829">
        <w:rPr>
          <w:rFonts w:ascii="Arial" w:hAnsi="Arial" w:cs="Arial"/>
          <w:i/>
          <w:sz w:val="22"/>
          <w:u w:val="single"/>
          <w:lang w:val="en-US"/>
        </w:rPr>
        <w:t xml:space="preserve">ABL1 </w:t>
      </w:r>
      <w:r w:rsidRPr="00057829">
        <w:rPr>
          <w:rFonts w:ascii="Arial" w:hAnsi="Arial" w:cs="Arial"/>
          <w:sz w:val="22"/>
          <w:u w:val="single"/>
          <w:lang w:val="en-US"/>
        </w:rPr>
        <w:t xml:space="preserve">expression associated </w:t>
      </w:r>
      <w:r w:rsidRPr="00057829">
        <w:rPr>
          <w:rFonts w:ascii="Arial" w:hAnsi="Arial" w:cs="Arial"/>
          <w:sz w:val="22"/>
          <w:u w:val="single"/>
          <w:lang w:val="en-US"/>
        </w:rPr>
        <w:t xml:space="preserve">with higher CIR (Supplementary Figure S9A). Combining MRD information of </w:t>
      </w:r>
      <w:r w:rsidRPr="00057829">
        <w:rPr>
          <w:rFonts w:ascii="Arial" w:hAnsi="Arial" w:cs="Arial"/>
          <w:i/>
          <w:sz w:val="22"/>
          <w:u w:val="single"/>
          <w:lang w:val="en-US"/>
        </w:rPr>
        <w:t>WT1</w:t>
      </w:r>
      <w:r w:rsidRPr="00057829">
        <w:rPr>
          <w:rFonts w:ascii="Arial" w:hAnsi="Arial" w:cs="Arial"/>
          <w:sz w:val="22"/>
          <w:u w:val="single"/>
          <w:lang w:val="en-US"/>
        </w:rPr>
        <w:t xml:space="preserve"> and </w:t>
      </w:r>
      <w:r w:rsidRPr="00057829">
        <w:rPr>
          <w:rFonts w:ascii="Arial" w:hAnsi="Arial" w:cs="Arial"/>
          <w:i/>
          <w:sz w:val="22"/>
          <w:u w:val="single"/>
          <w:lang w:val="en-US"/>
        </w:rPr>
        <w:t xml:space="preserve">MN1 </w:t>
      </w:r>
      <w:r w:rsidRPr="00057829">
        <w:rPr>
          <w:rFonts w:ascii="Arial" w:hAnsi="Arial" w:cs="Arial"/>
          <w:sz w:val="22"/>
          <w:u w:val="single"/>
          <w:lang w:val="en-US"/>
        </w:rPr>
        <w:t>also provided additional prognostic information: patients with high expression of either of both markers had higher CIR than patients with low expression of both markers b</w:t>
      </w:r>
      <w:r w:rsidRPr="00057829">
        <w:rPr>
          <w:rFonts w:ascii="Arial" w:hAnsi="Arial" w:cs="Arial"/>
          <w:sz w:val="22"/>
          <w:u w:val="single"/>
          <w:lang w:val="en-US"/>
        </w:rPr>
        <w:t xml:space="preserve">ut lower CIR than patients with high expression of both markers (overall </w:t>
      </w:r>
      <w:r w:rsidRPr="00057829">
        <w:rPr>
          <w:rFonts w:ascii="Arial" w:hAnsi="Arial" w:cs="Arial"/>
          <w:i/>
          <w:sz w:val="22"/>
          <w:u w:val="single"/>
          <w:lang w:val="en-US"/>
        </w:rPr>
        <w:t>P</w:t>
      </w:r>
      <w:r w:rsidRPr="00057829">
        <w:rPr>
          <w:rFonts w:ascii="Arial" w:hAnsi="Arial" w:cs="Arial"/>
          <w:sz w:val="22"/>
          <w:u w:val="single"/>
          <w:lang w:val="en-US"/>
        </w:rPr>
        <w:t>&lt;.001, Supplementary Figure S9B).</w:t>
      </w:r>
      <w:r w:rsidRPr="00057829">
        <w:rPr>
          <w:rFonts w:ascii="Arial" w:hAnsi="Arial" w:cs="Arial"/>
          <w:sz w:val="22"/>
          <w:szCs w:val="22"/>
          <w:u w:val="single"/>
          <w:lang w:val="en-US"/>
        </w:rPr>
        <w:t xml:space="preserve"> </w:t>
      </w:r>
      <w:r w:rsidRPr="00057829">
        <w:rPr>
          <w:rFonts w:ascii="Arial" w:hAnsi="Arial" w:cs="Arial"/>
          <w:sz w:val="22"/>
          <w:lang w:val="en-US"/>
        </w:rPr>
        <w:t xml:space="preserve">One of the most established MRD markers in AML are </w:t>
      </w:r>
      <w:r w:rsidRPr="00057829">
        <w:rPr>
          <w:rFonts w:ascii="Arial" w:hAnsi="Arial" w:cs="Arial"/>
          <w:i/>
          <w:sz w:val="22"/>
          <w:lang w:val="en-US"/>
        </w:rPr>
        <w:t>NPM1</w:t>
      </w:r>
      <w:r w:rsidRPr="00057829">
        <w:rPr>
          <w:rFonts w:ascii="Arial" w:hAnsi="Arial" w:cs="Arial"/>
          <w:sz w:val="22"/>
          <w:lang w:val="en-US"/>
        </w:rPr>
        <w:t xml:space="preserve"> mutations which are present in approximately 35% of AML patients at diagnosis.</w:t>
      </w:r>
      <w:r w:rsidRPr="00057829">
        <w:rPr>
          <w:rFonts w:ascii="Arial" w:hAnsi="Arial" w:cs="Arial"/>
          <w:sz w:val="22"/>
          <w:vertAlign w:val="superscript"/>
          <w:lang w:val="en-US"/>
        </w:rPr>
        <w:t xml:space="preserve">4,8,9,35 </w:t>
      </w:r>
      <w:r w:rsidRPr="00057829">
        <w:rPr>
          <w:rFonts w:ascii="Arial" w:hAnsi="Arial" w:cs="Arial"/>
          <w:sz w:val="22"/>
          <w:lang w:val="en-US"/>
        </w:rPr>
        <w:t>In ou</w:t>
      </w:r>
      <w:r w:rsidRPr="00057829">
        <w:rPr>
          <w:rFonts w:ascii="Arial" w:hAnsi="Arial" w:cs="Arial"/>
          <w:sz w:val="22"/>
          <w:lang w:val="en-US"/>
        </w:rPr>
        <w:t xml:space="preserve">r cohort, information </w:t>
      </w:r>
      <w:r w:rsidRPr="00057829">
        <w:rPr>
          <w:rFonts w:ascii="Arial" w:hAnsi="Arial" w:cs="Arial"/>
          <w:sz w:val="22"/>
          <w:lang w:val="en-US"/>
        </w:rPr>
        <w:lastRenderedPageBreak/>
        <w:t xml:space="preserve">on pre-HSCT </w:t>
      </w:r>
      <w:r w:rsidRPr="00057829">
        <w:rPr>
          <w:rFonts w:ascii="Arial" w:hAnsi="Arial" w:cs="Arial"/>
          <w:i/>
          <w:sz w:val="22"/>
          <w:lang w:val="en-US"/>
        </w:rPr>
        <w:t>NPM1</w:t>
      </w:r>
      <w:r w:rsidRPr="00057829">
        <w:rPr>
          <w:rFonts w:ascii="Arial" w:hAnsi="Arial" w:cs="Arial"/>
          <w:sz w:val="22"/>
          <w:lang w:val="en-US"/>
        </w:rPr>
        <w:t xml:space="preserve"> MRD status was available for 20 </w:t>
      </w:r>
      <w:r w:rsidRPr="00057829">
        <w:rPr>
          <w:rFonts w:ascii="Arial" w:hAnsi="Arial" w:cs="Arial"/>
          <w:i/>
          <w:sz w:val="22"/>
          <w:lang w:val="en-US"/>
        </w:rPr>
        <w:t>NPM1</w:t>
      </w:r>
      <w:r w:rsidRPr="00057829">
        <w:rPr>
          <w:rFonts w:ascii="Arial" w:hAnsi="Arial" w:cs="Arial"/>
          <w:sz w:val="22"/>
          <w:lang w:val="en-US"/>
        </w:rPr>
        <w:t xml:space="preserve"> mutated patients. In the 15 mutated </w:t>
      </w:r>
      <w:r w:rsidRPr="00057829">
        <w:rPr>
          <w:rFonts w:ascii="Arial" w:hAnsi="Arial" w:cs="Arial"/>
          <w:i/>
          <w:sz w:val="22"/>
          <w:lang w:val="en-US"/>
        </w:rPr>
        <w:t>NPM1</w:t>
      </w:r>
      <w:r w:rsidRPr="00057829">
        <w:rPr>
          <w:rFonts w:ascii="Arial" w:hAnsi="Arial" w:cs="Arial"/>
          <w:sz w:val="22"/>
          <w:lang w:val="en-US"/>
        </w:rPr>
        <w:t xml:space="preserve"> MRD</w:t>
      </w:r>
      <w:r w:rsidRPr="00057829">
        <w:rPr>
          <w:rFonts w:ascii="Arial" w:hAnsi="Arial" w:cs="Arial"/>
          <w:sz w:val="22"/>
          <w:vertAlign w:val="superscript"/>
          <w:lang w:val="en-US"/>
        </w:rPr>
        <w:t>neg</w:t>
      </w:r>
      <w:r w:rsidRPr="00057829">
        <w:rPr>
          <w:rFonts w:ascii="Arial" w:hAnsi="Arial" w:cs="Arial"/>
          <w:sz w:val="22"/>
          <w:lang w:val="en-US"/>
        </w:rPr>
        <w:t xml:space="preserve"> patients pre-HSCT, we observed a clear separation of the CIR and OS curves (Figure 4) according to pre-HSCT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 xml:space="preserve">ABL1 </w:t>
      </w:r>
      <w:r w:rsidRPr="00057829">
        <w:rPr>
          <w:rFonts w:ascii="Arial" w:hAnsi="Arial" w:cs="Arial"/>
          <w:sz w:val="22"/>
          <w:lang w:val="en-US"/>
        </w:rPr>
        <w:t xml:space="preserve">copy numbers. Two of the five relapsing patients were mutated </w:t>
      </w:r>
      <w:r w:rsidRPr="00057829">
        <w:rPr>
          <w:rFonts w:ascii="Arial" w:hAnsi="Arial" w:cs="Arial"/>
          <w:i/>
          <w:sz w:val="22"/>
          <w:lang w:val="en-US"/>
        </w:rPr>
        <w:t>NPM1</w:t>
      </w:r>
      <w:r w:rsidRPr="00057829">
        <w:rPr>
          <w:rFonts w:ascii="Arial" w:hAnsi="Arial" w:cs="Arial"/>
          <w:sz w:val="22"/>
          <w:lang w:val="en-US"/>
        </w:rPr>
        <w:t xml:space="preserve"> MRD</w:t>
      </w:r>
      <w:r w:rsidRPr="00057829">
        <w:rPr>
          <w:rFonts w:ascii="Arial" w:hAnsi="Arial" w:cs="Arial"/>
          <w:sz w:val="22"/>
          <w:vertAlign w:val="superscript"/>
          <w:lang w:val="en-US"/>
        </w:rPr>
        <w:t xml:space="preserve">neg </w:t>
      </w:r>
      <w:r w:rsidRPr="00057829">
        <w:rPr>
          <w:rFonts w:ascii="Arial" w:hAnsi="Arial" w:cs="Arial"/>
          <w:sz w:val="22"/>
          <w:lang w:val="en-US"/>
        </w:rPr>
        <w:t xml:space="preserve">prior to HSCT but had high pre-HSCT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 xml:space="preserve">ABL1 </w:t>
      </w:r>
      <w:r w:rsidRPr="00057829">
        <w:rPr>
          <w:rFonts w:ascii="Arial" w:hAnsi="Arial" w:cs="Arial"/>
          <w:sz w:val="22"/>
          <w:lang w:val="en-US"/>
        </w:rPr>
        <w:t xml:space="preserve">copy numbers. These patients may have relapsed with a </w:t>
      </w:r>
      <w:r w:rsidRPr="00057829">
        <w:rPr>
          <w:rFonts w:ascii="Arial" w:hAnsi="Arial" w:cs="Arial"/>
          <w:i/>
          <w:sz w:val="22"/>
          <w:lang w:val="en-US"/>
        </w:rPr>
        <w:t>NPM1</w:t>
      </w:r>
      <w:r w:rsidRPr="00057829">
        <w:rPr>
          <w:rFonts w:ascii="Arial" w:hAnsi="Arial" w:cs="Arial"/>
          <w:sz w:val="22"/>
          <w:lang w:val="en-US"/>
        </w:rPr>
        <w:t>-negative clone. Unfortunately no patient material for further analyses was ava</w:t>
      </w:r>
      <w:r w:rsidRPr="00057829">
        <w:rPr>
          <w:rFonts w:ascii="Arial" w:hAnsi="Arial" w:cs="Arial"/>
          <w:sz w:val="22"/>
          <w:lang w:val="en-US"/>
        </w:rPr>
        <w:t xml:space="preserve">ilable for these patients. </w:t>
      </w:r>
      <w:r w:rsidRPr="00057829">
        <w:rPr>
          <w:rFonts w:ascii="Arial" w:hAnsi="Arial" w:cs="Arial"/>
          <w:i/>
          <w:sz w:val="22"/>
          <w:lang w:val="en-US"/>
        </w:rPr>
        <w:t>MN1</w:t>
      </w:r>
      <w:r w:rsidRPr="00057829">
        <w:rPr>
          <w:rFonts w:ascii="Arial" w:hAnsi="Arial" w:cs="Arial"/>
          <w:sz w:val="22"/>
          <w:lang w:val="en-US"/>
        </w:rPr>
        <w:t xml:space="preserve"> is known to highly correlate with CD34-positive</w:t>
      </w:r>
      <w:r w:rsidRPr="00057829">
        <w:rPr>
          <w:rFonts w:ascii="Arial" w:hAnsi="Arial" w:cs="Arial"/>
          <w:sz w:val="22"/>
          <w:vertAlign w:val="superscript"/>
          <w:lang w:val="en-US"/>
        </w:rPr>
        <w:t>17,29</w:t>
      </w:r>
      <w:r w:rsidRPr="00057829">
        <w:rPr>
          <w:rFonts w:ascii="Arial" w:hAnsi="Arial" w:cs="Arial"/>
          <w:sz w:val="22"/>
          <w:lang w:val="en-US"/>
        </w:rPr>
        <w:t xml:space="preserve"> and </w:t>
      </w:r>
      <w:r w:rsidRPr="00057829">
        <w:rPr>
          <w:rFonts w:ascii="Arial" w:hAnsi="Arial" w:cs="Arial"/>
          <w:i/>
          <w:sz w:val="22"/>
          <w:lang w:val="en-US"/>
        </w:rPr>
        <w:t>NPM1</w:t>
      </w:r>
      <w:r w:rsidRPr="00057829">
        <w:rPr>
          <w:rFonts w:ascii="Arial" w:hAnsi="Arial" w:cs="Arial"/>
          <w:sz w:val="22"/>
          <w:lang w:val="en-US"/>
        </w:rPr>
        <w:t xml:space="preserve"> wild type AML.</w:t>
      </w:r>
      <w:r w:rsidRPr="00057829">
        <w:rPr>
          <w:rFonts w:ascii="Arial" w:hAnsi="Arial" w:cs="Arial"/>
          <w:sz w:val="22"/>
          <w:vertAlign w:val="superscript"/>
          <w:lang w:val="en-US"/>
        </w:rPr>
        <w:t xml:space="preserve">17,20,21 </w:t>
      </w:r>
      <w:r w:rsidRPr="00057829">
        <w:rPr>
          <w:rFonts w:ascii="Arial" w:hAnsi="Arial" w:cs="Arial"/>
          <w:sz w:val="22"/>
          <w:lang w:val="en-US"/>
        </w:rPr>
        <w:t xml:space="preserve">In contrast, </w:t>
      </w:r>
      <w:r w:rsidRPr="00057829">
        <w:rPr>
          <w:rFonts w:ascii="Arial" w:hAnsi="Arial" w:cs="Arial"/>
          <w:i/>
          <w:sz w:val="22"/>
          <w:lang w:val="en-US"/>
        </w:rPr>
        <w:t>NPM1</w:t>
      </w:r>
      <w:r w:rsidRPr="00057829">
        <w:rPr>
          <w:rFonts w:ascii="Arial" w:hAnsi="Arial" w:cs="Arial"/>
          <w:sz w:val="22"/>
          <w:lang w:val="en-US"/>
        </w:rPr>
        <w:t xml:space="preserve"> mutations associate with CD34-negative leukemia.</w:t>
      </w:r>
      <w:r w:rsidRPr="00057829">
        <w:rPr>
          <w:rFonts w:ascii="Arial" w:hAnsi="Arial" w:cs="Arial"/>
          <w:sz w:val="22"/>
          <w:vertAlign w:val="superscript"/>
          <w:lang w:val="en-US"/>
        </w:rPr>
        <w:t>35</w:t>
      </w:r>
      <w:r w:rsidRPr="00057829">
        <w:rPr>
          <w:rFonts w:ascii="Arial" w:hAnsi="Arial" w:cs="Arial"/>
          <w:sz w:val="22"/>
          <w:lang w:val="en-US"/>
        </w:rPr>
        <w:t xml:space="preserve"> Thus, </w:t>
      </w:r>
      <w:r w:rsidRPr="00057829">
        <w:rPr>
          <w:rFonts w:ascii="Arial" w:hAnsi="Arial" w:cs="Arial"/>
          <w:i/>
          <w:sz w:val="22"/>
          <w:lang w:val="en-US"/>
        </w:rPr>
        <w:t>MN1</w:t>
      </w:r>
      <w:r w:rsidRPr="00057829">
        <w:rPr>
          <w:rFonts w:ascii="Arial" w:hAnsi="Arial" w:cs="Arial"/>
          <w:sz w:val="22"/>
          <w:lang w:val="en-US"/>
        </w:rPr>
        <w:t xml:space="preserve"> MRD assessment might complement </w:t>
      </w:r>
      <w:r w:rsidRPr="00057829">
        <w:rPr>
          <w:rFonts w:ascii="Arial" w:hAnsi="Arial" w:cs="Arial"/>
          <w:i/>
          <w:sz w:val="22"/>
          <w:lang w:val="en-US"/>
        </w:rPr>
        <w:t xml:space="preserve">NPM1 </w:t>
      </w:r>
      <w:r w:rsidRPr="00057829">
        <w:rPr>
          <w:rFonts w:ascii="Arial" w:hAnsi="Arial" w:cs="Arial"/>
          <w:sz w:val="22"/>
          <w:lang w:val="en-US"/>
        </w:rPr>
        <w:t>mutation based MRD asses</w:t>
      </w:r>
      <w:r w:rsidRPr="00057829">
        <w:rPr>
          <w:rFonts w:ascii="Arial" w:hAnsi="Arial" w:cs="Arial"/>
          <w:sz w:val="22"/>
          <w:lang w:val="en-US"/>
        </w:rPr>
        <w:t xml:space="preserve">sment. </w:t>
      </w:r>
    </w:p>
    <w:p w:rsidR="000730CE" w:rsidRPr="00057829" w:rsidRDefault="00141A43">
      <w:pPr>
        <w:widowControl w:val="0"/>
        <w:spacing w:line="480" w:lineRule="auto"/>
        <w:jc w:val="both"/>
        <w:rPr>
          <w:rFonts w:ascii="Arial" w:hAnsi="Arial" w:cs="Arial"/>
          <w:sz w:val="22"/>
          <w:lang w:val="en-US"/>
        </w:rPr>
      </w:pPr>
      <w:r w:rsidRPr="00057829">
        <w:rPr>
          <w:rFonts w:ascii="Arial" w:hAnsi="Arial" w:cs="Arial"/>
          <w:sz w:val="22"/>
          <w:lang w:val="en-US"/>
        </w:rPr>
        <w:t>In AML MRD assessment prior to consolidating allogeneic HSCT is increasingly performed.</w:t>
      </w:r>
      <w:r w:rsidRPr="00057829">
        <w:rPr>
          <w:rFonts w:ascii="Arial" w:hAnsi="Arial" w:cs="Arial"/>
          <w:sz w:val="22"/>
          <w:vertAlign w:val="superscript"/>
          <w:lang w:val="en-US"/>
        </w:rPr>
        <w:t xml:space="preserve">14,29,32,36 </w:t>
      </w:r>
      <w:r w:rsidRPr="00057829">
        <w:rPr>
          <w:rFonts w:ascii="Arial" w:hAnsi="Arial" w:cs="Arial"/>
          <w:sz w:val="22"/>
          <w:lang w:val="en-US"/>
        </w:rPr>
        <w:t xml:space="preserve">However, in patients with persisting MRD the question remains as to which treatment approach - </w:t>
      </w:r>
      <w:r w:rsidRPr="00057829">
        <w:rPr>
          <w:rFonts w:ascii="Arial" w:hAnsi="Arial" w:cs="Arial"/>
          <w:i/>
          <w:sz w:val="22"/>
          <w:lang w:val="en-US"/>
        </w:rPr>
        <w:t>e.g.</w:t>
      </w:r>
      <w:r w:rsidRPr="00057829">
        <w:rPr>
          <w:rFonts w:ascii="Arial" w:hAnsi="Arial" w:cs="Arial"/>
          <w:sz w:val="22"/>
          <w:lang w:val="en-US"/>
        </w:rPr>
        <w:t xml:space="preserve"> additional chemotherapy prior to HSCT, intensific</w:t>
      </w:r>
      <w:r w:rsidRPr="00057829">
        <w:rPr>
          <w:rFonts w:ascii="Arial" w:hAnsi="Arial" w:cs="Arial"/>
          <w:sz w:val="22"/>
          <w:lang w:val="en-US"/>
        </w:rPr>
        <w:t xml:space="preserve">ation of conditioning regimens or prophylactic donor lymphocyte infusions - would be feasible to improve outcomes and will have to be subject of future prospective clinical trials. </w:t>
      </w:r>
      <w:r w:rsidRPr="00057829">
        <w:rPr>
          <w:rFonts w:ascii="Arial" w:hAnsi="Arial" w:cs="Arial"/>
          <w:sz w:val="22"/>
          <w:u w:val="single"/>
          <w:lang w:val="en-US"/>
        </w:rPr>
        <w:t xml:space="preserve">These are also needed to evaluate whether patients with high pre-HSCT </w:t>
      </w:r>
      <w:r w:rsidRPr="00057829">
        <w:rPr>
          <w:rFonts w:ascii="Arial" w:hAnsi="Arial" w:cs="Arial"/>
          <w:i/>
          <w:sz w:val="22"/>
          <w:u w:val="single"/>
          <w:lang w:val="en-US"/>
        </w:rPr>
        <w:t>MN1</w:t>
      </w:r>
      <w:r w:rsidRPr="00057829">
        <w:rPr>
          <w:rFonts w:ascii="Arial" w:hAnsi="Arial" w:cs="Arial"/>
          <w:sz w:val="22"/>
          <w:u w:val="single"/>
          <w:lang w:val="en-US"/>
        </w:rPr>
        <w:t>/</w:t>
      </w:r>
      <w:r w:rsidRPr="00057829">
        <w:rPr>
          <w:rFonts w:ascii="Arial" w:hAnsi="Arial" w:cs="Arial"/>
          <w:i/>
          <w:sz w:val="22"/>
          <w:u w:val="single"/>
          <w:lang w:val="en-US"/>
        </w:rPr>
        <w:t>A</w:t>
      </w:r>
      <w:r w:rsidRPr="00057829">
        <w:rPr>
          <w:rFonts w:ascii="Arial" w:hAnsi="Arial" w:cs="Arial"/>
          <w:i/>
          <w:sz w:val="22"/>
          <w:u w:val="single"/>
          <w:lang w:val="en-US"/>
        </w:rPr>
        <w:t>BL1</w:t>
      </w:r>
      <w:r w:rsidRPr="00057829">
        <w:rPr>
          <w:rFonts w:ascii="Arial" w:hAnsi="Arial" w:cs="Arial"/>
          <w:sz w:val="22"/>
          <w:u w:val="single"/>
          <w:lang w:val="en-US"/>
        </w:rPr>
        <w:t xml:space="preserve"> copy numbers benefit from an allogeneic NMA-HSCT or will have to be lead to alternative treatment options. </w:t>
      </w:r>
    </w:p>
    <w:p w:rsidR="000730CE" w:rsidRPr="00057829" w:rsidRDefault="00141A43">
      <w:pPr>
        <w:widowControl w:val="0"/>
        <w:spacing w:line="480" w:lineRule="auto"/>
        <w:jc w:val="both"/>
        <w:rPr>
          <w:rFonts w:ascii="Arial" w:hAnsi="Arial" w:cs="Arial"/>
          <w:sz w:val="22"/>
          <w:lang w:val="en-US"/>
        </w:rPr>
      </w:pPr>
      <w:r w:rsidRPr="00057829">
        <w:rPr>
          <w:rFonts w:ascii="Arial" w:hAnsi="Arial" w:cs="Arial"/>
          <w:sz w:val="22"/>
          <w:lang w:val="en-US"/>
        </w:rPr>
        <w:t>Limitations of our study are the retrospective nature and limited patient numbers in the evaluated subgroups. Thus, prospective trials should va</w:t>
      </w:r>
      <w:r w:rsidRPr="00057829">
        <w:rPr>
          <w:rFonts w:ascii="Arial" w:hAnsi="Arial" w:cs="Arial"/>
          <w:sz w:val="22"/>
          <w:lang w:val="en-US"/>
        </w:rPr>
        <w:t xml:space="preserve">lidate the prognostic use of </w:t>
      </w:r>
      <w:r w:rsidRPr="00057829">
        <w:rPr>
          <w:rFonts w:ascii="Arial" w:hAnsi="Arial" w:cs="Arial"/>
          <w:i/>
          <w:sz w:val="22"/>
          <w:lang w:val="en-US"/>
        </w:rPr>
        <w:t>MN1</w:t>
      </w:r>
      <w:r w:rsidRPr="00057829">
        <w:rPr>
          <w:rFonts w:ascii="Arial" w:hAnsi="Arial" w:cs="Arial"/>
          <w:sz w:val="22"/>
          <w:lang w:val="en-US"/>
        </w:rPr>
        <w:t xml:space="preserve"> expression as novel and promising MRD marker. </w:t>
      </w:r>
    </w:p>
    <w:p w:rsidR="000730CE" w:rsidRPr="00057829" w:rsidRDefault="00141A43">
      <w:pPr>
        <w:widowControl w:val="0"/>
        <w:spacing w:line="480" w:lineRule="auto"/>
        <w:jc w:val="both"/>
        <w:rPr>
          <w:rFonts w:ascii="Arial" w:hAnsi="Arial" w:cs="Arial"/>
          <w:sz w:val="22"/>
          <w:lang w:val="en-US"/>
        </w:rPr>
      </w:pPr>
      <w:r w:rsidRPr="00057829">
        <w:rPr>
          <w:rFonts w:ascii="Arial" w:hAnsi="Arial" w:cs="Arial"/>
          <w:sz w:val="22"/>
          <w:lang w:val="en-US"/>
        </w:rPr>
        <w:t xml:space="preserve">In conclusion, our study is the first to show that assessment of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 xml:space="preserve">ABL1 </w:t>
      </w:r>
      <w:r w:rsidRPr="00057829">
        <w:rPr>
          <w:rFonts w:ascii="Arial" w:hAnsi="Arial" w:cs="Arial"/>
          <w:sz w:val="22"/>
          <w:lang w:val="en-US"/>
        </w:rPr>
        <w:t xml:space="preserve">copy numbers is feasible for MRD evaluation in AML patients. Patients with high pre-HSCT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 xml:space="preserve">ABL1 </w:t>
      </w:r>
      <w:r w:rsidRPr="00057829">
        <w:rPr>
          <w:rFonts w:ascii="Arial" w:hAnsi="Arial" w:cs="Arial"/>
          <w:sz w:val="22"/>
          <w:lang w:val="en-US"/>
        </w:rPr>
        <w:t>copy</w:t>
      </w:r>
      <w:r w:rsidRPr="00057829">
        <w:rPr>
          <w:rFonts w:ascii="Arial" w:hAnsi="Arial" w:cs="Arial"/>
          <w:sz w:val="22"/>
          <w:lang w:val="en-US"/>
        </w:rPr>
        <w:t xml:space="preserve"> numbers had a significantly higher CIR and shorter time to relapse, independent of other known genetic and molecular factors at diagnosis or HSCT-related parameters. Patients with the topmost </w:t>
      </w:r>
      <w:r w:rsidRPr="00057829">
        <w:rPr>
          <w:rFonts w:ascii="Arial" w:hAnsi="Arial" w:cs="Arial"/>
          <w:i/>
          <w:sz w:val="22"/>
          <w:lang w:val="en-US"/>
        </w:rPr>
        <w:t>MN1</w:t>
      </w:r>
      <w:r w:rsidRPr="00057829">
        <w:rPr>
          <w:rFonts w:ascii="Arial" w:hAnsi="Arial" w:cs="Arial"/>
          <w:sz w:val="22"/>
          <w:lang w:val="en-US"/>
        </w:rPr>
        <w:t>/</w:t>
      </w:r>
      <w:r w:rsidRPr="00057829">
        <w:rPr>
          <w:rFonts w:ascii="Arial" w:hAnsi="Arial" w:cs="Arial"/>
          <w:i/>
          <w:sz w:val="22"/>
          <w:lang w:val="en-US"/>
        </w:rPr>
        <w:t xml:space="preserve">ABL1 </w:t>
      </w:r>
      <w:r w:rsidRPr="00057829">
        <w:rPr>
          <w:rFonts w:ascii="Arial" w:hAnsi="Arial" w:cs="Arial"/>
          <w:sz w:val="22"/>
          <w:lang w:val="en-US"/>
        </w:rPr>
        <w:t>copy numbers had the highest relapse incidence after H</w:t>
      </w:r>
      <w:r w:rsidRPr="00057829">
        <w:rPr>
          <w:rFonts w:ascii="Arial" w:hAnsi="Arial" w:cs="Arial"/>
          <w:sz w:val="22"/>
          <w:lang w:val="en-US"/>
        </w:rPr>
        <w:t xml:space="preserve">SCT, probably due to a higher residual disease burden in these patients. Our data also indicates that </w:t>
      </w:r>
      <w:r w:rsidRPr="00057829">
        <w:rPr>
          <w:rFonts w:ascii="Arial" w:hAnsi="Arial" w:cs="Arial"/>
          <w:i/>
          <w:sz w:val="22"/>
          <w:lang w:val="en-US"/>
        </w:rPr>
        <w:t>MN1</w:t>
      </w:r>
      <w:r w:rsidRPr="00057829">
        <w:rPr>
          <w:rFonts w:ascii="Arial" w:hAnsi="Arial" w:cs="Arial"/>
          <w:sz w:val="22"/>
          <w:lang w:val="en-US"/>
        </w:rPr>
        <w:t xml:space="preserve"> copy number assessment may have the potential to improve </w:t>
      </w:r>
      <w:r w:rsidRPr="00057829">
        <w:rPr>
          <w:rFonts w:ascii="Arial" w:hAnsi="Arial" w:cs="Arial"/>
          <w:i/>
          <w:sz w:val="22"/>
          <w:lang w:val="en-US"/>
        </w:rPr>
        <w:t>BAALC</w:t>
      </w:r>
      <w:r w:rsidRPr="00057829">
        <w:rPr>
          <w:rFonts w:ascii="Arial" w:hAnsi="Arial" w:cs="Arial"/>
          <w:sz w:val="22"/>
          <w:lang w:val="en-US"/>
        </w:rPr>
        <w:t xml:space="preserve">-, </w:t>
      </w:r>
      <w:r w:rsidRPr="00057829">
        <w:rPr>
          <w:rFonts w:ascii="Arial" w:hAnsi="Arial" w:cs="Arial"/>
          <w:i/>
          <w:sz w:val="22"/>
          <w:u w:val="single"/>
          <w:lang w:val="en-US"/>
        </w:rPr>
        <w:t>WT1</w:t>
      </w:r>
      <w:r w:rsidRPr="00057829">
        <w:rPr>
          <w:rFonts w:ascii="Arial" w:hAnsi="Arial" w:cs="Arial"/>
          <w:sz w:val="22"/>
          <w:u w:val="single"/>
          <w:lang w:val="en-US"/>
        </w:rPr>
        <w:t>-</w:t>
      </w:r>
      <w:r w:rsidRPr="00057829">
        <w:rPr>
          <w:rFonts w:ascii="Arial" w:hAnsi="Arial" w:cs="Arial"/>
          <w:sz w:val="22"/>
          <w:lang w:val="en-US"/>
        </w:rPr>
        <w:t xml:space="preserve"> and </w:t>
      </w:r>
      <w:r w:rsidRPr="00057829">
        <w:rPr>
          <w:rFonts w:ascii="Arial" w:hAnsi="Arial" w:cs="Arial"/>
          <w:i/>
          <w:sz w:val="22"/>
          <w:lang w:val="en-US"/>
        </w:rPr>
        <w:t>NPM1</w:t>
      </w:r>
      <w:r w:rsidRPr="00057829">
        <w:rPr>
          <w:rFonts w:ascii="Arial" w:hAnsi="Arial" w:cs="Arial"/>
          <w:sz w:val="22"/>
          <w:lang w:val="en-US"/>
        </w:rPr>
        <w:t xml:space="preserve">-based MRD assessment. </w:t>
      </w:r>
      <w:r w:rsidRPr="00057829">
        <w:br w:type="page"/>
      </w:r>
    </w:p>
    <w:p w:rsidR="000730CE" w:rsidRPr="00057829" w:rsidRDefault="00141A43">
      <w:pPr>
        <w:spacing w:line="360" w:lineRule="auto"/>
        <w:jc w:val="both"/>
        <w:rPr>
          <w:rFonts w:ascii="Arial" w:hAnsi="Arial" w:cs="Arial"/>
          <w:b/>
          <w:lang w:val="en-US"/>
        </w:rPr>
      </w:pPr>
      <w:r w:rsidRPr="00057829">
        <w:rPr>
          <w:rFonts w:ascii="Arial" w:hAnsi="Arial" w:cs="Arial"/>
          <w:b/>
          <w:lang w:val="en-US"/>
        </w:rPr>
        <w:lastRenderedPageBreak/>
        <w:t>Material and methods</w:t>
      </w:r>
    </w:p>
    <w:p w:rsidR="000730CE" w:rsidRPr="00057829" w:rsidRDefault="000730CE">
      <w:pPr>
        <w:spacing w:line="276" w:lineRule="auto"/>
        <w:jc w:val="both"/>
        <w:rPr>
          <w:rFonts w:ascii="Arial" w:hAnsi="Arial" w:cs="Arial"/>
          <w:b/>
          <w:lang w:val="en-US"/>
        </w:rPr>
      </w:pPr>
    </w:p>
    <w:p w:rsidR="000730CE" w:rsidRPr="00057829" w:rsidRDefault="00141A43">
      <w:pPr>
        <w:spacing w:line="480" w:lineRule="auto"/>
        <w:jc w:val="both"/>
        <w:rPr>
          <w:rFonts w:ascii="Arial" w:hAnsi="Arial" w:cs="Arial"/>
          <w:b/>
          <w:i/>
          <w:sz w:val="22"/>
          <w:szCs w:val="22"/>
          <w:lang w:val="en-US"/>
        </w:rPr>
      </w:pPr>
      <w:r w:rsidRPr="00057829">
        <w:rPr>
          <w:rFonts w:ascii="Arial" w:hAnsi="Arial" w:cs="Arial"/>
          <w:b/>
          <w:i/>
          <w:sz w:val="22"/>
          <w:szCs w:val="22"/>
          <w:lang w:val="en-US"/>
        </w:rPr>
        <w:t>Patients and treatment</w:t>
      </w:r>
    </w:p>
    <w:p w:rsidR="000730CE" w:rsidRPr="00057829" w:rsidRDefault="00141A43">
      <w:pPr>
        <w:spacing w:line="480" w:lineRule="auto"/>
        <w:jc w:val="both"/>
        <w:rPr>
          <w:rFonts w:ascii="Arial" w:hAnsi="Arial" w:cs="Arial"/>
          <w:sz w:val="22"/>
          <w:szCs w:val="22"/>
          <w:lang w:val="en-US"/>
        </w:rPr>
      </w:pPr>
      <w:r w:rsidRPr="00057829">
        <w:rPr>
          <w:rFonts w:ascii="Arial" w:hAnsi="Arial" w:cs="Arial"/>
          <w:sz w:val="22"/>
          <w:szCs w:val="22"/>
          <w:lang w:val="en-US"/>
        </w:rPr>
        <w:t>We</w:t>
      </w:r>
      <w:r w:rsidRPr="00057829">
        <w:rPr>
          <w:rFonts w:ascii="Arial" w:hAnsi="Arial" w:cs="Arial"/>
          <w:sz w:val="22"/>
          <w:szCs w:val="22"/>
          <w:lang w:val="en-US"/>
        </w:rPr>
        <w:t xml:space="preserve"> retrospectively analyzed 124 adult AML patients who received allogeneic HSCT at the University of Leipzig between September 2002 and December 2015. Median age at HSCT was 64.0 (range 31.3-76.2) years. For all patients, peripheral blood samples at a median</w:t>
      </w:r>
      <w:r w:rsidRPr="00057829">
        <w:rPr>
          <w:rFonts w:ascii="Arial" w:hAnsi="Arial" w:cs="Arial"/>
          <w:sz w:val="22"/>
          <w:szCs w:val="22"/>
          <w:lang w:val="en-US"/>
        </w:rPr>
        <w:t xml:space="preserve"> of 7 (range 0-29) days prior to HSCT were available. Prior to HSCT, patients received age-dependent chemotherapy protocols (under or over 60 years), further details are given in the Supplementary Information. All patients were consolidated with HSCT in fi</w:t>
      </w:r>
      <w:r w:rsidRPr="00057829">
        <w:rPr>
          <w:rFonts w:ascii="Arial" w:hAnsi="Arial" w:cs="Arial"/>
          <w:sz w:val="22"/>
          <w:szCs w:val="22"/>
          <w:lang w:val="en-US"/>
        </w:rPr>
        <w:t>rst (53%) or second CR (27%) or CRi (20%). All patients received NMA conditioning consisting of fludarabine 30 mg/m</w:t>
      </w:r>
      <w:r w:rsidRPr="00057829">
        <w:rPr>
          <w:rFonts w:ascii="Arial" w:hAnsi="Arial" w:cs="Arial"/>
          <w:sz w:val="22"/>
          <w:szCs w:val="22"/>
          <w:vertAlign w:val="superscript"/>
          <w:lang w:val="en-US"/>
        </w:rPr>
        <w:t>2</w:t>
      </w:r>
      <w:r w:rsidRPr="00057829">
        <w:rPr>
          <w:rFonts w:ascii="Arial" w:hAnsi="Arial" w:cs="Arial"/>
          <w:sz w:val="22"/>
          <w:szCs w:val="22"/>
          <w:lang w:val="en-US"/>
        </w:rPr>
        <w:t xml:space="preserve"> for three days and 2 Gy total body irradiation prior to HSCT</w:t>
      </w:r>
      <w:r w:rsidRPr="00057829">
        <w:rPr>
          <w:rFonts w:ascii="Arial" w:hAnsi="Arial" w:cs="Arial"/>
          <w:sz w:val="22"/>
          <w:szCs w:val="22"/>
          <w:vertAlign w:val="superscript"/>
          <w:lang w:val="en-US"/>
        </w:rPr>
        <w:t>25,37</w:t>
      </w:r>
      <w:r w:rsidRPr="00057829">
        <w:rPr>
          <w:rFonts w:ascii="Arial" w:hAnsi="Arial" w:cs="Arial"/>
          <w:sz w:val="22"/>
          <w:szCs w:val="22"/>
          <w:lang w:val="en-US"/>
        </w:rPr>
        <w:t xml:space="preserve"> followed by infusion of granulocyte colony stimulating factor (G-CSF)-mob</w:t>
      </w:r>
      <w:r w:rsidRPr="00057829">
        <w:rPr>
          <w:rFonts w:ascii="Arial" w:hAnsi="Arial" w:cs="Arial"/>
          <w:sz w:val="22"/>
          <w:szCs w:val="22"/>
          <w:lang w:val="en-US"/>
        </w:rPr>
        <w:t xml:space="preserve">ilized peripheral blood stem cells. Reasons for applying NMA conditioning as opposed to myeloablative conditioning were age over 50 years for patients receiving unrelated HSCT (n=104), age over 55 years for patients receiving related HSCT (n=18), previous </w:t>
      </w:r>
      <w:r w:rsidRPr="00057829">
        <w:rPr>
          <w:rFonts w:ascii="Arial" w:hAnsi="Arial" w:cs="Arial"/>
          <w:sz w:val="22"/>
          <w:szCs w:val="22"/>
          <w:lang w:val="en-US"/>
        </w:rPr>
        <w:t>autologous HSCT (n=1) or active infection at HSCT (n=1). Further patients’ characteristics are provided in Table 1 and Supplementary Table S1. Written informed consent for participation in these studies was obtained in accordance with the Declaration of He</w:t>
      </w:r>
      <w:r w:rsidRPr="00057829">
        <w:rPr>
          <w:rFonts w:ascii="Arial" w:hAnsi="Arial" w:cs="Arial"/>
          <w:sz w:val="22"/>
          <w:szCs w:val="22"/>
          <w:lang w:val="en-US"/>
        </w:rPr>
        <w:t>lsinki. Median follow up for patients alive was 1.8 years.</w:t>
      </w:r>
    </w:p>
    <w:p w:rsidR="000730CE" w:rsidRPr="00057829" w:rsidRDefault="000730CE">
      <w:pPr>
        <w:spacing w:line="480" w:lineRule="auto"/>
        <w:jc w:val="both"/>
        <w:rPr>
          <w:rFonts w:ascii="Arial" w:hAnsi="Arial" w:cs="Arial"/>
          <w:sz w:val="22"/>
          <w:szCs w:val="22"/>
          <w:lang w:val="en-US"/>
        </w:rPr>
      </w:pPr>
    </w:p>
    <w:p w:rsidR="000730CE" w:rsidRPr="00057829" w:rsidRDefault="00141A43">
      <w:pPr>
        <w:spacing w:line="480" w:lineRule="auto"/>
        <w:jc w:val="both"/>
        <w:rPr>
          <w:rFonts w:ascii="Arial" w:hAnsi="Arial" w:cs="Arial"/>
          <w:b/>
          <w:i/>
          <w:sz w:val="22"/>
          <w:lang w:val="en-US"/>
        </w:rPr>
      </w:pPr>
      <w:r w:rsidRPr="00057829">
        <w:rPr>
          <w:rFonts w:ascii="Arial" w:hAnsi="Arial" w:cs="Arial"/>
          <w:b/>
          <w:i/>
          <w:sz w:val="22"/>
          <w:lang w:val="en-US"/>
        </w:rPr>
        <w:t>Healthy control cohort</w:t>
      </w:r>
    </w:p>
    <w:p w:rsidR="000730CE" w:rsidRPr="00057829" w:rsidRDefault="00141A43">
      <w:pPr>
        <w:spacing w:line="480" w:lineRule="auto"/>
        <w:jc w:val="both"/>
        <w:rPr>
          <w:rFonts w:ascii="Arial" w:hAnsi="Arial" w:cs="Arial"/>
          <w:sz w:val="22"/>
          <w:szCs w:val="22"/>
          <w:lang w:val="en-US"/>
        </w:rPr>
      </w:pPr>
      <w:r w:rsidRPr="00057829">
        <w:rPr>
          <w:rFonts w:ascii="Arial" w:hAnsi="Arial" w:cs="Arial"/>
          <w:sz w:val="22"/>
          <w:szCs w:val="22"/>
          <w:lang w:val="en-US"/>
        </w:rPr>
        <w:t xml:space="preserve">Additionally, peripheral blood of a control cohort of </w:t>
      </w:r>
      <w:r w:rsidRPr="00057829">
        <w:rPr>
          <w:rFonts w:ascii="Arial" w:hAnsi="Arial" w:cs="Arial"/>
          <w:sz w:val="22"/>
          <w:szCs w:val="22"/>
          <w:u w:val="single"/>
          <w:lang w:val="en-US"/>
        </w:rPr>
        <w:t>17</w:t>
      </w:r>
      <w:r w:rsidRPr="00057829">
        <w:rPr>
          <w:rFonts w:ascii="Arial" w:hAnsi="Arial" w:cs="Arial"/>
          <w:sz w:val="22"/>
          <w:szCs w:val="22"/>
          <w:lang w:val="en-US"/>
        </w:rPr>
        <w:t xml:space="preserve"> healthy volunteers was evaluated for absolute</w:t>
      </w:r>
      <w:r w:rsidRPr="00057829">
        <w:rPr>
          <w:rFonts w:ascii="Arial" w:hAnsi="Arial" w:cs="Arial"/>
          <w:i/>
          <w:sz w:val="22"/>
          <w:szCs w:val="22"/>
          <w:lang w:val="en-US"/>
        </w:rPr>
        <w:t xml:space="preserve"> MN1</w:t>
      </w:r>
      <w:r w:rsidRPr="00057829">
        <w:rPr>
          <w:rFonts w:ascii="Arial" w:hAnsi="Arial" w:cs="Arial"/>
          <w:sz w:val="22"/>
          <w:szCs w:val="22"/>
          <w:lang w:val="en-US"/>
        </w:rPr>
        <w:t>/</w:t>
      </w:r>
      <w:r w:rsidRPr="00057829">
        <w:rPr>
          <w:rFonts w:ascii="Arial" w:hAnsi="Arial" w:cs="Arial"/>
          <w:i/>
          <w:sz w:val="22"/>
          <w:szCs w:val="22"/>
          <w:lang w:val="en-US"/>
        </w:rPr>
        <w:t xml:space="preserve">ABL1 </w:t>
      </w:r>
      <w:r w:rsidRPr="00057829">
        <w:rPr>
          <w:rFonts w:ascii="Arial" w:hAnsi="Arial" w:cs="Arial"/>
          <w:sz w:val="22"/>
          <w:szCs w:val="22"/>
          <w:lang w:val="en-US"/>
        </w:rPr>
        <w:t xml:space="preserve">copy numbers. The healthy individuals had a median age of </w:t>
      </w:r>
      <w:r w:rsidRPr="00057829">
        <w:rPr>
          <w:rFonts w:ascii="Arial" w:hAnsi="Arial" w:cs="Arial"/>
          <w:sz w:val="22"/>
          <w:szCs w:val="22"/>
          <w:u w:val="single"/>
          <w:lang w:val="en-US"/>
        </w:rPr>
        <w:t>53.</w:t>
      </w:r>
      <w:r w:rsidRPr="00057829">
        <w:rPr>
          <w:rFonts w:ascii="Arial" w:hAnsi="Arial" w:cs="Arial"/>
          <w:sz w:val="22"/>
          <w:szCs w:val="22"/>
          <w:u w:val="single"/>
          <w:lang w:val="en-US"/>
        </w:rPr>
        <w:t>6</w:t>
      </w:r>
      <w:r w:rsidRPr="00057829">
        <w:rPr>
          <w:rFonts w:ascii="Arial" w:hAnsi="Arial" w:cs="Arial"/>
          <w:sz w:val="22"/>
          <w:szCs w:val="22"/>
          <w:lang w:val="en-US"/>
        </w:rPr>
        <w:t xml:space="preserve"> (range 3</w:t>
      </w:r>
      <w:r w:rsidRPr="00057829">
        <w:rPr>
          <w:rFonts w:ascii="Arial" w:hAnsi="Arial" w:cs="Arial"/>
          <w:sz w:val="22"/>
          <w:szCs w:val="22"/>
          <w:u w:val="single"/>
          <w:lang w:val="en-US"/>
        </w:rPr>
        <w:t>2.5</w:t>
      </w:r>
      <w:r w:rsidRPr="00057829">
        <w:rPr>
          <w:rFonts w:ascii="Arial" w:hAnsi="Arial" w:cs="Arial"/>
          <w:sz w:val="22"/>
          <w:szCs w:val="22"/>
          <w:lang w:val="en-US"/>
        </w:rPr>
        <w:t>-82.0) years; their characteristics are shown in Supplementary Table S2. Written informed consent was obtained for all healthy individuals.</w:t>
      </w:r>
      <w:r w:rsidRPr="00057829">
        <w:br w:type="page"/>
      </w:r>
    </w:p>
    <w:p w:rsidR="000730CE" w:rsidRPr="00057829" w:rsidRDefault="00141A43">
      <w:pPr>
        <w:spacing w:line="480" w:lineRule="auto"/>
        <w:jc w:val="both"/>
        <w:rPr>
          <w:rFonts w:ascii="Arial" w:hAnsi="Arial" w:cs="Arial"/>
          <w:b/>
          <w:i/>
          <w:sz w:val="22"/>
          <w:szCs w:val="22"/>
          <w:lang w:val="en-US"/>
        </w:rPr>
      </w:pPr>
      <w:r w:rsidRPr="00057829">
        <w:rPr>
          <w:rFonts w:ascii="Arial" w:hAnsi="Arial" w:cs="Arial"/>
          <w:b/>
          <w:i/>
          <w:sz w:val="22"/>
          <w:szCs w:val="22"/>
          <w:lang w:val="en-US"/>
        </w:rPr>
        <w:lastRenderedPageBreak/>
        <w:t>ddPCR assessment of MN1/ABL1 copy numbers</w:t>
      </w:r>
    </w:p>
    <w:p w:rsidR="000730CE" w:rsidRPr="00057829" w:rsidRDefault="00141A43">
      <w:pPr>
        <w:spacing w:line="480" w:lineRule="auto"/>
        <w:jc w:val="both"/>
        <w:rPr>
          <w:rFonts w:ascii="Arial" w:hAnsi="Arial" w:cs="Arial"/>
          <w:b/>
          <w:i/>
          <w:sz w:val="22"/>
          <w:szCs w:val="22"/>
          <w:lang w:val="en-US"/>
        </w:rPr>
      </w:pPr>
      <w:r w:rsidRPr="00057829">
        <w:rPr>
          <w:rFonts w:ascii="Arial" w:hAnsi="Arial" w:cs="Arial"/>
          <w:sz w:val="22"/>
          <w:szCs w:val="22"/>
          <w:u w:val="single"/>
          <w:lang w:val="en-GB"/>
        </w:rPr>
        <w:t xml:space="preserve">Mononuclear cells were isolated from peripheral blood. RNA </w:t>
      </w:r>
      <w:r w:rsidRPr="00057829">
        <w:rPr>
          <w:rFonts w:ascii="Arial" w:hAnsi="Arial" w:cs="Arial"/>
          <w:sz w:val="22"/>
          <w:szCs w:val="22"/>
          <w:u w:val="single"/>
          <w:lang w:val="en-GB"/>
        </w:rPr>
        <w:t>was extracted from 1x10</w:t>
      </w:r>
      <w:r w:rsidRPr="00057829">
        <w:rPr>
          <w:rFonts w:ascii="Arial" w:hAnsi="Arial" w:cs="Arial"/>
          <w:sz w:val="22"/>
          <w:szCs w:val="22"/>
          <w:u w:val="single"/>
          <w:vertAlign w:val="superscript"/>
          <w:lang w:val="en-GB"/>
        </w:rPr>
        <w:t>7</w:t>
      </w:r>
      <w:r w:rsidRPr="00057829">
        <w:rPr>
          <w:rFonts w:ascii="Arial" w:hAnsi="Arial" w:cs="Arial"/>
          <w:sz w:val="22"/>
          <w:szCs w:val="22"/>
          <w:u w:val="single"/>
          <w:lang w:val="en-GB"/>
        </w:rPr>
        <w:t xml:space="preserve"> cells and processed to complementary DNA as previously described.</w:t>
      </w:r>
      <w:r w:rsidRPr="00057829">
        <w:rPr>
          <w:rFonts w:ascii="Arial" w:hAnsi="Arial" w:cs="Arial"/>
          <w:sz w:val="22"/>
          <w:szCs w:val="22"/>
          <w:u w:val="single"/>
          <w:vertAlign w:val="superscript"/>
          <w:lang w:val="en-GB"/>
        </w:rPr>
        <w:t>38</w:t>
      </w:r>
      <w:r w:rsidRPr="00057829">
        <w:rPr>
          <w:rFonts w:ascii="Arial" w:hAnsi="Arial" w:cs="Arial"/>
          <w:sz w:val="22"/>
          <w:szCs w:val="22"/>
          <w:lang w:val="en-GB"/>
        </w:rPr>
        <w:t xml:space="preserve"> </w:t>
      </w:r>
      <w:r w:rsidRPr="00057829">
        <w:rPr>
          <w:rFonts w:ascii="Arial" w:hAnsi="Arial" w:cs="Arial"/>
          <w:sz w:val="22"/>
          <w:szCs w:val="22"/>
          <w:lang w:val="en-US"/>
        </w:rPr>
        <w:t xml:space="preserve">Absolute </w:t>
      </w:r>
      <w:r w:rsidRPr="00057829">
        <w:rPr>
          <w:rFonts w:ascii="Arial" w:hAnsi="Arial" w:cs="Arial"/>
          <w:i/>
          <w:sz w:val="22"/>
          <w:szCs w:val="22"/>
          <w:lang w:val="en-US"/>
        </w:rPr>
        <w:t>MN1</w:t>
      </w:r>
      <w:r w:rsidRPr="00057829">
        <w:rPr>
          <w:rFonts w:ascii="Arial" w:hAnsi="Arial" w:cs="Arial"/>
          <w:sz w:val="22"/>
          <w:szCs w:val="22"/>
          <w:lang w:val="en-US"/>
        </w:rPr>
        <w:t xml:space="preserve"> copy numbers were assessed using a probe based ddPCR assay (BioRad, Hercules, California, USA; Assay ID: dHsaCPE5040386) according to manufacturer’s s</w:t>
      </w:r>
      <w:r w:rsidRPr="00057829">
        <w:rPr>
          <w:rFonts w:ascii="Arial" w:hAnsi="Arial" w:cs="Arial"/>
          <w:sz w:val="22"/>
          <w:szCs w:val="22"/>
          <w:lang w:val="en-US"/>
        </w:rPr>
        <w:t xml:space="preserve">pecifications. Absolute </w:t>
      </w:r>
      <w:r w:rsidRPr="00057829">
        <w:rPr>
          <w:rFonts w:ascii="Arial" w:hAnsi="Arial" w:cs="Arial"/>
          <w:i/>
          <w:sz w:val="22"/>
          <w:szCs w:val="22"/>
          <w:lang w:val="en-US"/>
        </w:rPr>
        <w:t>ABL1</w:t>
      </w:r>
      <w:r w:rsidRPr="00057829">
        <w:rPr>
          <w:rFonts w:ascii="Arial" w:hAnsi="Arial" w:cs="Arial"/>
          <w:sz w:val="22"/>
          <w:szCs w:val="22"/>
          <w:lang w:val="en-US"/>
        </w:rPr>
        <w:t xml:space="preserve"> copy numbers were assessed as previously described.</w:t>
      </w:r>
      <w:r w:rsidRPr="00057829">
        <w:rPr>
          <w:rFonts w:ascii="Arial" w:hAnsi="Arial" w:cs="Arial"/>
          <w:sz w:val="22"/>
          <w:szCs w:val="22"/>
          <w:vertAlign w:val="superscript"/>
          <w:lang w:val="en-US"/>
        </w:rPr>
        <w:t>14</w:t>
      </w:r>
      <w:r w:rsidRPr="00057829">
        <w:rPr>
          <w:rFonts w:ascii="Arial" w:hAnsi="Arial" w:cs="Arial"/>
          <w:sz w:val="22"/>
          <w:szCs w:val="22"/>
          <w:lang w:val="en-US"/>
        </w:rPr>
        <w:t xml:space="preserve"> ddPCR was performed on a QX100 platform (BioRad) and QuantaSoft software (Biorad) was used for raw data processing. With the droplet generator, each sample was divided into </w:t>
      </w:r>
      <w:r w:rsidRPr="00057829">
        <w:rPr>
          <w:rFonts w:ascii="Arial" w:hAnsi="Arial" w:cs="Arial"/>
          <w:sz w:val="22"/>
          <w:szCs w:val="22"/>
          <w:lang w:val="en-US"/>
        </w:rPr>
        <w:t>approximately 10,000 - 20,000 partitions (droplets). After PCR amplification the samples were placed into the droplet reader, where each droplet was read as positive or negative for the gene expression by issuing specific fluorescence signals (FAM and HEX)</w:t>
      </w:r>
      <w:r w:rsidRPr="00057829">
        <w:rPr>
          <w:rFonts w:ascii="Arial" w:hAnsi="Arial" w:cs="Arial"/>
          <w:sz w:val="22"/>
          <w:szCs w:val="22"/>
          <w:lang w:val="en-US"/>
        </w:rPr>
        <w:t xml:space="preserve">. Redistribution according to the Poisson’s algorithm determined the absolute target copy number in the original sample. </w:t>
      </w:r>
    </w:p>
    <w:p w:rsidR="000730CE" w:rsidRPr="00057829" w:rsidRDefault="000730CE">
      <w:pPr>
        <w:spacing w:line="480" w:lineRule="auto"/>
        <w:jc w:val="both"/>
        <w:rPr>
          <w:rFonts w:ascii="Arial" w:hAnsi="Arial" w:cs="Arial"/>
          <w:b/>
          <w:i/>
          <w:sz w:val="22"/>
          <w:szCs w:val="22"/>
          <w:lang w:val="en-US"/>
        </w:rPr>
      </w:pPr>
    </w:p>
    <w:p w:rsidR="000730CE" w:rsidRPr="00057829" w:rsidRDefault="00141A43">
      <w:pPr>
        <w:spacing w:line="480" w:lineRule="auto"/>
        <w:jc w:val="both"/>
        <w:rPr>
          <w:rFonts w:ascii="Arial" w:hAnsi="Arial" w:cs="Arial"/>
          <w:b/>
          <w:sz w:val="22"/>
          <w:szCs w:val="22"/>
          <w:lang w:val="en-US"/>
        </w:rPr>
      </w:pPr>
      <w:r w:rsidRPr="00057829">
        <w:rPr>
          <w:rFonts w:ascii="Arial" w:hAnsi="Arial" w:cs="Arial"/>
          <w:b/>
          <w:i/>
          <w:sz w:val="22"/>
          <w:szCs w:val="22"/>
          <w:lang w:val="en-US"/>
        </w:rPr>
        <w:t>MN1</w:t>
      </w:r>
      <w:r w:rsidRPr="00057829">
        <w:rPr>
          <w:rFonts w:ascii="Arial" w:hAnsi="Arial" w:cs="Arial"/>
          <w:b/>
          <w:sz w:val="22"/>
          <w:szCs w:val="22"/>
          <w:lang w:val="en-US"/>
        </w:rPr>
        <w:t>/</w:t>
      </w:r>
      <w:r w:rsidRPr="00057829">
        <w:rPr>
          <w:rFonts w:ascii="Arial" w:hAnsi="Arial" w:cs="Arial"/>
          <w:b/>
          <w:i/>
          <w:sz w:val="22"/>
          <w:szCs w:val="22"/>
          <w:lang w:val="en-US"/>
        </w:rPr>
        <w:t>ABL1</w:t>
      </w:r>
      <w:r w:rsidRPr="00057829">
        <w:rPr>
          <w:rFonts w:ascii="Arial" w:hAnsi="Arial" w:cs="Arial"/>
          <w:b/>
          <w:sz w:val="22"/>
          <w:szCs w:val="22"/>
          <w:lang w:val="en-US"/>
        </w:rPr>
        <w:t xml:space="preserve"> cut-off definition</w:t>
      </w:r>
    </w:p>
    <w:p w:rsidR="000730CE" w:rsidRPr="00057829" w:rsidRDefault="00141A43">
      <w:pPr>
        <w:spacing w:line="480" w:lineRule="auto"/>
        <w:jc w:val="both"/>
        <w:rPr>
          <w:rFonts w:ascii="Arial" w:hAnsi="Arial" w:cs="Arial"/>
          <w:sz w:val="22"/>
          <w:szCs w:val="22"/>
          <w:lang w:val="en-US"/>
        </w:rPr>
      </w:pPr>
      <w:r w:rsidRPr="00057829">
        <w:rPr>
          <w:rFonts w:ascii="Arial" w:hAnsi="Arial" w:cs="Arial"/>
          <w:sz w:val="22"/>
          <w:szCs w:val="22"/>
          <w:lang w:val="en-US"/>
        </w:rPr>
        <w:t>Using the R package ‘OptimalCutpoints’</w:t>
      </w:r>
      <w:r w:rsidRPr="00057829">
        <w:rPr>
          <w:rFonts w:ascii="Arial" w:hAnsi="Arial" w:cs="Arial"/>
          <w:sz w:val="22"/>
          <w:szCs w:val="22"/>
          <w:vertAlign w:val="superscript"/>
          <w:lang w:val="en-US"/>
        </w:rPr>
        <w:t>39</w:t>
      </w:r>
      <w:r w:rsidRPr="00057829">
        <w:rPr>
          <w:rFonts w:ascii="Arial" w:hAnsi="Arial" w:cs="Arial"/>
          <w:sz w:val="22"/>
          <w:szCs w:val="22"/>
          <w:lang w:val="en-US"/>
        </w:rPr>
        <w:t xml:space="preserve"> the optimal cut-off of 0.2992 absolute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 xml:space="preserve">ABL1 </w:t>
      </w:r>
      <w:r w:rsidRPr="00057829">
        <w:rPr>
          <w:rFonts w:ascii="Arial" w:hAnsi="Arial" w:cs="Arial"/>
          <w:sz w:val="22"/>
          <w:szCs w:val="22"/>
          <w:lang w:val="en-US"/>
        </w:rPr>
        <w:t xml:space="preserve">copies (high </w:t>
      </w:r>
      <w:r w:rsidRPr="00057829">
        <w:rPr>
          <w:rFonts w:ascii="Arial" w:hAnsi="Arial" w:cs="Arial"/>
          <w:i/>
          <w:sz w:val="22"/>
          <w:szCs w:val="22"/>
          <w:lang w:val="en-US"/>
        </w:rPr>
        <w:t>vs</w:t>
      </w:r>
      <w:r w:rsidRPr="00057829">
        <w:rPr>
          <w:rFonts w:ascii="Arial" w:hAnsi="Arial" w:cs="Arial"/>
          <w:sz w:val="22"/>
          <w:szCs w:val="22"/>
          <w:lang w:val="en-US"/>
        </w:rPr>
        <w:t xml:space="preserve"> low) was determined to differentiate according to their relapse probability. To evaluate whether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quantification in patients with very high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 allowed the identification of a very high risk group, a second</w:t>
      </w:r>
      <w:r w:rsidRPr="00057829">
        <w:rPr>
          <w:rFonts w:ascii="Arial" w:hAnsi="Arial" w:cs="Arial"/>
          <w:sz w:val="22"/>
          <w:szCs w:val="22"/>
          <w:lang w:val="en-US"/>
        </w:rPr>
        <w:t xml:space="preserve"> optimal cut-off of 0.8693 absolute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 was assessed in these patients and discriminated a cohort with higher (n=27, 69% of patients with high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or the topmost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(n=12, 31% of pati</w:t>
      </w:r>
      <w:r w:rsidRPr="00057829">
        <w:rPr>
          <w:rFonts w:ascii="Arial" w:hAnsi="Arial" w:cs="Arial"/>
          <w:sz w:val="22"/>
          <w:szCs w:val="22"/>
          <w:lang w:val="en-US"/>
        </w:rPr>
        <w:t xml:space="preserve">ents with high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w:t>
      </w:r>
    </w:p>
    <w:p w:rsidR="000730CE" w:rsidRPr="00057829" w:rsidRDefault="000730CE">
      <w:pPr>
        <w:spacing w:line="480" w:lineRule="auto"/>
        <w:jc w:val="both"/>
        <w:rPr>
          <w:rFonts w:ascii="Arial" w:hAnsi="Arial" w:cs="Arial"/>
          <w:b/>
          <w:i/>
          <w:sz w:val="22"/>
          <w:lang w:val="en-US"/>
        </w:rPr>
      </w:pPr>
    </w:p>
    <w:p w:rsidR="000730CE" w:rsidRPr="00057829" w:rsidRDefault="00141A43">
      <w:pPr>
        <w:spacing w:line="480" w:lineRule="auto"/>
        <w:jc w:val="both"/>
        <w:rPr>
          <w:rFonts w:ascii="Arial" w:hAnsi="Arial" w:cs="Arial"/>
          <w:b/>
          <w:i/>
          <w:sz w:val="22"/>
          <w:lang w:val="en-US"/>
        </w:rPr>
      </w:pPr>
      <w:r w:rsidRPr="00057829">
        <w:rPr>
          <w:rFonts w:ascii="Arial" w:hAnsi="Arial" w:cs="Arial"/>
          <w:b/>
          <w:i/>
          <w:sz w:val="22"/>
          <w:lang w:val="en-US"/>
        </w:rPr>
        <w:t>Flow cytometry, cytogenetics, and molecular markers</w:t>
      </w:r>
    </w:p>
    <w:p w:rsidR="000730CE" w:rsidRPr="00057829" w:rsidRDefault="00141A43">
      <w:pPr>
        <w:spacing w:line="480" w:lineRule="auto"/>
        <w:jc w:val="both"/>
        <w:rPr>
          <w:rFonts w:ascii="Arial" w:hAnsi="Arial" w:cs="Arial"/>
          <w:sz w:val="22"/>
          <w:szCs w:val="22"/>
          <w:lang w:val="en-US"/>
        </w:rPr>
      </w:pPr>
      <w:r w:rsidRPr="00057829">
        <w:rPr>
          <w:rFonts w:ascii="Arial" w:hAnsi="Arial" w:cs="Arial"/>
          <w:sz w:val="22"/>
          <w:szCs w:val="22"/>
          <w:lang w:val="en-US"/>
        </w:rPr>
        <w:t>In patients with pre-treatment bone marrow material available, cytogenetic analyses were performed centrally in our institution using standard banding tech</w:t>
      </w:r>
      <w:r w:rsidRPr="00057829">
        <w:rPr>
          <w:rFonts w:ascii="Arial" w:hAnsi="Arial" w:cs="Arial"/>
          <w:sz w:val="22"/>
          <w:szCs w:val="22"/>
          <w:lang w:val="en-US"/>
        </w:rPr>
        <w:t xml:space="preserve">niques. In cases were no metaphases could be obtained, fluorescence </w:t>
      </w:r>
      <w:r w:rsidRPr="00057829">
        <w:rPr>
          <w:rFonts w:ascii="Arial" w:hAnsi="Arial" w:cs="Arial"/>
          <w:i/>
          <w:iCs/>
          <w:sz w:val="22"/>
          <w:szCs w:val="22"/>
          <w:lang w:val="en-US"/>
        </w:rPr>
        <w:t>in-situ</w:t>
      </w:r>
      <w:r w:rsidRPr="00057829">
        <w:rPr>
          <w:rFonts w:ascii="Arial" w:hAnsi="Arial" w:cs="Arial"/>
          <w:sz w:val="22"/>
          <w:szCs w:val="22"/>
          <w:lang w:val="en-US"/>
        </w:rPr>
        <w:t xml:space="preserve"> hybridization (FISH) was used to screen for recurrent abnormalities (</w:t>
      </w:r>
      <w:r w:rsidRPr="00057829">
        <w:rPr>
          <w:rFonts w:ascii="Arial" w:hAnsi="Arial" w:cs="Arial"/>
          <w:i/>
          <w:sz w:val="22"/>
          <w:szCs w:val="22"/>
          <w:lang w:val="en-US"/>
        </w:rPr>
        <w:t>i.e.</w:t>
      </w:r>
      <w:r w:rsidRPr="00057829">
        <w:rPr>
          <w:rFonts w:ascii="Arial" w:hAnsi="Arial" w:cs="Arial"/>
          <w:sz w:val="22"/>
          <w:szCs w:val="22"/>
          <w:lang w:val="en-US"/>
        </w:rPr>
        <w:t xml:space="preserve"> del5/5q, del7/7q, trisomy 8, abn11q23, t(8;21), inv(16) and </w:t>
      </w:r>
      <w:r w:rsidRPr="00057829">
        <w:rPr>
          <w:rFonts w:ascii="Arial" w:hAnsi="Arial" w:cs="Arial"/>
          <w:sz w:val="22"/>
          <w:szCs w:val="22"/>
          <w:lang w:val="en-US"/>
        </w:rPr>
        <w:lastRenderedPageBreak/>
        <w:t>t(15;17); [n=5]). At diagnosis, the presence o</w:t>
      </w:r>
      <w:r w:rsidRPr="00057829">
        <w:rPr>
          <w:rFonts w:ascii="Arial" w:hAnsi="Arial" w:cs="Arial"/>
          <w:sz w:val="22"/>
          <w:szCs w:val="22"/>
          <w:lang w:val="en-US"/>
        </w:rPr>
        <w:t xml:space="preserve">f internal tandem duplication in the </w:t>
      </w:r>
      <w:r w:rsidRPr="00057829">
        <w:rPr>
          <w:rFonts w:ascii="Arial" w:hAnsi="Arial" w:cs="Arial"/>
          <w:i/>
          <w:sz w:val="22"/>
          <w:szCs w:val="22"/>
          <w:lang w:val="en-US"/>
        </w:rPr>
        <w:t>FLT3</w:t>
      </w:r>
      <w:r w:rsidRPr="00057829">
        <w:rPr>
          <w:rFonts w:ascii="Arial" w:hAnsi="Arial" w:cs="Arial"/>
          <w:sz w:val="22"/>
          <w:szCs w:val="22"/>
          <w:lang w:val="en-US"/>
        </w:rPr>
        <w:t xml:space="preserve"> gene (</w:t>
      </w:r>
      <w:r w:rsidRPr="00057829">
        <w:rPr>
          <w:rFonts w:ascii="Arial" w:hAnsi="Arial" w:cs="Arial"/>
          <w:i/>
          <w:sz w:val="22"/>
          <w:szCs w:val="22"/>
          <w:lang w:val="en-US"/>
        </w:rPr>
        <w:t>FLT3</w:t>
      </w:r>
      <w:r w:rsidRPr="00057829">
        <w:rPr>
          <w:rFonts w:ascii="Arial" w:hAnsi="Arial" w:cs="Arial"/>
          <w:sz w:val="22"/>
          <w:szCs w:val="22"/>
          <w:lang w:val="en-US"/>
        </w:rPr>
        <w:t xml:space="preserve">-ITD), mutations in the </w:t>
      </w:r>
      <w:r w:rsidRPr="00057829">
        <w:rPr>
          <w:rFonts w:ascii="Arial" w:hAnsi="Arial" w:cs="Arial"/>
          <w:i/>
          <w:sz w:val="22"/>
          <w:szCs w:val="22"/>
          <w:lang w:val="en-US"/>
        </w:rPr>
        <w:t xml:space="preserve">FLT3 </w:t>
      </w:r>
      <w:r w:rsidRPr="00057829">
        <w:rPr>
          <w:rFonts w:ascii="Arial" w:hAnsi="Arial" w:cs="Arial"/>
          <w:sz w:val="22"/>
          <w:szCs w:val="22"/>
          <w:lang w:val="en-US"/>
        </w:rPr>
        <w:t>tyrosine kinase domain (</w:t>
      </w:r>
      <w:r w:rsidRPr="00057829">
        <w:rPr>
          <w:rFonts w:ascii="Arial" w:hAnsi="Arial" w:cs="Arial"/>
          <w:i/>
          <w:sz w:val="22"/>
          <w:szCs w:val="22"/>
          <w:lang w:val="en-US"/>
        </w:rPr>
        <w:t>FLT3</w:t>
      </w:r>
      <w:r w:rsidRPr="00057829">
        <w:rPr>
          <w:rFonts w:ascii="Arial" w:hAnsi="Arial" w:cs="Arial"/>
          <w:sz w:val="22"/>
          <w:szCs w:val="22"/>
          <w:lang w:val="en-US"/>
        </w:rPr>
        <w:t xml:space="preserve">-TKD) and in the </w:t>
      </w:r>
      <w:r w:rsidRPr="00057829">
        <w:rPr>
          <w:rFonts w:ascii="Arial" w:hAnsi="Arial" w:cs="Arial"/>
          <w:i/>
          <w:sz w:val="22"/>
          <w:szCs w:val="22"/>
          <w:lang w:val="en-US"/>
        </w:rPr>
        <w:t>NPM1</w:t>
      </w:r>
      <w:r w:rsidRPr="00057829">
        <w:rPr>
          <w:rFonts w:ascii="Arial" w:hAnsi="Arial" w:cs="Arial"/>
          <w:sz w:val="22"/>
          <w:szCs w:val="22"/>
          <w:lang w:val="en-US"/>
        </w:rPr>
        <w:t xml:space="preserve"> and </w:t>
      </w:r>
      <w:r w:rsidRPr="00057829">
        <w:rPr>
          <w:rFonts w:ascii="Arial" w:hAnsi="Arial" w:cs="Arial"/>
          <w:i/>
          <w:sz w:val="22"/>
          <w:szCs w:val="22"/>
          <w:lang w:val="en-US"/>
        </w:rPr>
        <w:t xml:space="preserve">CEBPA </w:t>
      </w:r>
      <w:r w:rsidRPr="00057829">
        <w:rPr>
          <w:rFonts w:ascii="Arial" w:hAnsi="Arial" w:cs="Arial"/>
          <w:sz w:val="22"/>
          <w:szCs w:val="22"/>
          <w:lang w:val="en-US"/>
        </w:rPr>
        <w:t>genes were determined as previously described.</w:t>
      </w:r>
      <w:r w:rsidRPr="00057829">
        <w:rPr>
          <w:rFonts w:ascii="Arial" w:hAnsi="Arial" w:cs="Arial"/>
          <w:sz w:val="22"/>
          <w:szCs w:val="22"/>
          <w:vertAlign w:val="superscript"/>
          <w:lang w:val="en-US"/>
        </w:rPr>
        <w:t xml:space="preserve">40 </w:t>
      </w:r>
      <w:r w:rsidRPr="00057829">
        <w:rPr>
          <w:rFonts w:ascii="Arial" w:hAnsi="Arial" w:cs="Arial"/>
          <w:sz w:val="22"/>
          <w:szCs w:val="22"/>
          <w:lang w:val="en-US"/>
        </w:rPr>
        <w:t xml:space="preserve">Patients were grouped according to the ELN 2010 classification in </w:t>
      </w:r>
      <w:r w:rsidRPr="00057829">
        <w:rPr>
          <w:rFonts w:ascii="Arial" w:hAnsi="Arial" w:cs="Arial"/>
          <w:sz w:val="22"/>
          <w:szCs w:val="22"/>
          <w:lang w:val="en-US"/>
        </w:rPr>
        <w:t>four risk groups.</w:t>
      </w:r>
      <w:r w:rsidRPr="00057829">
        <w:rPr>
          <w:rFonts w:ascii="Arial" w:hAnsi="Arial" w:cs="Arial"/>
          <w:sz w:val="22"/>
          <w:szCs w:val="22"/>
          <w:vertAlign w:val="superscript"/>
          <w:lang w:val="en-US"/>
        </w:rPr>
        <w:t>41</w:t>
      </w:r>
      <w:r w:rsidRPr="00057829">
        <w:rPr>
          <w:rFonts w:ascii="Arial" w:hAnsi="Arial" w:cs="Arial"/>
          <w:sz w:val="22"/>
          <w:szCs w:val="22"/>
          <w:lang w:val="en-US"/>
        </w:rPr>
        <w:t xml:space="preserve"> For 71 patients with material available, the bone marrow CD34 and CD38 expression on mononuclear cells at diagnosis was determined as previously described.</w:t>
      </w:r>
      <w:r w:rsidRPr="00057829">
        <w:rPr>
          <w:rFonts w:ascii="Arial" w:hAnsi="Arial" w:cs="Arial"/>
          <w:sz w:val="22"/>
          <w:szCs w:val="22"/>
          <w:vertAlign w:val="superscript"/>
          <w:lang w:val="en-US"/>
        </w:rPr>
        <w:t xml:space="preserve">42 </w:t>
      </w:r>
      <w:r w:rsidRPr="00057829">
        <w:rPr>
          <w:rFonts w:ascii="Arial" w:hAnsi="Arial" w:cs="Arial"/>
          <w:sz w:val="22"/>
          <w:szCs w:val="22"/>
          <w:lang w:val="en-US"/>
        </w:rPr>
        <w:t xml:space="preserve">Patients were considered CD34-positive when more than 20% of blasts at </w:t>
      </w:r>
      <w:r w:rsidRPr="00057829">
        <w:rPr>
          <w:rFonts w:ascii="Arial" w:hAnsi="Arial" w:cs="Arial"/>
          <w:sz w:val="22"/>
          <w:szCs w:val="22"/>
          <w:lang w:val="en-US"/>
        </w:rPr>
        <w:t>diagnosis reacted with the CD34 antibody.</w:t>
      </w:r>
      <w:r w:rsidRPr="00057829">
        <w:rPr>
          <w:rFonts w:ascii="Arial" w:hAnsi="Arial" w:cs="Arial"/>
          <w:sz w:val="22"/>
          <w:szCs w:val="22"/>
          <w:vertAlign w:val="superscript"/>
          <w:lang w:val="en-US"/>
        </w:rPr>
        <w:t>43</w:t>
      </w:r>
      <w:r w:rsidRPr="00057829">
        <w:rPr>
          <w:rFonts w:ascii="Arial" w:hAnsi="Arial" w:cs="Arial"/>
          <w:sz w:val="22"/>
          <w:szCs w:val="22"/>
          <w:lang w:val="en-US"/>
        </w:rPr>
        <w:t xml:space="preserve"> </w:t>
      </w:r>
    </w:p>
    <w:p w:rsidR="000730CE" w:rsidRPr="00057829" w:rsidRDefault="000730CE">
      <w:pPr>
        <w:spacing w:line="480" w:lineRule="auto"/>
        <w:jc w:val="both"/>
        <w:rPr>
          <w:rFonts w:ascii="Arial" w:hAnsi="Arial" w:cs="Arial"/>
          <w:sz w:val="22"/>
          <w:szCs w:val="22"/>
          <w:lang w:val="en-US"/>
        </w:rPr>
      </w:pPr>
    </w:p>
    <w:p w:rsidR="000730CE" w:rsidRPr="00057829" w:rsidRDefault="00141A43">
      <w:pPr>
        <w:spacing w:line="480" w:lineRule="auto"/>
        <w:jc w:val="both"/>
        <w:rPr>
          <w:rFonts w:ascii="Arial" w:hAnsi="Arial" w:cs="Arial"/>
          <w:b/>
          <w:i/>
          <w:sz w:val="22"/>
          <w:szCs w:val="22"/>
          <w:lang w:val="en-US"/>
        </w:rPr>
      </w:pPr>
      <w:r w:rsidRPr="00057829">
        <w:rPr>
          <w:rFonts w:ascii="Arial" w:hAnsi="Arial" w:cs="Arial"/>
          <w:b/>
          <w:i/>
          <w:sz w:val="22"/>
          <w:szCs w:val="22"/>
          <w:lang w:val="en-US"/>
        </w:rPr>
        <w:t>Analysis of other MRD markers</w:t>
      </w:r>
    </w:p>
    <w:p w:rsidR="000730CE" w:rsidRPr="00057829" w:rsidRDefault="00141A43">
      <w:pPr>
        <w:spacing w:line="480" w:lineRule="auto"/>
        <w:jc w:val="both"/>
        <w:rPr>
          <w:rFonts w:ascii="Arial" w:hAnsi="Arial" w:cs="Arial"/>
          <w:sz w:val="22"/>
          <w:szCs w:val="22"/>
          <w:lang w:val="en-US"/>
        </w:rPr>
      </w:pPr>
      <w:r w:rsidRPr="00057829">
        <w:rPr>
          <w:rFonts w:ascii="Arial" w:hAnsi="Arial" w:cs="Arial"/>
          <w:sz w:val="22"/>
          <w:szCs w:val="22"/>
          <w:lang w:val="en-US"/>
        </w:rPr>
        <w:t xml:space="preserve">For all patients, pre-HSCT </w:t>
      </w:r>
      <w:r w:rsidRPr="00057829">
        <w:rPr>
          <w:rFonts w:ascii="Arial" w:hAnsi="Arial" w:cs="Arial"/>
          <w:i/>
          <w:sz w:val="22"/>
          <w:szCs w:val="22"/>
          <w:lang w:val="en-US"/>
        </w:rPr>
        <w:t>BAALC</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numbers were evaluated by ddPCR as previously described.</w:t>
      </w:r>
      <w:r w:rsidRPr="00057829">
        <w:rPr>
          <w:rFonts w:ascii="Arial" w:hAnsi="Arial" w:cs="Arial"/>
          <w:sz w:val="22"/>
          <w:szCs w:val="22"/>
          <w:vertAlign w:val="superscript"/>
          <w:lang w:val="en-US"/>
        </w:rPr>
        <w:t xml:space="preserve">14 </w:t>
      </w:r>
      <w:r w:rsidRPr="00057829">
        <w:rPr>
          <w:rFonts w:ascii="Arial" w:hAnsi="Arial" w:cs="Arial"/>
          <w:sz w:val="22"/>
          <w:szCs w:val="22"/>
          <w:u w:val="single"/>
          <w:lang w:val="en-US"/>
        </w:rPr>
        <w:t xml:space="preserve">In 111 patients, </w:t>
      </w:r>
      <w:r w:rsidRPr="00057829">
        <w:rPr>
          <w:rFonts w:ascii="Arial" w:hAnsi="Arial" w:cs="Arial"/>
          <w:i/>
          <w:sz w:val="22"/>
          <w:szCs w:val="22"/>
          <w:u w:val="single"/>
          <w:lang w:val="en-US"/>
        </w:rPr>
        <w:t>WT1</w:t>
      </w:r>
      <w:r w:rsidRPr="00057829">
        <w:rPr>
          <w:rFonts w:ascii="Arial" w:hAnsi="Arial" w:cs="Arial"/>
          <w:sz w:val="22"/>
          <w:szCs w:val="22"/>
          <w:u w:val="single"/>
          <w:lang w:val="en-US"/>
        </w:rPr>
        <w:t>/</w:t>
      </w:r>
      <w:r w:rsidRPr="00057829">
        <w:rPr>
          <w:rFonts w:ascii="Arial" w:hAnsi="Arial" w:cs="Arial"/>
          <w:i/>
          <w:sz w:val="22"/>
          <w:szCs w:val="22"/>
          <w:u w:val="single"/>
          <w:lang w:val="en-US"/>
        </w:rPr>
        <w:t>ABL1</w:t>
      </w:r>
      <w:r w:rsidRPr="00057829">
        <w:rPr>
          <w:rFonts w:ascii="Arial" w:hAnsi="Arial" w:cs="Arial"/>
          <w:sz w:val="22"/>
          <w:szCs w:val="22"/>
          <w:u w:val="single"/>
          <w:lang w:val="en-US"/>
        </w:rPr>
        <w:t xml:space="preserve"> expression levels prior to HSCT were evaluated using quantitative PCR as previously described.</w:t>
      </w:r>
      <w:r w:rsidRPr="00057829">
        <w:rPr>
          <w:rFonts w:ascii="Arial" w:hAnsi="Arial" w:cs="Arial"/>
          <w:sz w:val="22"/>
          <w:szCs w:val="22"/>
          <w:u w:val="single"/>
          <w:vertAlign w:val="superscript"/>
          <w:lang w:val="en-US"/>
        </w:rPr>
        <w:t xml:space="preserve">13 </w:t>
      </w:r>
      <w:r w:rsidRPr="00057829">
        <w:rPr>
          <w:rFonts w:ascii="Arial" w:hAnsi="Arial" w:cs="Arial"/>
          <w:sz w:val="22"/>
          <w:szCs w:val="22"/>
          <w:lang w:val="en-US"/>
        </w:rPr>
        <w:t xml:space="preserve">For 20 patients with </w:t>
      </w:r>
      <w:r w:rsidRPr="00057829">
        <w:rPr>
          <w:rFonts w:ascii="Arial" w:hAnsi="Arial" w:cs="Arial"/>
          <w:i/>
          <w:sz w:val="22"/>
          <w:szCs w:val="22"/>
          <w:lang w:val="en-US"/>
        </w:rPr>
        <w:t>NPM1</w:t>
      </w:r>
      <w:r w:rsidRPr="00057829">
        <w:rPr>
          <w:rFonts w:ascii="Arial" w:hAnsi="Arial" w:cs="Arial"/>
          <w:sz w:val="22"/>
          <w:szCs w:val="22"/>
          <w:lang w:val="en-US"/>
        </w:rPr>
        <w:t xml:space="preserve"> mutated AML, pre-HSCT </w:t>
      </w:r>
      <w:r w:rsidRPr="00057829">
        <w:rPr>
          <w:rFonts w:ascii="Arial" w:hAnsi="Arial" w:cs="Arial"/>
          <w:i/>
          <w:sz w:val="22"/>
          <w:szCs w:val="22"/>
          <w:lang w:val="en-US"/>
        </w:rPr>
        <w:t>NPM1</w:t>
      </w:r>
      <w:r w:rsidRPr="00057829">
        <w:rPr>
          <w:rFonts w:ascii="Arial" w:hAnsi="Arial" w:cs="Arial"/>
          <w:sz w:val="22"/>
          <w:szCs w:val="22"/>
          <w:lang w:val="en-US"/>
        </w:rPr>
        <w:t xml:space="preserve"> MRD status was evaluated by ddPCR as previously described.</w:t>
      </w:r>
      <w:r w:rsidRPr="00057829">
        <w:rPr>
          <w:rFonts w:ascii="Arial" w:hAnsi="Arial" w:cs="Arial"/>
          <w:sz w:val="22"/>
          <w:szCs w:val="22"/>
          <w:vertAlign w:val="superscript"/>
          <w:lang w:val="en-US"/>
        </w:rPr>
        <w:t xml:space="preserve">8 </w:t>
      </w:r>
      <w:r w:rsidRPr="00057829">
        <w:rPr>
          <w:rFonts w:ascii="Arial" w:hAnsi="Arial" w:cs="Arial"/>
          <w:sz w:val="22"/>
          <w:szCs w:val="22"/>
          <w:lang w:val="en-US"/>
        </w:rPr>
        <w:t>The applicability of all three markers for MR</w:t>
      </w:r>
      <w:r w:rsidRPr="00057829">
        <w:rPr>
          <w:rFonts w:ascii="Arial" w:hAnsi="Arial" w:cs="Arial"/>
          <w:sz w:val="22"/>
          <w:szCs w:val="22"/>
          <w:lang w:val="en-US"/>
        </w:rPr>
        <w:t>D evaluation have been previously published by ou</w:t>
      </w:r>
      <w:bookmarkStart w:id="3" w:name="_GoBack"/>
      <w:r w:rsidRPr="00057829">
        <w:rPr>
          <w:rFonts w:ascii="Arial" w:hAnsi="Arial" w:cs="Arial"/>
          <w:sz w:val="22"/>
          <w:szCs w:val="22"/>
          <w:lang w:val="en-US"/>
        </w:rPr>
        <w:t>r institution.</w:t>
      </w:r>
      <w:bookmarkEnd w:id="3"/>
      <w:r w:rsidRPr="00057829">
        <w:rPr>
          <w:rFonts w:ascii="Arial" w:hAnsi="Arial" w:cs="Arial"/>
          <w:sz w:val="22"/>
          <w:szCs w:val="22"/>
          <w:vertAlign w:val="superscript"/>
          <w:lang w:val="en-US"/>
        </w:rPr>
        <w:t>8,</w:t>
      </w:r>
      <w:r w:rsidRPr="00057829">
        <w:rPr>
          <w:rFonts w:ascii="Arial" w:hAnsi="Arial" w:cs="Arial"/>
          <w:sz w:val="22"/>
          <w:szCs w:val="22"/>
          <w:u w:val="single"/>
          <w:vertAlign w:val="superscript"/>
          <w:lang w:val="en-US"/>
        </w:rPr>
        <w:t>13</w:t>
      </w:r>
      <w:r w:rsidRPr="00057829">
        <w:rPr>
          <w:rFonts w:ascii="Arial" w:hAnsi="Arial" w:cs="Arial"/>
          <w:sz w:val="22"/>
          <w:szCs w:val="22"/>
          <w:vertAlign w:val="superscript"/>
          <w:lang w:val="en-US"/>
        </w:rPr>
        <w:t>,14</w:t>
      </w:r>
    </w:p>
    <w:p w:rsidR="000730CE" w:rsidRPr="00057829" w:rsidRDefault="000730CE">
      <w:pPr>
        <w:spacing w:line="480" w:lineRule="auto"/>
        <w:jc w:val="both"/>
        <w:rPr>
          <w:rFonts w:ascii="Arial" w:hAnsi="Arial" w:cs="Arial"/>
          <w:lang w:val="en-US"/>
        </w:rPr>
      </w:pPr>
    </w:p>
    <w:p w:rsidR="000730CE" w:rsidRPr="00057829" w:rsidRDefault="00141A43">
      <w:pPr>
        <w:spacing w:line="480" w:lineRule="auto"/>
        <w:jc w:val="both"/>
        <w:rPr>
          <w:rFonts w:ascii="Arial" w:hAnsi="Arial" w:cs="Arial"/>
          <w:sz w:val="22"/>
          <w:szCs w:val="22"/>
          <w:lang w:val="en-US"/>
        </w:rPr>
      </w:pPr>
      <w:r w:rsidRPr="00057829">
        <w:rPr>
          <w:rFonts w:ascii="Arial" w:hAnsi="Arial" w:cs="Arial"/>
          <w:b/>
          <w:i/>
          <w:sz w:val="22"/>
          <w:lang w:val="en-US"/>
        </w:rPr>
        <w:t>Definition of clinical endpoints and statistical analyses</w:t>
      </w:r>
    </w:p>
    <w:p w:rsidR="000730CE" w:rsidRPr="00057829" w:rsidRDefault="00141A43">
      <w:pPr>
        <w:spacing w:line="480" w:lineRule="auto"/>
        <w:jc w:val="both"/>
        <w:rPr>
          <w:rFonts w:ascii="Arial" w:hAnsi="Arial" w:cs="Arial"/>
          <w:sz w:val="22"/>
          <w:szCs w:val="22"/>
          <w:lang w:val="en-US"/>
        </w:rPr>
      </w:pPr>
      <w:r w:rsidRPr="00057829">
        <w:rPr>
          <w:rFonts w:ascii="Arial" w:hAnsi="Arial" w:cs="Arial"/>
          <w:sz w:val="22"/>
          <w:szCs w:val="22"/>
          <w:lang w:val="en-US"/>
        </w:rPr>
        <w:t xml:space="preserve">All statistical analyses were performed using the R statistical software platform (version 3.4.3). CIR was calculated from HSCT to morphologic relapse and OS was calculated from HSCT to death from any cause. Associations of the pre-HSCT </w:t>
      </w:r>
      <w:r w:rsidRPr="00057829">
        <w:rPr>
          <w:rFonts w:ascii="Arial" w:hAnsi="Arial" w:cs="Arial"/>
          <w:i/>
          <w:sz w:val="22"/>
          <w:szCs w:val="22"/>
          <w:lang w:val="en-US"/>
        </w:rPr>
        <w:t>MN1</w:t>
      </w:r>
      <w:r w:rsidRPr="00057829">
        <w:rPr>
          <w:rFonts w:ascii="Arial" w:hAnsi="Arial" w:cs="Arial"/>
          <w:sz w:val="22"/>
          <w:szCs w:val="22"/>
          <w:lang w:val="en-US"/>
        </w:rPr>
        <w:t>/</w:t>
      </w:r>
      <w:r w:rsidRPr="00057829">
        <w:rPr>
          <w:rFonts w:ascii="Arial" w:hAnsi="Arial" w:cs="Arial"/>
          <w:i/>
          <w:sz w:val="22"/>
          <w:szCs w:val="22"/>
          <w:lang w:val="en-US"/>
        </w:rPr>
        <w:t>ABL1</w:t>
      </w:r>
      <w:r w:rsidRPr="00057829">
        <w:rPr>
          <w:rFonts w:ascii="Arial" w:hAnsi="Arial" w:cs="Arial"/>
          <w:sz w:val="22"/>
          <w:szCs w:val="22"/>
          <w:lang w:val="en-US"/>
        </w:rPr>
        <w:t xml:space="preserve"> copy numbe</w:t>
      </w:r>
      <w:r w:rsidRPr="00057829">
        <w:rPr>
          <w:rFonts w:ascii="Arial" w:hAnsi="Arial" w:cs="Arial"/>
          <w:sz w:val="22"/>
          <w:szCs w:val="22"/>
          <w:lang w:val="en-US"/>
        </w:rPr>
        <w:t>rs with baseline clinical, demographic, and molecular features were compared using the Kruskal-Wallis test and Fisher’s exact test for continuous and categorical variables, respectively. For OS, survival estimates were calculated using the Kaplan-Meier met</w:t>
      </w:r>
      <w:r w:rsidRPr="00057829">
        <w:rPr>
          <w:rFonts w:ascii="Arial" w:hAnsi="Arial" w:cs="Arial"/>
          <w:sz w:val="22"/>
          <w:szCs w:val="22"/>
          <w:lang w:val="en-US"/>
        </w:rPr>
        <w:t xml:space="preserve">hod and groups were compared with the log-rank test. CIR was calculated considering the competing risk NRM using the Fine and Gray model. </w:t>
      </w:r>
      <w:r w:rsidRPr="00057829">
        <w:br w:type="page"/>
      </w:r>
    </w:p>
    <w:p w:rsidR="000730CE" w:rsidRPr="00057829" w:rsidRDefault="00141A43">
      <w:pPr>
        <w:spacing w:line="480" w:lineRule="auto"/>
        <w:rPr>
          <w:rFonts w:ascii="Arial" w:hAnsi="Arial" w:cs="Arial"/>
          <w:b/>
          <w:lang w:val="en-US"/>
        </w:rPr>
      </w:pPr>
      <w:r w:rsidRPr="00057829">
        <w:rPr>
          <w:rFonts w:ascii="Arial" w:hAnsi="Arial" w:cs="Arial"/>
          <w:b/>
          <w:lang w:val="en-US"/>
        </w:rPr>
        <w:lastRenderedPageBreak/>
        <w:t>Acknowledgements</w:t>
      </w:r>
    </w:p>
    <w:p w:rsidR="000730CE" w:rsidRPr="00057829" w:rsidRDefault="00141A43">
      <w:pPr>
        <w:spacing w:after="240" w:line="480" w:lineRule="auto"/>
        <w:jc w:val="both"/>
        <w:rPr>
          <w:rFonts w:ascii="Arial" w:hAnsi="Arial" w:cs="Arial"/>
          <w:sz w:val="22"/>
          <w:szCs w:val="22"/>
          <w:lang w:val="en-US"/>
        </w:rPr>
      </w:pPr>
      <w:r w:rsidRPr="00057829">
        <w:rPr>
          <w:rFonts w:ascii="Arial" w:hAnsi="Arial" w:cs="Arial"/>
          <w:sz w:val="22"/>
          <w:szCs w:val="22"/>
          <w:lang w:val="en-US"/>
        </w:rPr>
        <w:t>This study was supported by the Deutsche José Carreras Stiftung e.V. (04R/2016 and PS15/15), Verei</w:t>
      </w:r>
      <w:r w:rsidRPr="00057829">
        <w:rPr>
          <w:rFonts w:ascii="Arial" w:hAnsi="Arial" w:cs="Arial"/>
          <w:sz w:val="22"/>
          <w:szCs w:val="22"/>
          <w:lang w:val="en-US"/>
        </w:rPr>
        <w:t>n Zusammen gegen den Krebs e.V., and Ein Herz für Kinder e.V.. The authors thank Christel Müller, Daniela Bretschneider, Evelin Hennig, Dr. Sabine Leiblein, Martina Pleß, Ulrike Bergmann, Janet Bogardt, Annette Jilo, and Dagmar Cron for their help in deter</w:t>
      </w:r>
      <w:r w:rsidRPr="00057829">
        <w:rPr>
          <w:rFonts w:ascii="Arial" w:hAnsi="Arial" w:cs="Arial"/>
          <w:sz w:val="22"/>
          <w:szCs w:val="22"/>
          <w:lang w:val="en-US"/>
        </w:rPr>
        <w:t xml:space="preserve">ming cytogenetic, morphologic and immunological analyses; Christine Günther, Scarlett Schwabe, Ines Kovacs, and Kathrin Wildenberger for their help in sample processing and Dr. Max Hubmann and Prof. Ralf Burckhardt in for their help in </w:t>
      </w:r>
      <w:r w:rsidRPr="00057829">
        <w:rPr>
          <w:rFonts w:ascii="Arial" w:hAnsi="Arial" w:cs="Arial"/>
          <w:i/>
          <w:sz w:val="22"/>
          <w:szCs w:val="22"/>
          <w:lang w:val="en-US"/>
        </w:rPr>
        <w:t>WT1</w:t>
      </w:r>
      <w:r w:rsidRPr="00057829">
        <w:rPr>
          <w:rFonts w:ascii="Arial" w:hAnsi="Arial" w:cs="Arial"/>
          <w:sz w:val="22"/>
          <w:szCs w:val="22"/>
          <w:lang w:val="en-US"/>
        </w:rPr>
        <w:t xml:space="preserve"> expression analy</w:t>
      </w:r>
      <w:r w:rsidRPr="00057829">
        <w:rPr>
          <w:rFonts w:ascii="Arial" w:hAnsi="Arial" w:cs="Arial"/>
          <w:sz w:val="22"/>
          <w:szCs w:val="22"/>
          <w:lang w:val="en-US"/>
        </w:rPr>
        <w:t>sis..</w:t>
      </w:r>
    </w:p>
    <w:p w:rsidR="000730CE" w:rsidRPr="00057829" w:rsidRDefault="000730CE">
      <w:pPr>
        <w:spacing w:after="240" w:line="480" w:lineRule="auto"/>
        <w:jc w:val="both"/>
        <w:rPr>
          <w:rFonts w:ascii="Arial" w:hAnsi="Arial" w:cs="Arial"/>
          <w:sz w:val="22"/>
          <w:szCs w:val="22"/>
          <w:lang w:val="en-US"/>
        </w:rPr>
      </w:pPr>
    </w:p>
    <w:p w:rsidR="000730CE" w:rsidRPr="00057829" w:rsidRDefault="00141A43">
      <w:pPr>
        <w:spacing w:line="480" w:lineRule="auto"/>
        <w:rPr>
          <w:rFonts w:ascii="Arial" w:hAnsi="Arial" w:cs="Arial"/>
          <w:lang w:val="en-US" w:eastAsia="en-US"/>
        </w:rPr>
      </w:pPr>
      <w:r w:rsidRPr="00057829">
        <w:rPr>
          <w:rFonts w:ascii="Arial" w:hAnsi="Arial" w:cs="Arial"/>
          <w:b/>
          <w:lang w:val="en-US" w:eastAsia="en-US"/>
        </w:rPr>
        <w:t>Conflicts-of-Interest disclosure</w:t>
      </w:r>
      <w:r w:rsidRPr="00057829">
        <w:rPr>
          <w:rFonts w:ascii="Arial" w:hAnsi="Arial" w:cs="Arial"/>
          <w:lang w:val="en-US" w:eastAsia="en-US"/>
        </w:rPr>
        <w:t xml:space="preserve"> </w:t>
      </w:r>
    </w:p>
    <w:p w:rsidR="000730CE" w:rsidRPr="00057829" w:rsidRDefault="00141A43">
      <w:pPr>
        <w:spacing w:line="480" w:lineRule="auto"/>
        <w:rPr>
          <w:rFonts w:ascii="Arial" w:hAnsi="Arial" w:cs="Arial"/>
          <w:sz w:val="22"/>
          <w:szCs w:val="22"/>
          <w:lang w:val="en-US" w:eastAsia="en-US"/>
        </w:rPr>
      </w:pPr>
      <w:r w:rsidRPr="00057829">
        <w:rPr>
          <w:rFonts w:ascii="Arial" w:hAnsi="Arial" w:cs="Arial"/>
          <w:sz w:val="22"/>
          <w:szCs w:val="22"/>
          <w:lang w:val="en-US" w:eastAsia="en-US"/>
        </w:rPr>
        <w:t>The authors declare no conflict of interest.</w:t>
      </w:r>
      <w:r w:rsidRPr="00057829">
        <w:br w:type="page"/>
      </w:r>
    </w:p>
    <w:p w:rsidR="000730CE" w:rsidRPr="00057829" w:rsidRDefault="00141A43">
      <w:pPr>
        <w:spacing w:line="480" w:lineRule="auto"/>
        <w:jc w:val="both"/>
        <w:rPr>
          <w:rFonts w:ascii="Arial" w:hAnsi="Arial" w:cs="Arial"/>
          <w:b/>
          <w:lang w:val="en-US"/>
        </w:rPr>
      </w:pPr>
      <w:r w:rsidRPr="00057829">
        <w:rPr>
          <w:rFonts w:ascii="Arial" w:hAnsi="Arial" w:cs="Arial"/>
          <w:b/>
          <w:lang w:val="en-US"/>
        </w:rPr>
        <w:lastRenderedPageBreak/>
        <w:t>References</w:t>
      </w:r>
    </w:p>
    <w:p w:rsidR="000730CE" w:rsidRPr="00057829" w:rsidRDefault="00141A43">
      <w:pPr>
        <w:spacing w:before="240" w:line="480" w:lineRule="auto"/>
        <w:jc w:val="both"/>
        <w:rPr>
          <w:rFonts w:ascii="Arial" w:hAnsi="Arial" w:cs="Arial"/>
          <w:iCs/>
          <w:sz w:val="22"/>
          <w:szCs w:val="22"/>
        </w:rPr>
      </w:pPr>
      <w:r w:rsidRPr="00057829">
        <w:rPr>
          <w:rFonts w:ascii="Arial" w:hAnsi="Arial" w:cs="Arial"/>
          <w:b/>
          <w:iCs/>
          <w:sz w:val="22"/>
          <w:szCs w:val="22"/>
          <w:lang w:val="en-US"/>
        </w:rPr>
        <w:t>1.</w:t>
      </w:r>
      <w:r w:rsidRPr="00057829">
        <w:rPr>
          <w:rFonts w:ascii="Arial" w:hAnsi="Arial" w:cs="Arial"/>
          <w:iCs/>
          <w:sz w:val="22"/>
          <w:szCs w:val="22"/>
          <w:lang w:val="en-US"/>
        </w:rPr>
        <w:t xml:space="preserve"> Cancer Genome Atlas Research Network. Genomic and epigenomic landscapes of adult de novo acute myeloid leukemia. </w:t>
      </w:r>
      <w:r w:rsidRPr="00057829">
        <w:rPr>
          <w:rFonts w:ascii="Arial" w:hAnsi="Arial" w:cs="Arial"/>
          <w:i/>
          <w:iCs/>
          <w:sz w:val="22"/>
          <w:szCs w:val="22"/>
        </w:rPr>
        <w:t>N Engl J Med</w:t>
      </w:r>
      <w:r w:rsidRPr="00057829">
        <w:rPr>
          <w:rFonts w:ascii="Arial" w:hAnsi="Arial" w:cs="Arial"/>
          <w:iCs/>
          <w:sz w:val="22"/>
          <w:szCs w:val="22"/>
        </w:rPr>
        <w:t>. 2013;368(22):2059-74.</w:t>
      </w:r>
    </w:p>
    <w:p w:rsidR="000730CE" w:rsidRPr="00057829" w:rsidRDefault="00141A43">
      <w:pPr>
        <w:widowControl w:val="0"/>
        <w:spacing w:before="240" w:line="480" w:lineRule="auto"/>
        <w:jc w:val="both"/>
        <w:rPr>
          <w:rFonts w:ascii="Arial" w:eastAsia="Calibri" w:hAnsi="Arial" w:cs="Arial"/>
          <w:sz w:val="22"/>
          <w:szCs w:val="22"/>
          <w:lang w:val="en-US"/>
        </w:rPr>
      </w:pPr>
      <w:r w:rsidRPr="00057829">
        <w:rPr>
          <w:rFonts w:ascii="Arial" w:hAnsi="Arial" w:cs="Arial"/>
          <w:b/>
          <w:sz w:val="22"/>
          <w:szCs w:val="22"/>
        </w:rPr>
        <w:t xml:space="preserve">2. </w:t>
      </w:r>
      <w:r w:rsidRPr="00057829">
        <w:rPr>
          <w:rFonts w:ascii="Arial" w:hAnsi="Arial" w:cs="Arial"/>
          <w:sz w:val="22"/>
          <w:szCs w:val="22"/>
        </w:rPr>
        <w:t xml:space="preserve">Döhner H, Estey E, Grimwade D, Amadori S, Appelbaum FR, Büchner T, et al. </w:t>
      </w:r>
      <w:r w:rsidRPr="00057829">
        <w:rPr>
          <w:rFonts w:ascii="Arial" w:hAnsi="Arial" w:cs="Arial"/>
          <w:sz w:val="22"/>
          <w:szCs w:val="22"/>
          <w:lang w:val="en-US"/>
        </w:rPr>
        <w:t xml:space="preserve">Diagnosis and management of AML in adults: 2017 ELN recommendations from an international expert panel. </w:t>
      </w:r>
      <w:r w:rsidRPr="00057829">
        <w:rPr>
          <w:rFonts w:ascii="Arial" w:hAnsi="Arial" w:cs="Arial"/>
          <w:i/>
          <w:sz w:val="22"/>
          <w:szCs w:val="22"/>
          <w:lang w:val="en-US"/>
        </w:rPr>
        <w:t>Blood.</w:t>
      </w:r>
      <w:r w:rsidRPr="00057829">
        <w:rPr>
          <w:rFonts w:ascii="Arial" w:hAnsi="Arial" w:cs="Arial"/>
          <w:sz w:val="22"/>
          <w:szCs w:val="22"/>
          <w:lang w:val="en-US"/>
        </w:rPr>
        <w:t xml:space="preserve"> </w:t>
      </w:r>
      <w:r w:rsidRPr="00057829">
        <w:rPr>
          <w:rFonts w:ascii="Arial" w:eastAsia="Calibri" w:hAnsi="Arial" w:cs="Arial"/>
          <w:sz w:val="22"/>
          <w:szCs w:val="22"/>
          <w:lang w:val="en-US"/>
        </w:rPr>
        <w:t>2017;129(4):424-447.</w:t>
      </w:r>
    </w:p>
    <w:p w:rsidR="000730CE" w:rsidRPr="00057829" w:rsidRDefault="00141A43">
      <w:pPr>
        <w:spacing w:before="240" w:line="480" w:lineRule="auto"/>
        <w:jc w:val="both"/>
        <w:rPr>
          <w:rFonts w:ascii="Arial" w:hAnsi="Arial" w:cs="Arial"/>
          <w:iCs/>
          <w:sz w:val="22"/>
          <w:szCs w:val="22"/>
          <w:lang w:val="en-US"/>
        </w:rPr>
      </w:pPr>
      <w:r w:rsidRPr="00057829">
        <w:rPr>
          <w:rFonts w:ascii="Arial" w:hAnsi="Arial" w:cs="Arial"/>
          <w:b/>
          <w:iCs/>
          <w:sz w:val="22"/>
          <w:szCs w:val="22"/>
          <w:lang w:val="en-US"/>
        </w:rPr>
        <w:t>3.</w:t>
      </w:r>
      <w:r w:rsidRPr="00057829">
        <w:rPr>
          <w:rFonts w:ascii="Arial" w:hAnsi="Arial" w:cs="Arial"/>
          <w:iCs/>
          <w:sz w:val="22"/>
          <w:szCs w:val="22"/>
          <w:lang w:val="en-US"/>
        </w:rPr>
        <w:t xml:space="preserve"> Döhner H, Weisdorf DJ, Bloomfield CD. Acute Mye</w:t>
      </w:r>
      <w:r w:rsidRPr="00057829">
        <w:rPr>
          <w:rFonts w:ascii="Arial" w:hAnsi="Arial" w:cs="Arial"/>
          <w:iCs/>
          <w:sz w:val="22"/>
          <w:szCs w:val="22"/>
          <w:lang w:val="en-US"/>
        </w:rPr>
        <w:t xml:space="preserve">loid Leukemia. </w:t>
      </w:r>
      <w:r w:rsidRPr="00057829">
        <w:rPr>
          <w:rFonts w:ascii="Arial" w:hAnsi="Arial" w:cs="Arial"/>
          <w:i/>
          <w:iCs/>
          <w:sz w:val="22"/>
          <w:szCs w:val="22"/>
          <w:lang w:val="en-US"/>
        </w:rPr>
        <w:t>N Engl J Med</w:t>
      </w:r>
      <w:r w:rsidRPr="00057829">
        <w:rPr>
          <w:rFonts w:ascii="Arial" w:hAnsi="Arial" w:cs="Arial"/>
          <w:iCs/>
          <w:sz w:val="22"/>
          <w:szCs w:val="22"/>
          <w:lang w:val="en-US"/>
        </w:rPr>
        <w:t xml:space="preserve">. 2015;373(12):1136-52. </w:t>
      </w:r>
    </w:p>
    <w:p w:rsidR="000730CE" w:rsidRPr="00057829" w:rsidRDefault="00141A43">
      <w:pPr>
        <w:spacing w:before="240" w:line="480" w:lineRule="auto"/>
        <w:jc w:val="both"/>
        <w:rPr>
          <w:rFonts w:ascii="Arial" w:hAnsi="Arial" w:cs="Arial"/>
          <w:iCs/>
          <w:sz w:val="22"/>
          <w:szCs w:val="22"/>
          <w:lang w:val="en-US"/>
        </w:rPr>
      </w:pPr>
      <w:r w:rsidRPr="00057829">
        <w:rPr>
          <w:rFonts w:ascii="Arial" w:hAnsi="Arial" w:cs="Arial"/>
          <w:b/>
          <w:iCs/>
          <w:sz w:val="22"/>
          <w:szCs w:val="22"/>
          <w:lang w:val="en-US"/>
        </w:rPr>
        <w:t>4</w:t>
      </w:r>
      <w:r w:rsidRPr="00057829">
        <w:rPr>
          <w:rFonts w:ascii="Arial" w:hAnsi="Arial" w:cs="Arial"/>
          <w:iCs/>
          <w:sz w:val="22"/>
          <w:szCs w:val="22"/>
          <w:lang w:val="en-US"/>
        </w:rPr>
        <w:t xml:space="preserve">. Ivey A, Hills RK, Simpson MA, Jovanovic JV, Gilkes A, Grech A, et al. Assessment of Minimal Residual Disease in Standard-Risk AML. </w:t>
      </w:r>
      <w:r w:rsidRPr="00057829">
        <w:rPr>
          <w:rFonts w:ascii="Arial" w:hAnsi="Arial" w:cs="Arial"/>
          <w:i/>
          <w:iCs/>
          <w:sz w:val="22"/>
          <w:szCs w:val="22"/>
          <w:lang w:val="en-US"/>
        </w:rPr>
        <w:t>N Engl J Med</w:t>
      </w:r>
      <w:r w:rsidRPr="00057829">
        <w:rPr>
          <w:rFonts w:ascii="Arial" w:hAnsi="Arial" w:cs="Arial"/>
          <w:iCs/>
          <w:sz w:val="22"/>
          <w:szCs w:val="22"/>
          <w:lang w:val="en-US"/>
        </w:rPr>
        <w:t xml:space="preserve">. 2016;374(5):422-33. </w:t>
      </w:r>
    </w:p>
    <w:p w:rsidR="000730CE" w:rsidRPr="00057829" w:rsidRDefault="00141A43">
      <w:pPr>
        <w:widowControl w:val="0"/>
        <w:spacing w:before="240" w:line="480" w:lineRule="auto"/>
        <w:jc w:val="both"/>
        <w:rPr>
          <w:rFonts w:ascii="Arial" w:hAnsi="Arial" w:cs="Arial"/>
          <w:sz w:val="22"/>
          <w:lang w:val="en-US"/>
        </w:rPr>
      </w:pPr>
      <w:r w:rsidRPr="00057829">
        <w:rPr>
          <w:rFonts w:ascii="Arial" w:hAnsi="Arial" w:cs="Arial"/>
          <w:b/>
          <w:sz w:val="22"/>
          <w:lang w:val="en-US"/>
        </w:rPr>
        <w:t>5.</w:t>
      </w:r>
      <w:r w:rsidRPr="00057829">
        <w:rPr>
          <w:lang w:val="en-US"/>
        </w:rPr>
        <w:t xml:space="preserve"> </w:t>
      </w:r>
      <w:r w:rsidRPr="00057829">
        <w:rPr>
          <w:rFonts w:ascii="Arial" w:hAnsi="Arial" w:cs="Arial"/>
          <w:sz w:val="22"/>
          <w:lang w:val="en-US"/>
        </w:rPr>
        <w:t xml:space="preserve">Hourigan CS, Gale RP, Gormley NJ, Ossenkoppele GJ, Walter RB. Measurable residual disease testing in acute myeloid leukaemia. </w:t>
      </w:r>
      <w:r w:rsidRPr="00057829">
        <w:rPr>
          <w:rFonts w:ascii="Arial" w:hAnsi="Arial" w:cs="Arial"/>
          <w:i/>
          <w:sz w:val="22"/>
          <w:lang w:val="en-US"/>
        </w:rPr>
        <w:t>Leukemia</w:t>
      </w:r>
      <w:r w:rsidRPr="00057829">
        <w:rPr>
          <w:rFonts w:ascii="Arial" w:hAnsi="Arial" w:cs="Arial"/>
          <w:sz w:val="22"/>
          <w:lang w:val="en-US"/>
        </w:rPr>
        <w:t xml:space="preserve">. 2017;31(7):1482-90. </w:t>
      </w:r>
    </w:p>
    <w:p w:rsidR="000730CE" w:rsidRPr="00057829" w:rsidRDefault="00141A43">
      <w:pPr>
        <w:widowControl w:val="0"/>
        <w:spacing w:before="240" w:line="480" w:lineRule="auto"/>
        <w:jc w:val="both"/>
        <w:rPr>
          <w:rFonts w:ascii="Arial" w:hAnsi="Arial" w:cs="Arial"/>
          <w:sz w:val="22"/>
          <w:lang w:val="en-US"/>
        </w:rPr>
      </w:pPr>
      <w:r w:rsidRPr="00057829">
        <w:rPr>
          <w:rFonts w:ascii="Arial" w:hAnsi="Arial" w:cs="Arial"/>
          <w:b/>
          <w:sz w:val="22"/>
          <w:lang w:val="en-US"/>
        </w:rPr>
        <w:t>6</w:t>
      </w:r>
      <w:r w:rsidRPr="00057829">
        <w:rPr>
          <w:rFonts w:ascii="Arial" w:hAnsi="Arial" w:cs="Arial"/>
          <w:b/>
          <w:sz w:val="22"/>
          <w:szCs w:val="22"/>
          <w:lang w:val="en-US"/>
        </w:rPr>
        <w:t xml:space="preserve">. </w:t>
      </w:r>
      <w:r w:rsidRPr="00057829">
        <w:rPr>
          <w:rFonts w:ascii="Arial" w:hAnsi="Arial" w:cs="Arial"/>
          <w:sz w:val="22"/>
          <w:szCs w:val="22"/>
          <w:lang w:val="en-US"/>
        </w:rPr>
        <w:t>Grimwade D, Freeman SD. Defining minimal residual disease in acute myeloid leukemia: which platf</w:t>
      </w:r>
      <w:r w:rsidRPr="00057829">
        <w:rPr>
          <w:rFonts w:ascii="Arial" w:hAnsi="Arial" w:cs="Arial"/>
          <w:sz w:val="22"/>
          <w:szCs w:val="22"/>
          <w:lang w:val="en-US"/>
        </w:rPr>
        <w:t xml:space="preserve">orms are ready for "prime time"? </w:t>
      </w:r>
      <w:r w:rsidRPr="00057829">
        <w:rPr>
          <w:rFonts w:ascii="Arial" w:hAnsi="Arial" w:cs="Arial"/>
          <w:i/>
          <w:sz w:val="22"/>
          <w:szCs w:val="22"/>
          <w:lang w:val="en-US"/>
        </w:rPr>
        <w:t>Blood</w:t>
      </w:r>
      <w:r w:rsidRPr="00057829">
        <w:rPr>
          <w:rFonts w:ascii="Arial" w:hAnsi="Arial" w:cs="Arial"/>
          <w:sz w:val="22"/>
          <w:szCs w:val="22"/>
          <w:lang w:val="en-US"/>
        </w:rPr>
        <w:t>. 2014;124(23):3345-55.</w:t>
      </w:r>
    </w:p>
    <w:p w:rsidR="000730CE" w:rsidRPr="00057829" w:rsidRDefault="00141A43">
      <w:pPr>
        <w:widowControl w:val="0"/>
        <w:spacing w:before="240" w:line="480" w:lineRule="auto"/>
        <w:jc w:val="both"/>
        <w:rPr>
          <w:rFonts w:ascii="Arial" w:hAnsi="Arial" w:cs="Arial"/>
          <w:sz w:val="22"/>
          <w:szCs w:val="22"/>
          <w:lang w:val="en-US"/>
        </w:rPr>
      </w:pPr>
      <w:r w:rsidRPr="00057829">
        <w:rPr>
          <w:rFonts w:ascii="Arial" w:hAnsi="Arial" w:cs="Arial"/>
          <w:b/>
          <w:sz w:val="22"/>
          <w:szCs w:val="22"/>
          <w:lang w:val="en-US"/>
        </w:rPr>
        <w:t>7.</w:t>
      </w:r>
      <w:r w:rsidRPr="00057829">
        <w:rPr>
          <w:rFonts w:ascii="Arial" w:hAnsi="Arial" w:cs="Arial"/>
          <w:sz w:val="22"/>
          <w:szCs w:val="22"/>
          <w:lang w:val="en-US"/>
        </w:rPr>
        <w:t xml:space="preserve"> Doubek M, Palasek I, Pospisil Z, Borsky M, Klabusay M, Brychtova Y, et al. Detection and treatment of molecular relapse in acute myeloid leukemia with </w:t>
      </w:r>
      <w:r w:rsidRPr="00057829">
        <w:rPr>
          <w:rFonts w:ascii="Arial" w:hAnsi="Arial" w:cs="Arial"/>
          <w:i/>
          <w:sz w:val="22"/>
          <w:szCs w:val="22"/>
          <w:lang w:val="en-US"/>
        </w:rPr>
        <w:t>RUNX1</w:t>
      </w:r>
      <w:r w:rsidRPr="00057829">
        <w:rPr>
          <w:rFonts w:ascii="Arial" w:hAnsi="Arial" w:cs="Arial"/>
          <w:sz w:val="22"/>
          <w:szCs w:val="22"/>
          <w:lang w:val="en-US"/>
        </w:rPr>
        <w:t xml:space="preserve"> (AML1), </w:t>
      </w:r>
      <w:r w:rsidRPr="00057829">
        <w:rPr>
          <w:rFonts w:ascii="Arial" w:hAnsi="Arial" w:cs="Arial"/>
          <w:i/>
          <w:sz w:val="22"/>
          <w:szCs w:val="22"/>
          <w:lang w:val="en-US"/>
        </w:rPr>
        <w:t>CBFB</w:t>
      </w:r>
      <w:r w:rsidRPr="00057829">
        <w:rPr>
          <w:rFonts w:ascii="Arial" w:hAnsi="Arial" w:cs="Arial"/>
          <w:sz w:val="22"/>
          <w:szCs w:val="22"/>
          <w:lang w:val="en-US"/>
        </w:rPr>
        <w:t xml:space="preserve">, or </w:t>
      </w:r>
      <w:r w:rsidRPr="00057829">
        <w:rPr>
          <w:rFonts w:ascii="Arial" w:hAnsi="Arial" w:cs="Arial"/>
          <w:i/>
          <w:sz w:val="22"/>
          <w:szCs w:val="22"/>
          <w:lang w:val="en-US"/>
        </w:rPr>
        <w:t>MLL</w:t>
      </w:r>
      <w:r w:rsidRPr="00057829">
        <w:rPr>
          <w:rFonts w:ascii="Arial" w:hAnsi="Arial" w:cs="Arial"/>
          <w:sz w:val="22"/>
          <w:szCs w:val="22"/>
          <w:lang w:val="en-US"/>
        </w:rPr>
        <w:t xml:space="preserve"> gene transloc</w:t>
      </w:r>
      <w:r w:rsidRPr="00057829">
        <w:rPr>
          <w:rFonts w:ascii="Arial" w:hAnsi="Arial" w:cs="Arial"/>
          <w:sz w:val="22"/>
          <w:szCs w:val="22"/>
          <w:lang w:val="en-US"/>
        </w:rPr>
        <w:t xml:space="preserve">ations: frequent quantitative monitoring of molecular markers in different compartments and correlation with </w:t>
      </w:r>
      <w:r w:rsidRPr="00057829">
        <w:rPr>
          <w:rFonts w:ascii="Arial" w:hAnsi="Arial" w:cs="Arial"/>
          <w:i/>
          <w:sz w:val="22"/>
          <w:szCs w:val="22"/>
          <w:lang w:val="en-US"/>
        </w:rPr>
        <w:t>WT1</w:t>
      </w:r>
      <w:r w:rsidRPr="00057829">
        <w:rPr>
          <w:rFonts w:ascii="Arial" w:hAnsi="Arial" w:cs="Arial"/>
          <w:sz w:val="22"/>
          <w:szCs w:val="22"/>
          <w:lang w:val="en-US"/>
        </w:rPr>
        <w:t xml:space="preserve"> gene expression. </w:t>
      </w:r>
      <w:r w:rsidRPr="00057829">
        <w:rPr>
          <w:rFonts w:ascii="Arial" w:hAnsi="Arial" w:cs="Arial"/>
          <w:i/>
          <w:sz w:val="22"/>
          <w:szCs w:val="22"/>
          <w:lang w:val="en-US"/>
        </w:rPr>
        <w:t>Exp Hematol</w:t>
      </w:r>
      <w:r w:rsidRPr="00057829">
        <w:rPr>
          <w:rFonts w:ascii="Arial" w:hAnsi="Arial" w:cs="Arial"/>
          <w:sz w:val="22"/>
          <w:szCs w:val="22"/>
          <w:lang w:val="en-US"/>
        </w:rPr>
        <w:t>. 2009;37(6):659-72.</w:t>
      </w:r>
    </w:p>
    <w:p w:rsidR="000730CE" w:rsidRPr="00057829" w:rsidRDefault="00141A43">
      <w:pPr>
        <w:widowControl w:val="0"/>
        <w:spacing w:before="240" w:line="480" w:lineRule="auto"/>
        <w:jc w:val="both"/>
        <w:rPr>
          <w:rFonts w:ascii="Arial" w:eastAsiaTheme="minorHAnsi" w:hAnsi="Arial" w:cs="Arial"/>
          <w:sz w:val="22"/>
          <w:szCs w:val="22"/>
          <w:lang w:eastAsia="en-US"/>
        </w:rPr>
      </w:pPr>
      <w:r w:rsidRPr="00057829">
        <w:rPr>
          <w:rFonts w:ascii="Arial" w:hAnsi="Arial" w:cs="Arial"/>
          <w:b/>
          <w:sz w:val="22"/>
          <w:szCs w:val="22"/>
          <w:lang w:val="en-US"/>
        </w:rPr>
        <w:t>8.</w:t>
      </w:r>
      <w:r w:rsidRPr="00057829">
        <w:rPr>
          <w:rFonts w:ascii="Arial" w:hAnsi="Arial" w:cs="Arial"/>
          <w:sz w:val="22"/>
          <w:szCs w:val="22"/>
          <w:lang w:val="en-US"/>
        </w:rPr>
        <w:t xml:space="preserve"> Bill M, Grimm J, Jentzsch M, Kloss L, Goldmann K, Schulz J, et al. Digital droplet PCR-base</w:t>
      </w:r>
      <w:r w:rsidRPr="00057829">
        <w:rPr>
          <w:rFonts w:ascii="Arial" w:hAnsi="Arial" w:cs="Arial"/>
          <w:sz w:val="22"/>
          <w:szCs w:val="22"/>
          <w:lang w:val="en-US"/>
        </w:rPr>
        <w:t xml:space="preserve">d absolute quantification of pre-transplant </w:t>
      </w:r>
      <w:r w:rsidRPr="00057829">
        <w:rPr>
          <w:rFonts w:ascii="Arial" w:hAnsi="Arial" w:cs="Arial"/>
          <w:i/>
          <w:sz w:val="22"/>
          <w:szCs w:val="22"/>
          <w:lang w:val="en-US"/>
        </w:rPr>
        <w:t>NPM1</w:t>
      </w:r>
      <w:r w:rsidRPr="00057829">
        <w:rPr>
          <w:rFonts w:ascii="Arial" w:hAnsi="Arial" w:cs="Arial"/>
          <w:sz w:val="22"/>
          <w:szCs w:val="22"/>
          <w:lang w:val="en-US"/>
        </w:rPr>
        <w:t xml:space="preserve"> mutation burden predicts relapse in acute myeloid leukemia patients. </w:t>
      </w:r>
      <w:r w:rsidRPr="00057829">
        <w:rPr>
          <w:rFonts w:ascii="Arial" w:hAnsi="Arial" w:cs="Arial"/>
          <w:i/>
          <w:sz w:val="22"/>
          <w:szCs w:val="22"/>
        </w:rPr>
        <w:t>Ann Hematol</w:t>
      </w:r>
      <w:r w:rsidRPr="00057829">
        <w:rPr>
          <w:rFonts w:ascii="Arial" w:hAnsi="Arial" w:cs="Arial"/>
          <w:sz w:val="22"/>
          <w:szCs w:val="22"/>
        </w:rPr>
        <w:t>. 2018;97(10):1757-65.</w:t>
      </w:r>
    </w:p>
    <w:p w:rsidR="000730CE" w:rsidRPr="00057829" w:rsidRDefault="00141A43">
      <w:pPr>
        <w:widowControl w:val="0"/>
        <w:spacing w:before="240" w:line="480" w:lineRule="auto"/>
        <w:jc w:val="both"/>
        <w:rPr>
          <w:rFonts w:ascii="Arial" w:hAnsi="Arial" w:cs="Arial"/>
          <w:sz w:val="22"/>
          <w:szCs w:val="22"/>
          <w:lang w:val="en-US"/>
        </w:rPr>
      </w:pPr>
      <w:r w:rsidRPr="00057829">
        <w:rPr>
          <w:rFonts w:ascii="Arial" w:hAnsi="Arial" w:cs="Arial"/>
          <w:b/>
          <w:iCs/>
          <w:sz w:val="22"/>
          <w:szCs w:val="22"/>
        </w:rPr>
        <w:t>9</w:t>
      </w:r>
      <w:r w:rsidRPr="00057829">
        <w:rPr>
          <w:rFonts w:ascii="Arial" w:hAnsi="Arial" w:cs="Arial"/>
          <w:iCs/>
          <w:sz w:val="22"/>
          <w:szCs w:val="22"/>
        </w:rPr>
        <w:t xml:space="preserve">. </w:t>
      </w:r>
      <w:r w:rsidRPr="00057829">
        <w:rPr>
          <w:rFonts w:ascii="Arial" w:hAnsi="Arial" w:cs="Arial"/>
          <w:sz w:val="22"/>
          <w:szCs w:val="22"/>
        </w:rPr>
        <w:t xml:space="preserve">Ommen HB, Schnittger S, Jovanovic JV, Ommen IB, Hasle H, Østergaard M, et al. </w:t>
      </w:r>
      <w:r w:rsidRPr="00057829">
        <w:rPr>
          <w:rFonts w:ascii="Arial" w:hAnsi="Arial" w:cs="Arial"/>
          <w:sz w:val="22"/>
          <w:szCs w:val="22"/>
          <w:lang w:val="en-US"/>
        </w:rPr>
        <w:t xml:space="preserve">Strikingly different molecular relapse kinetics in </w:t>
      </w:r>
      <w:r w:rsidRPr="00057829">
        <w:rPr>
          <w:rFonts w:ascii="Arial" w:hAnsi="Arial" w:cs="Arial"/>
          <w:i/>
          <w:sz w:val="22"/>
          <w:szCs w:val="22"/>
          <w:lang w:val="en-US"/>
        </w:rPr>
        <w:t>NPM1c</w:t>
      </w:r>
      <w:r w:rsidRPr="00057829">
        <w:rPr>
          <w:rFonts w:ascii="Arial" w:hAnsi="Arial" w:cs="Arial"/>
          <w:sz w:val="22"/>
          <w:szCs w:val="22"/>
          <w:lang w:val="en-US"/>
        </w:rPr>
        <w:t xml:space="preserve">, </w:t>
      </w:r>
      <w:r w:rsidRPr="00057829">
        <w:rPr>
          <w:rFonts w:ascii="Arial" w:hAnsi="Arial" w:cs="Arial"/>
          <w:i/>
          <w:sz w:val="22"/>
          <w:szCs w:val="22"/>
          <w:lang w:val="en-US"/>
        </w:rPr>
        <w:t>PML-RARA</w:t>
      </w:r>
      <w:r w:rsidRPr="00057829">
        <w:rPr>
          <w:rFonts w:ascii="Arial" w:hAnsi="Arial" w:cs="Arial"/>
          <w:sz w:val="22"/>
          <w:szCs w:val="22"/>
          <w:lang w:val="en-US"/>
        </w:rPr>
        <w:t xml:space="preserve">, </w:t>
      </w:r>
      <w:r w:rsidRPr="00057829">
        <w:rPr>
          <w:rFonts w:ascii="Arial" w:hAnsi="Arial" w:cs="Arial"/>
          <w:i/>
          <w:sz w:val="22"/>
          <w:szCs w:val="22"/>
          <w:lang w:val="en-US"/>
        </w:rPr>
        <w:t>RUNX1-RUNX1T1</w:t>
      </w:r>
      <w:r w:rsidRPr="00057829">
        <w:rPr>
          <w:rFonts w:ascii="Arial" w:hAnsi="Arial" w:cs="Arial"/>
          <w:sz w:val="22"/>
          <w:szCs w:val="22"/>
          <w:lang w:val="en-US"/>
        </w:rPr>
        <w:t xml:space="preserve">, and </w:t>
      </w:r>
      <w:r w:rsidRPr="00057829">
        <w:rPr>
          <w:rFonts w:ascii="Arial" w:hAnsi="Arial" w:cs="Arial"/>
          <w:i/>
          <w:sz w:val="22"/>
          <w:szCs w:val="22"/>
          <w:lang w:val="en-US"/>
        </w:rPr>
        <w:t>CBFB-MYH11</w:t>
      </w:r>
      <w:r w:rsidRPr="00057829">
        <w:rPr>
          <w:rFonts w:ascii="Arial" w:hAnsi="Arial" w:cs="Arial"/>
          <w:sz w:val="22"/>
          <w:szCs w:val="22"/>
          <w:lang w:val="en-US"/>
        </w:rPr>
        <w:t xml:space="preserve"> acute myeloid leukemias. </w:t>
      </w:r>
      <w:r w:rsidRPr="00057829">
        <w:rPr>
          <w:rFonts w:ascii="Arial" w:hAnsi="Arial" w:cs="Arial"/>
          <w:i/>
          <w:sz w:val="22"/>
          <w:szCs w:val="22"/>
          <w:lang w:val="en-US"/>
        </w:rPr>
        <w:t>Blood.</w:t>
      </w:r>
      <w:r w:rsidRPr="00057829">
        <w:rPr>
          <w:rFonts w:ascii="Arial" w:hAnsi="Arial" w:cs="Arial"/>
          <w:sz w:val="22"/>
          <w:szCs w:val="22"/>
          <w:lang w:val="en-US"/>
        </w:rPr>
        <w:t xml:space="preserve"> 2010;115(2):198-205.</w:t>
      </w:r>
    </w:p>
    <w:p w:rsidR="000730CE" w:rsidRPr="00057829" w:rsidRDefault="00141A43">
      <w:pPr>
        <w:widowControl w:val="0"/>
        <w:spacing w:before="240" w:line="480" w:lineRule="auto"/>
        <w:jc w:val="both"/>
        <w:rPr>
          <w:rFonts w:ascii="Arial" w:hAnsi="Arial" w:cs="Arial"/>
          <w:sz w:val="22"/>
          <w:szCs w:val="22"/>
          <w:lang w:val="en-US"/>
        </w:rPr>
      </w:pPr>
      <w:r w:rsidRPr="00057829">
        <w:rPr>
          <w:rFonts w:ascii="Arial" w:hAnsi="Arial" w:cs="Arial"/>
          <w:b/>
          <w:sz w:val="22"/>
          <w:szCs w:val="22"/>
          <w:lang w:val="en-US"/>
        </w:rPr>
        <w:lastRenderedPageBreak/>
        <w:t>10.</w:t>
      </w:r>
      <w:r w:rsidRPr="00057829">
        <w:rPr>
          <w:rFonts w:ascii="Arial" w:hAnsi="Arial" w:cs="Arial"/>
          <w:sz w:val="22"/>
          <w:szCs w:val="22"/>
          <w:lang w:val="en-US"/>
        </w:rPr>
        <w:t xml:space="preserve"> Ding L, Ley TJ, Larson DE, Miller CA, Koboldt DC, Welch JS, et al. Clonal evolution in relapsed acute</w:t>
      </w:r>
      <w:r w:rsidRPr="00057829">
        <w:rPr>
          <w:rFonts w:ascii="Arial" w:hAnsi="Arial" w:cs="Arial"/>
          <w:sz w:val="22"/>
          <w:szCs w:val="22"/>
          <w:lang w:val="en-US"/>
        </w:rPr>
        <w:t xml:space="preserve"> myeloid leukaemia revealed by whole-genome sequencing. </w:t>
      </w:r>
      <w:r w:rsidRPr="00057829">
        <w:rPr>
          <w:rFonts w:ascii="Arial" w:hAnsi="Arial" w:cs="Arial"/>
          <w:i/>
          <w:sz w:val="22"/>
          <w:szCs w:val="22"/>
          <w:lang w:val="en-US"/>
        </w:rPr>
        <w:t>Nature</w:t>
      </w:r>
      <w:r w:rsidRPr="00057829">
        <w:rPr>
          <w:rFonts w:ascii="Arial" w:hAnsi="Arial" w:cs="Arial"/>
          <w:sz w:val="22"/>
          <w:szCs w:val="22"/>
          <w:lang w:val="en-US"/>
        </w:rPr>
        <w:t>. 2012;481(7382):506-10.</w:t>
      </w:r>
    </w:p>
    <w:p w:rsidR="000730CE" w:rsidRPr="00057829" w:rsidRDefault="00141A43">
      <w:pPr>
        <w:widowControl w:val="0"/>
        <w:spacing w:before="240" w:line="480" w:lineRule="auto"/>
        <w:jc w:val="both"/>
        <w:rPr>
          <w:rFonts w:ascii="Arial" w:hAnsi="Arial" w:cs="Arial"/>
          <w:sz w:val="22"/>
          <w:szCs w:val="22"/>
          <w:lang w:val="en-US"/>
        </w:rPr>
      </w:pPr>
      <w:r w:rsidRPr="00057829">
        <w:rPr>
          <w:rFonts w:ascii="Arial" w:hAnsi="Arial" w:cs="Arial"/>
          <w:b/>
          <w:sz w:val="22"/>
          <w:szCs w:val="22"/>
          <w:lang w:val="en-US"/>
        </w:rPr>
        <w:t>11</w:t>
      </w:r>
      <w:r w:rsidRPr="00057829">
        <w:rPr>
          <w:rFonts w:ascii="Arial" w:hAnsi="Arial" w:cs="Arial"/>
          <w:sz w:val="22"/>
          <w:szCs w:val="22"/>
          <w:lang w:val="en-US"/>
        </w:rPr>
        <w:t xml:space="preserve">. Grimwade D, Ivey A, Huntly BJ. Molecular landscape of acute myeloid leukemia in younger adults and its clinical relevance. </w:t>
      </w:r>
      <w:r w:rsidRPr="00057829">
        <w:rPr>
          <w:rFonts w:ascii="Arial" w:hAnsi="Arial" w:cs="Arial"/>
          <w:i/>
          <w:sz w:val="22"/>
          <w:szCs w:val="22"/>
          <w:lang w:val="en-US"/>
        </w:rPr>
        <w:t>Blood</w:t>
      </w:r>
      <w:r w:rsidRPr="00057829">
        <w:rPr>
          <w:rFonts w:ascii="Arial" w:hAnsi="Arial" w:cs="Arial"/>
          <w:sz w:val="22"/>
          <w:szCs w:val="22"/>
          <w:lang w:val="en-US"/>
        </w:rPr>
        <w:t xml:space="preserve">. 2016;127(1):29-41. </w:t>
      </w:r>
    </w:p>
    <w:p w:rsidR="000730CE" w:rsidRPr="00057829" w:rsidRDefault="00141A43">
      <w:pPr>
        <w:widowControl w:val="0"/>
        <w:spacing w:before="240" w:line="480" w:lineRule="auto"/>
        <w:jc w:val="both"/>
        <w:rPr>
          <w:rFonts w:ascii="Arial" w:hAnsi="Arial" w:cs="Arial"/>
          <w:sz w:val="22"/>
          <w:szCs w:val="22"/>
        </w:rPr>
      </w:pPr>
      <w:r w:rsidRPr="00057829">
        <w:rPr>
          <w:rFonts w:ascii="Arial" w:hAnsi="Arial" w:cs="Arial"/>
          <w:b/>
          <w:sz w:val="22"/>
          <w:szCs w:val="22"/>
          <w:lang w:val="en-US"/>
        </w:rPr>
        <w:t>12.</w:t>
      </w:r>
      <w:r w:rsidRPr="00057829">
        <w:rPr>
          <w:rFonts w:ascii="Arial" w:hAnsi="Arial" w:cs="Arial"/>
          <w:sz w:val="22"/>
          <w:szCs w:val="22"/>
          <w:lang w:val="en-US"/>
        </w:rPr>
        <w:t xml:space="preserve"> Ostergaard </w:t>
      </w:r>
      <w:r w:rsidRPr="00057829">
        <w:rPr>
          <w:rFonts w:ascii="Arial" w:hAnsi="Arial" w:cs="Arial"/>
          <w:sz w:val="22"/>
          <w:szCs w:val="22"/>
          <w:lang w:val="en-US"/>
        </w:rPr>
        <w:t xml:space="preserve">M, Olesen LH, Hasle H, Kjeldsen E, Hokland P. </w:t>
      </w:r>
      <w:r w:rsidRPr="00057829">
        <w:rPr>
          <w:rFonts w:ascii="Arial" w:hAnsi="Arial" w:cs="Arial"/>
          <w:i/>
          <w:sz w:val="22"/>
          <w:szCs w:val="22"/>
          <w:lang w:val="en-US"/>
        </w:rPr>
        <w:t>WT1</w:t>
      </w:r>
      <w:r w:rsidRPr="00057829">
        <w:rPr>
          <w:rFonts w:ascii="Arial" w:hAnsi="Arial" w:cs="Arial"/>
          <w:sz w:val="22"/>
          <w:szCs w:val="22"/>
          <w:lang w:val="en-US"/>
        </w:rPr>
        <w:t xml:space="preserve"> gene expression: an excellent tool for monitoring minimal residual disease in 70% of acute myeloid leukaemia patients - results from a single-centre study. </w:t>
      </w:r>
      <w:r w:rsidRPr="00057829">
        <w:rPr>
          <w:rFonts w:ascii="Arial" w:hAnsi="Arial" w:cs="Arial"/>
          <w:i/>
          <w:sz w:val="22"/>
          <w:szCs w:val="22"/>
        </w:rPr>
        <w:t>Br J Haematol.</w:t>
      </w:r>
      <w:r w:rsidRPr="00057829">
        <w:rPr>
          <w:rFonts w:ascii="Arial" w:hAnsi="Arial" w:cs="Arial"/>
          <w:sz w:val="22"/>
          <w:szCs w:val="22"/>
        </w:rPr>
        <w:t xml:space="preserve"> 2004;125(5):590–600.</w:t>
      </w:r>
    </w:p>
    <w:p w:rsidR="000730CE" w:rsidRPr="00057829" w:rsidRDefault="00141A43">
      <w:pPr>
        <w:widowControl w:val="0"/>
        <w:spacing w:before="240" w:line="480" w:lineRule="auto"/>
        <w:jc w:val="both"/>
        <w:rPr>
          <w:rFonts w:ascii="Arial" w:hAnsi="Arial" w:cs="Arial"/>
          <w:sz w:val="22"/>
        </w:rPr>
      </w:pPr>
      <w:r w:rsidRPr="00057829">
        <w:rPr>
          <w:rFonts w:ascii="Arial" w:hAnsi="Arial" w:cs="Arial"/>
          <w:b/>
          <w:sz w:val="22"/>
        </w:rPr>
        <w:t>13.</w:t>
      </w:r>
      <w:r w:rsidRPr="00057829">
        <w:rPr>
          <w:rFonts w:ascii="Arial" w:hAnsi="Arial" w:cs="Arial"/>
          <w:sz w:val="22"/>
        </w:rPr>
        <w:t xml:space="preserve"> Lange T, H</w:t>
      </w:r>
      <w:r w:rsidRPr="00057829">
        <w:rPr>
          <w:rFonts w:ascii="Arial" w:hAnsi="Arial" w:cs="Arial"/>
          <w:sz w:val="22"/>
        </w:rPr>
        <w:t xml:space="preserve">ubmann M, Burkhardt R, Franke GN, Cross M, Scholz M, et al. </w:t>
      </w:r>
      <w:r w:rsidRPr="00057829">
        <w:rPr>
          <w:rFonts w:ascii="Arial" w:hAnsi="Arial" w:cs="Arial"/>
          <w:sz w:val="22"/>
          <w:lang w:val="en-US"/>
        </w:rPr>
        <w:t xml:space="preserve">Monitoring of </w:t>
      </w:r>
      <w:r w:rsidRPr="00057829">
        <w:rPr>
          <w:rFonts w:ascii="Arial" w:hAnsi="Arial" w:cs="Arial"/>
          <w:i/>
          <w:sz w:val="22"/>
          <w:lang w:val="en-US"/>
        </w:rPr>
        <w:t>WT1</w:t>
      </w:r>
      <w:r w:rsidRPr="00057829">
        <w:rPr>
          <w:rFonts w:ascii="Arial" w:hAnsi="Arial" w:cs="Arial"/>
          <w:sz w:val="22"/>
          <w:lang w:val="en-US"/>
        </w:rPr>
        <w:t xml:space="preserve"> expression in PB and CD34(+) donor chimerism of BM predicts early relapse in AML and MDS patients after hematopoietic cell transplantation with reduced-intensity conditioning</w:t>
      </w:r>
      <w:r w:rsidRPr="00057829">
        <w:rPr>
          <w:rFonts w:ascii="Arial" w:hAnsi="Arial" w:cs="Arial"/>
          <w:i/>
          <w:sz w:val="22"/>
          <w:lang w:val="en-US"/>
        </w:rPr>
        <w:t xml:space="preserve">. </w:t>
      </w:r>
      <w:r w:rsidRPr="00057829">
        <w:rPr>
          <w:rFonts w:ascii="Arial" w:hAnsi="Arial" w:cs="Arial"/>
          <w:i/>
          <w:sz w:val="22"/>
        </w:rPr>
        <w:t>Leukemia</w:t>
      </w:r>
      <w:r w:rsidRPr="00057829">
        <w:rPr>
          <w:rFonts w:ascii="Arial" w:hAnsi="Arial" w:cs="Arial"/>
          <w:sz w:val="22"/>
        </w:rPr>
        <w:t>. 2011;25(3):498-505.</w:t>
      </w:r>
    </w:p>
    <w:p w:rsidR="000730CE" w:rsidRPr="00057829" w:rsidRDefault="00141A43">
      <w:pPr>
        <w:widowControl w:val="0"/>
        <w:spacing w:before="240" w:line="480" w:lineRule="auto"/>
        <w:jc w:val="both"/>
        <w:rPr>
          <w:rFonts w:ascii="Arial" w:hAnsi="Arial" w:cs="Arial"/>
          <w:sz w:val="22"/>
          <w:szCs w:val="22"/>
        </w:rPr>
      </w:pPr>
      <w:r w:rsidRPr="00057829">
        <w:rPr>
          <w:rFonts w:ascii="Arial" w:hAnsi="Arial" w:cs="Arial"/>
          <w:b/>
          <w:sz w:val="22"/>
          <w:szCs w:val="22"/>
        </w:rPr>
        <w:t>14.</w:t>
      </w:r>
      <w:r w:rsidRPr="00057829">
        <w:rPr>
          <w:rFonts w:ascii="Arial" w:hAnsi="Arial" w:cs="Arial"/>
          <w:sz w:val="22"/>
          <w:szCs w:val="22"/>
        </w:rPr>
        <w:t xml:space="preserve"> Jentzsch M, Bill M, Grimm J, Schulz J, Goldmann K, Beinicke S, et al. </w:t>
      </w:r>
      <w:r w:rsidRPr="00057829">
        <w:rPr>
          <w:rFonts w:ascii="Arial" w:hAnsi="Arial" w:cs="Arial"/>
          <w:sz w:val="22"/>
          <w:szCs w:val="22"/>
          <w:lang w:val="en-US"/>
        </w:rPr>
        <w:t xml:space="preserve">High </w:t>
      </w:r>
      <w:r w:rsidRPr="00057829">
        <w:rPr>
          <w:rFonts w:ascii="Arial" w:hAnsi="Arial" w:cs="Arial"/>
          <w:i/>
          <w:sz w:val="22"/>
          <w:szCs w:val="22"/>
          <w:lang w:val="en-US"/>
        </w:rPr>
        <w:t>BAALC</w:t>
      </w:r>
      <w:r w:rsidRPr="00057829">
        <w:rPr>
          <w:rFonts w:ascii="Arial" w:hAnsi="Arial" w:cs="Arial"/>
          <w:sz w:val="22"/>
          <w:szCs w:val="22"/>
          <w:lang w:val="en-US"/>
        </w:rPr>
        <w:t xml:space="preserve"> copy numbers in peripheral blood prior to allogeneic transplantation predict early relapse in acute myeloid leukemia patients.</w:t>
      </w:r>
      <w:r w:rsidRPr="00057829">
        <w:rPr>
          <w:rFonts w:ascii="Arial" w:hAnsi="Arial" w:cs="Arial"/>
          <w:i/>
          <w:sz w:val="22"/>
          <w:szCs w:val="22"/>
          <w:lang w:val="en-US"/>
        </w:rPr>
        <w:t xml:space="preserve"> </w:t>
      </w:r>
      <w:r w:rsidRPr="00057829">
        <w:rPr>
          <w:rFonts w:ascii="Arial" w:hAnsi="Arial" w:cs="Arial"/>
          <w:i/>
          <w:iCs/>
          <w:sz w:val="22"/>
          <w:szCs w:val="22"/>
        </w:rPr>
        <w:t>Oncotarget</w:t>
      </w:r>
      <w:r w:rsidRPr="00057829">
        <w:rPr>
          <w:rFonts w:ascii="Arial" w:hAnsi="Arial" w:cs="Arial"/>
          <w:iCs/>
          <w:sz w:val="22"/>
          <w:szCs w:val="22"/>
        </w:rPr>
        <w:t xml:space="preserve">. </w:t>
      </w:r>
      <w:r w:rsidRPr="00057829">
        <w:rPr>
          <w:rFonts w:ascii="Arial" w:hAnsi="Arial" w:cs="Arial"/>
          <w:iCs/>
          <w:sz w:val="22"/>
          <w:szCs w:val="22"/>
        </w:rPr>
        <w:t>2017;8(50):87944-54.</w:t>
      </w:r>
    </w:p>
    <w:p w:rsidR="000730CE" w:rsidRPr="00057829" w:rsidRDefault="00141A43">
      <w:pPr>
        <w:spacing w:before="240" w:line="480" w:lineRule="auto"/>
        <w:jc w:val="both"/>
        <w:rPr>
          <w:rFonts w:ascii="Arial" w:hAnsi="Arial" w:cs="Arial"/>
          <w:iCs/>
          <w:sz w:val="22"/>
          <w:szCs w:val="22"/>
          <w:lang w:val="en-US"/>
        </w:rPr>
      </w:pPr>
      <w:r w:rsidRPr="00057829">
        <w:rPr>
          <w:rFonts w:ascii="Arial" w:hAnsi="Arial" w:cs="Arial"/>
          <w:b/>
          <w:iCs/>
          <w:sz w:val="22"/>
          <w:szCs w:val="22"/>
        </w:rPr>
        <w:t>15</w:t>
      </w:r>
      <w:r w:rsidRPr="00057829">
        <w:rPr>
          <w:rFonts w:ascii="Arial" w:hAnsi="Arial" w:cs="Arial"/>
          <w:iCs/>
          <w:sz w:val="22"/>
          <w:szCs w:val="22"/>
        </w:rPr>
        <w:t xml:space="preserve">. Weber S, Haferlach T, Alpermann T, Perglerová K, Schnittger S, Haferlach C, et al. </w:t>
      </w:r>
      <w:r w:rsidRPr="00057829">
        <w:rPr>
          <w:rFonts w:ascii="Arial" w:hAnsi="Arial" w:cs="Arial"/>
          <w:iCs/>
          <w:sz w:val="22"/>
          <w:szCs w:val="22"/>
          <w:lang w:val="en-US"/>
        </w:rPr>
        <w:t xml:space="preserve">Feasibility of </w:t>
      </w:r>
      <w:r w:rsidRPr="00057829">
        <w:rPr>
          <w:rFonts w:ascii="Arial" w:hAnsi="Arial" w:cs="Arial"/>
          <w:i/>
          <w:iCs/>
          <w:sz w:val="22"/>
          <w:szCs w:val="22"/>
          <w:lang w:val="en-US"/>
        </w:rPr>
        <w:t>BAALC</w:t>
      </w:r>
      <w:r w:rsidRPr="00057829">
        <w:rPr>
          <w:rFonts w:ascii="Arial" w:hAnsi="Arial" w:cs="Arial"/>
          <w:iCs/>
          <w:sz w:val="22"/>
          <w:szCs w:val="22"/>
          <w:lang w:val="en-US"/>
        </w:rPr>
        <w:t xml:space="preserve"> gene expression for detection of minimal residual disease and risk stratification in normal karyotype acute myeloid leukaemia. </w:t>
      </w:r>
      <w:r w:rsidRPr="00057829">
        <w:rPr>
          <w:rFonts w:ascii="Arial" w:hAnsi="Arial" w:cs="Arial"/>
          <w:i/>
          <w:iCs/>
          <w:sz w:val="22"/>
          <w:szCs w:val="22"/>
          <w:lang w:val="en-US"/>
        </w:rPr>
        <w:t>Br J Haematol</w:t>
      </w:r>
      <w:r w:rsidRPr="00057829">
        <w:rPr>
          <w:rFonts w:ascii="Arial" w:hAnsi="Arial" w:cs="Arial"/>
          <w:iCs/>
          <w:sz w:val="22"/>
          <w:szCs w:val="22"/>
          <w:lang w:val="en-US"/>
        </w:rPr>
        <w:t xml:space="preserve">. 2016;175(5):904-16. </w:t>
      </w:r>
    </w:p>
    <w:p w:rsidR="000730CE" w:rsidRPr="00057829" w:rsidRDefault="00141A43">
      <w:pPr>
        <w:spacing w:before="240" w:line="480" w:lineRule="auto"/>
        <w:jc w:val="both"/>
        <w:rPr>
          <w:rFonts w:ascii="Arial" w:hAnsi="Arial" w:cs="Arial"/>
          <w:iCs/>
          <w:sz w:val="22"/>
          <w:szCs w:val="22"/>
        </w:rPr>
      </w:pPr>
      <w:r w:rsidRPr="00057829">
        <w:rPr>
          <w:rFonts w:ascii="Arial" w:hAnsi="Arial" w:cs="Arial"/>
          <w:b/>
          <w:iCs/>
          <w:sz w:val="22"/>
          <w:szCs w:val="22"/>
          <w:lang w:val="en-US"/>
        </w:rPr>
        <w:t>16</w:t>
      </w:r>
      <w:r w:rsidRPr="00057829">
        <w:rPr>
          <w:rFonts w:ascii="Arial" w:hAnsi="Arial" w:cs="Arial"/>
          <w:iCs/>
          <w:sz w:val="22"/>
          <w:szCs w:val="22"/>
          <w:lang w:val="en-US"/>
        </w:rPr>
        <w:t xml:space="preserve">. Najima Y, Ohashi K, Kawamura M, Onozuka Y, Yamaguchi T, Akiyama H, et al. Molecular monitoring of </w:t>
      </w:r>
      <w:r w:rsidRPr="00057829">
        <w:rPr>
          <w:rFonts w:ascii="Arial" w:hAnsi="Arial" w:cs="Arial"/>
          <w:i/>
          <w:iCs/>
          <w:sz w:val="22"/>
          <w:szCs w:val="22"/>
          <w:lang w:val="en-US"/>
        </w:rPr>
        <w:t>BAALC</w:t>
      </w:r>
      <w:r w:rsidRPr="00057829">
        <w:rPr>
          <w:rFonts w:ascii="Arial" w:hAnsi="Arial" w:cs="Arial"/>
          <w:iCs/>
          <w:sz w:val="22"/>
          <w:szCs w:val="22"/>
          <w:lang w:val="en-US"/>
        </w:rPr>
        <w:t xml:space="preserve"> expression in patients with CD34-positive acute leukemia.</w:t>
      </w:r>
      <w:r w:rsidRPr="00057829">
        <w:rPr>
          <w:rFonts w:ascii="Arial" w:hAnsi="Arial" w:cs="Arial"/>
          <w:i/>
          <w:iCs/>
          <w:sz w:val="22"/>
          <w:szCs w:val="22"/>
          <w:lang w:val="en-US"/>
        </w:rPr>
        <w:t xml:space="preserve"> </w:t>
      </w:r>
      <w:r w:rsidRPr="00057829">
        <w:rPr>
          <w:rFonts w:ascii="Arial" w:hAnsi="Arial" w:cs="Arial"/>
          <w:i/>
          <w:iCs/>
          <w:sz w:val="22"/>
          <w:szCs w:val="22"/>
        </w:rPr>
        <w:t>Int J Hematol</w:t>
      </w:r>
      <w:r w:rsidRPr="00057829">
        <w:rPr>
          <w:rFonts w:ascii="Arial" w:hAnsi="Arial" w:cs="Arial"/>
          <w:iCs/>
          <w:sz w:val="22"/>
          <w:szCs w:val="22"/>
        </w:rPr>
        <w:t>. 2010;91(4):636–45.</w:t>
      </w:r>
    </w:p>
    <w:p w:rsidR="000730CE" w:rsidRPr="00057829" w:rsidRDefault="00141A43">
      <w:pPr>
        <w:widowControl w:val="0"/>
        <w:spacing w:before="240" w:line="480" w:lineRule="auto"/>
        <w:jc w:val="both"/>
        <w:rPr>
          <w:rFonts w:ascii="Arial" w:hAnsi="Arial" w:cs="Arial"/>
          <w:iCs/>
          <w:sz w:val="22"/>
          <w:szCs w:val="22"/>
          <w:lang w:val="en-US"/>
        </w:rPr>
      </w:pPr>
      <w:r w:rsidRPr="00057829">
        <w:rPr>
          <w:rFonts w:ascii="Arial" w:hAnsi="Arial" w:cs="Arial"/>
          <w:b/>
          <w:iCs/>
          <w:sz w:val="22"/>
          <w:szCs w:val="22"/>
        </w:rPr>
        <w:t>17.</w:t>
      </w:r>
      <w:r w:rsidRPr="00057829">
        <w:rPr>
          <w:rFonts w:ascii="Arial" w:hAnsi="Arial" w:cs="Arial"/>
          <w:iCs/>
          <w:sz w:val="22"/>
          <w:szCs w:val="22"/>
        </w:rPr>
        <w:t xml:space="preserve"> Heuser M, Beutel G, Krauter J, Döhner K, von Neuhoff N, Schlegelberger B, et al. </w:t>
      </w:r>
      <w:r w:rsidRPr="00057829">
        <w:rPr>
          <w:rFonts w:ascii="Arial" w:hAnsi="Arial" w:cs="Arial"/>
          <w:iCs/>
          <w:sz w:val="22"/>
          <w:szCs w:val="22"/>
          <w:lang w:val="en-US"/>
        </w:rPr>
        <w:t>High meningioma 1 (</w:t>
      </w:r>
      <w:r w:rsidRPr="00057829">
        <w:rPr>
          <w:rFonts w:ascii="Arial" w:hAnsi="Arial" w:cs="Arial"/>
          <w:i/>
          <w:iCs/>
          <w:sz w:val="22"/>
          <w:szCs w:val="22"/>
          <w:lang w:val="en-US"/>
        </w:rPr>
        <w:t>MN1</w:t>
      </w:r>
      <w:r w:rsidRPr="00057829">
        <w:rPr>
          <w:rFonts w:ascii="Arial" w:hAnsi="Arial" w:cs="Arial"/>
          <w:iCs/>
          <w:sz w:val="22"/>
          <w:szCs w:val="22"/>
          <w:lang w:val="en-US"/>
        </w:rPr>
        <w:t xml:space="preserve">) expression as a predictor for poor outcome in acute myeloid leukemia with normal cytogenetics. </w:t>
      </w:r>
      <w:r w:rsidRPr="00057829">
        <w:rPr>
          <w:rFonts w:ascii="Arial" w:hAnsi="Arial" w:cs="Arial"/>
          <w:i/>
          <w:iCs/>
          <w:sz w:val="22"/>
          <w:szCs w:val="22"/>
          <w:lang w:val="en-US"/>
        </w:rPr>
        <w:t>Blood</w:t>
      </w:r>
      <w:r w:rsidRPr="00057829">
        <w:rPr>
          <w:rFonts w:ascii="Arial" w:hAnsi="Arial" w:cs="Arial"/>
          <w:iCs/>
          <w:sz w:val="22"/>
          <w:szCs w:val="22"/>
          <w:lang w:val="en-US"/>
        </w:rPr>
        <w:t>. 2006;108(12):3898-905.</w:t>
      </w:r>
    </w:p>
    <w:p w:rsidR="000730CE" w:rsidRPr="00057829" w:rsidRDefault="00141A43">
      <w:pPr>
        <w:widowControl w:val="0"/>
        <w:spacing w:before="240" w:line="480" w:lineRule="auto"/>
        <w:jc w:val="both"/>
        <w:rPr>
          <w:rFonts w:ascii="Arial" w:hAnsi="Arial" w:cs="Arial"/>
          <w:sz w:val="22"/>
        </w:rPr>
      </w:pPr>
      <w:r w:rsidRPr="00057829">
        <w:rPr>
          <w:rFonts w:ascii="Arial" w:hAnsi="Arial" w:cs="Arial"/>
          <w:b/>
          <w:sz w:val="22"/>
          <w:szCs w:val="22"/>
          <w:lang w:val="en-US"/>
        </w:rPr>
        <w:lastRenderedPageBreak/>
        <w:t>18.</w:t>
      </w:r>
      <w:r w:rsidRPr="00057829">
        <w:rPr>
          <w:rFonts w:ascii="Arial" w:hAnsi="Arial" w:cs="Arial"/>
          <w:sz w:val="22"/>
          <w:szCs w:val="22"/>
          <w:lang w:val="en-US"/>
        </w:rPr>
        <w:t xml:space="preserve"> </w:t>
      </w:r>
      <w:r w:rsidRPr="00057829">
        <w:rPr>
          <w:rFonts w:ascii="Arial" w:hAnsi="Arial" w:cs="Arial"/>
          <w:sz w:val="22"/>
          <w:lang w:val="en-US"/>
        </w:rPr>
        <w:t xml:space="preserve">Carella C, Bonten J, </w:t>
      </w:r>
      <w:r w:rsidRPr="00057829">
        <w:rPr>
          <w:rFonts w:ascii="Arial" w:hAnsi="Arial" w:cs="Arial"/>
          <w:sz w:val="22"/>
          <w:lang w:val="en-US"/>
        </w:rPr>
        <w:t xml:space="preserve">Sirma S, Kranenburg TA, Terranova S, Klein-Geltink R, et al. </w:t>
      </w:r>
      <w:r w:rsidRPr="00057829">
        <w:rPr>
          <w:rFonts w:ascii="Arial" w:hAnsi="Arial" w:cs="Arial"/>
          <w:i/>
          <w:sz w:val="22"/>
          <w:lang w:val="en-US"/>
        </w:rPr>
        <w:t>MN1</w:t>
      </w:r>
      <w:r w:rsidRPr="00057829">
        <w:rPr>
          <w:rFonts w:ascii="Arial" w:hAnsi="Arial" w:cs="Arial"/>
          <w:sz w:val="22"/>
          <w:lang w:val="en-US"/>
        </w:rPr>
        <w:t xml:space="preserve"> overexpression is an important step in the development of inv(16) AML</w:t>
      </w:r>
      <w:r w:rsidRPr="00057829">
        <w:rPr>
          <w:rFonts w:ascii="Arial" w:hAnsi="Arial" w:cs="Arial"/>
          <w:i/>
          <w:sz w:val="22"/>
          <w:lang w:val="en-US"/>
        </w:rPr>
        <w:t xml:space="preserve">. </w:t>
      </w:r>
      <w:r w:rsidRPr="00057829">
        <w:rPr>
          <w:rFonts w:ascii="Arial" w:hAnsi="Arial" w:cs="Arial"/>
          <w:i/>
          <w:sz w:val="22"/>
        </w:rPr>
        <w:t>Leukemia</w:t>
      </w:r>
      <w:r w:rsidRPr="00057829">
        <w:rPr>
          <w:rFonts w:ascii="Arial" w:hAnsi="Arial" w:cs="Arial"/>
          <w:sz w:val="22"/>
        </w:rPr>
        <w:t>. 2007;21(8):1679-90.</w:t>
      </w:r>
    </w:p>
    <w:p w:rsidR="000730CE" w:rsidRPr="00057829" w:rsidRDefault="00141A43">
      <w:pPr>
        <w:widowControl w:val="0"/>
        <w:spacing w:before="240" w:line="480" w:lineRule="auto"/>
        <w:jc w:val="both"/>
        <w:rPr>
          <w:rFonts w:ascii="Arial" w:hAnsi="Arial" w:cs="Arial"/>
          <w:sz w:val="22"/>
          <w:lang w:val="en-US"/>
        </w:rPr>
      </w:pPr>
      <w:r w:rsidRPr="00057829">
        <w:rPr>
          <w:rFonts w:ascii="Arial" w:hAnsi="Arial" w:cs="Arial"/>
          <w:b/>
          <w:sz w:val="22"/>
        </w:rPr>
        <w:t>19.</w:t>
      </w:r>
      <w:r w:rsidRPr="00057829">
        <w:rPr>
          <w:rFonts w:ascii="Arial" w:hAnsi="Arial" w:cs="Arial"/>
          <w:sz w:val="22"/>
        </w:rPr>
        <w:t xml:space="preserve"> Heuser M, Argiropoulos B, Kuchenbauer F, Yung E, Piper J, Fung S, et al. </w:t>
      </w:r>
      <w:r w:rsidRPr="00057829">
        <w:rPr>
          <w:rFonts w:ascii="Arial" w:hAnsi="Arial" w:cs="Arial"/>
          <w:i/>
          <w:sz w:val="22"/>
          <w:lang w:val="en-US"/>
        </w:rPr>
        <w:t>MN1</w:t>
      </w:r>
      <w:r w:rsidRPr="00057829">
        <w:rPr>
          <w:rFonts w:ascii="Arial" w:hAnsi="Arial" w:cs="Arial"/>
          <w:sz w:val="22"/>
          <w:lang w:val="en-US"/>
        </w:rPr>
        <w:t xml:space="preserve"> overexpression induces acute myeloid leukemia in mice and predicts ATRA resistance in patients with AML. </w:t>
      </w:r>
      <w:r w:rsidRPr="00057829">
        <w:rPr>
          <w:rFonts w:ascii="Arial" w:hAnsi="Arial" w:cs="Arial"/>
          <w:i/>
          <w:sz w:val="22"/>
          <w:lang w:val="en-US"/>
        </w:rPr>
        <w:t>Blood.</w:t>
      </w:r>
      <w:r w:rsidRPr="00057829">
        <w:rPr>
          <w:rFonts w:ascii="Arial" w:hAnsi="Arial" w:cs="Arial"/>
          <w:sz w:val="22"/>
          <w:lang w:val="en-US"/>
        </w:rPr>
        <w:t xml:space="preserve"> 2007;110(5):1639-47. </w:t>
      </w:r>
    </w:p>
    <w:p w:rsidR="000730CE" w:rsidRPr="00057829" w:rsidRDefault="00141A43">
      <w:pPr>
        <w:spacing w:before="240" w:line="480" w:lineRule="auto"/>
        <w:jc w:val="both"/>
        <w:rPr>
          <w:rFonts w:ascii="Arial" w:hAnsi="Arial" w:cs="Arial"/>
          <w:iCs/>
          <w:sz w:val="22"/>
          <w:szCs w:val="22"/>
          <w:lang w:val="en-US"/>
        </w:rPr>
      </w:pPr>
      <w:r w:rsidRPr="00057829">
        <w:rPr>
          <w:rFonts w:ascii="Arial" w:hAnsi="Arial" w:cs="Arial"/>
          <w:b/>
          <w:iCs/>
          <w:sz w:val="22"/>
          <w:szCs w:val="22"/>
          <w:lang w:val="en-US"/>
        </w:rPr>
        <w:t xml:space="preserve">20. </w:t>
      </w:r>
      <w:r w:rsidRPr="00057829">
        <w:rPr>
          <w:rFonts w:ascii="Arial" w:hAnsi="Arial" w:cs="Arial"/>
          <w:iCs/>
          <w:sz w:val="22"/>
          <w:szCs w:val="22"/>
          <w:lang w:val="en-US"/>
        </w:rPr>
        <w:t xml:space="preserve">Schwind S, Marcucci G, Kohlschmidt J, Radmacher MD, Mrózek K, Maharry K, et al. Low expression of </w:t>
      </w:r>
      <w:r w:rsidRPr="00057829">
        <w:rPr>
          <w:rFonts w:ascii="Arial" w:hAnsi="Arial" w:cs="Arial"/>
          <w:i/>
          <w:iCs/>
          <w:sz w:val="22"/>
          <w:szCs w:val="22"/>
          <w:lang w:val="en-US"/>
        </w:rPr>
        <w:t>MN1</w:t>
      </w:r>
      <w:r w:rsidRPr="00057829">
        <w:rPr>
          <w:rFonts w:ascii="Arial" w:hAnsi="Arial" w:cs="Arial"/>
          <w:iCs/>
          <w:sz w:val="22"/>
          <w:szCs w:val="22"/>
          <w:lang w:val="en-US"/>
        </w:rPr>
        <w:t xml:space="preserve"> associates with</w:t>
      </w:r>
      <w:r w:rsidRPr="00057829">
        <w:rPr>
          <w:rFonts w:ascii="Arial" w:hAnsi="Arial" w:cs="Arial"/>
          <w:iCs/>
          <w:sz w:val="22"/>
          <w:szCs w:val="22"/>
          <w:lang w:val="en-US"/>
        </w:rPr>
        <w:t xml:space="preserve"> better treatment response in older patients with de novo cytogenetically normal acute myeloid leukemia. </w:t>
      </w:r>
      <w:r w:rsidRPr="00057829">
        <w:rPr>
          <w:rFonts w:ascii="Arial" w:hAnsi="Arial" w:cs="Arial"/>
          <w:i/>
          <w:iCs/>
          <w:sz w:val="22"/>
          <w:szCs w:val="22"/>
          <w:lang w:val="en-US"/>
        </w:rPr>
        <w:t>Blood.</w:t>
      </w:r>
      <w:r w:rsidRPr="00057829">
        <w:rPr>
          <w:rFonts w:ascii="Arial" w:hAnsi="Arial" w:cs="Arial"/>
          <w:iCs/>
          <w:sz w:val="22"/>
          <w:szCs w:val="22"/>
          <w:lang w:val="en-US"/>
        </w:rPr>
        <w:t xml:space="preserve"> 2011;118(15):4188-98. </w:t>
      </w:r>
    </w:p>
    <w:p w:rsidR="000730CE" w:rsidRPr="00057829" w:rsidRDefault="00141A43">
      <w:pPr>
        <w:spacing w:before="240" w:line="480" w:lineRule="auto"/>
        <w:jc w:val="both"/>
        <w:rPr>
          <w:rFonts w:ascii="Arial" w:hAnsi="Arial" w:cs="Arial"/>
          <w:iCs/>
          <w:sz w:val="22"/>
          <w:szCs w:val="22"/>
          <w:lang w:val="en-US"/>
        </w:rPr>
      </w:pPr>
      <w:r w:rsidRPr="00057829">
        <w:rPr>
          <w:rFonts w:ascii="Arial" w:hAnsi="Arial" w:cs="Arial"/>
          <w:b/>
          <w:iCs/>
          <w:sz w:val="22"/>
          <w:szCs w:val="22"/>
          <w:lang w:val="en-US"/>
        </w:rPr>
        <w:t>21</w:t>
      </w:r>
      <w:r w:rsidRPr="00057829">
        <w:rPr>
          <w:rFonts w:ascii="Arial" w:hAnsi="Arial" w:cs="Arial"/>
          <w:iCs/>
          <w:sz w:val="22"/>
          <w:szCs w:val="22"/>
          <w:lang w:val="en-US"/>
        </w:rPr>
        <w:t>. Langer C, Marcucci G, Holland KB, Radmacher MD, Maharry K, Paschka P, et al. Prognostic importance of</w:t>
      </w:r>
      <w:r w:rsidRPr="00057829">
        <w:rPr>
          <w:rFonts w:ascii="Arial" w:hAnsi="Arial" w:cs="Arial"/>
          <w:i/>
          <w:iCs/>
          <w:sz w:val="22"/>
          <w:szCs w:val="22"/>
          <w:lang w:val="en-US"/>
        </w:rPr>
        <w:t xml:space="preserve"> MN1</w:t>
      </w:r>
      <w:r w:rsidRPr="00057829">
        <w:rPr>
          <w:rFonts w:ascii="Arial" w:hAnsi="Arial" w:cs="Arial"/>
          <w:iCs/>
          <w:sz w:val="22"/>
          <w:szCs w:val="22"/>
          <w:lang w:val="en-US"/>
        </w:rPr>
        <w:t xml:space="preserve"> transcript </w:t>
      </w:r>
      <w:r w:rsidRPr="00057829">
        <w:rPr>
          <w:rFonts w:ascii="Arial" w:hAnsi="Arial" w:cs="Arial"/>
          <w:iCs/>
          <w:sz w:val="22"/>
          <w:szCs w:val="22"/>
          <w:lang w:val="en-US"/>
        </w:rPr>
        <w:t xml:space="preserve">levels, and biologic insights from MN1-associated gene and microRNA expression signatures in cytogenetically normal acute myeloid leukemia: a cancer and leukemia group B study. </w:t>
      </w:r>
      <w:r w:rsidRPr="00057829">
        <w:rPr>
          <w:rFonts w:ascii="Arial" w:hAnsi="Arial" w:cs="Arial"/>
          <w:i/>
          <w:iCs/>
          <w:sz w:val="22"/>
          <w:szCs w:val="22"/>
          <w:lang w:val="en-US"/>
        </w:rPr>
        <w:t>J Clin Oncol</w:t>
      </w:r>
      <w:r w:rsidRPr="00057829">
        <w:rPr>
          <w:rFonts w:ascii="Arial" w:hAnsi="Arial" w:cs="Arial"/>
          <w:iCs/>
          <w:sz w:val="22"/>
          <w:szCs w:val="22"/>
          <w:lang w:val="en-US"/>
        </w:rPr>
        <w:t xml:space="preserve">. 2009;27(19):3198-204. </w:t>
      </w:r>
    </w:p>
    <w:p w:rsidR="000730CE" w:rsidRPr="00057829" w:rsidRDefault="00141A43">
      <w:pPr>
        <w:widowControl w:val="0"/>
        <w:spacing w:before="240" w:line="480" w:lineRule="auto"/>
        <w:jc w:val="both"/>
        <w:rPr>
          <w:rFonts w:ascii="Arial" w:hAnsi="Arial" w:cs="Arial"/>
          <w:sz w:val="22"/>
          <w:szCs w:val="22"/>
          <w:lang w:val="en-US"/>
        </w:rPr>
      </w:pPr>
      <w:r w:rsidRPr="00057829">
        <w:rPr>
          <w:rFonts w:ascii="Arial" w:hAnsi="Arial" w:cs="Arial"/>
          <w:b/>
          <w:sz w:val="22"/>
          <w:szCs w:val="22"/>
          <w:lang w:val="en-US"/>
        </w:rPr>
        <w:t>22.</w:t>
      </w:r>
      <w:r w:rsidRPr="00057829">
        <w:rPr>
          <w:rFonts w:ascii="Arial" w:hAnsi="Arial" w:cs="Arial"/>
          <w:sz w:val="22"/>
          <w:szCs w:val="22"/>
          <w:lang w:val="en-US"/>
        </w:rPr>
        <w:t xml:space="preserve"> Carturan S, Petiti J, Rosso V, Calabre</w:t>
      </w:r>
      <w:r w:rsidRPr="00057829">
        <w:rPr>
          <w:rFonts w:ascii="Arial" w:hAnsi="Arial" w:cs="Arial"/>
          <w:sz w:val="22"/>
          <w:szCs w:val="22"/>
          <w:lang w:val="en-US"/>
        </w:rPr>
        <w:t>se C, Signorino E, Bot-Sartor G, et al. Variable but consistent pattern of Meningioma 1 gene (</w:t>
      </w:r>
      <w:r w:rsidRPr="00057829">
        <w:rPr>
          <w:rFonts w:ascii="Arial" w:hAnsi="Arial" w:cs="Arial"/>
          <w:i/>
          <w:sz w:val="22"/>
          <w:szCs w:val="22"/>
          <w:lang w:val="en-US"/>
        </w:rPr>
        <w:t>MN1</w:t>
      </w:r>
      <w:r w:rsidRPr="00057829">
        <w:rPr>
          <w:rFonts w:ascii="Arial" w:hAnsi="Arial" w:cs="Arial"/>
          <w:sz w:val="22"/>
          <w:szCs w:val="22"/>
          <w:lang w:val="en-US"/>
        </w:rPr>
        <w:t xml:space="preserve">) expression in different genetic subsets of acute myelogenous leukaemia and its potential use as a marker for minimal residual disease detection. </w:t>
      </w:r>
      <w:r w:rsidRPr="00057829">
        <w:rPr>
          <w:rFonts w:ascii="Arial" w:hAnsi="Arial" w:cs="Arial"/>
          <w:i/>
          <w:sz w:val="22"/>
          <w:szCs w:val="22"/>
          <w:lang w:val="en-US"/>
        </w:rPr>
        <w:t>Oncotarget</w:t>
      </w:r>
      <w:r w:rsidRPr="00057829">
        <w:rPr>
          <w:rFonts w:ascii="Arial" w:hAnsi="Arial" w:cs="Arial"/>
          <w:sz w:val="22"/>
          <w:szCs w:val="22"/>
          <w:lang w:val="en-US"/>
        </w:rPr>
        <w:t xml:space="preserve">. </w:t>
      </w:r>
      <w:r w:rsidRPr="00057829">
        <w:rPr>
          <w:rFonts w:ascii="Arial" w:hAnsi="Arial" w:cs="Arial"/>
          <w:sz w:val="22"/>
          <w:szCs w:val="22"/>
          <w:lang w:val="en-US"/>
        </w:rPr>
        <w:t xml:space="preserve">2016;7(45):74082-96. </w:t>
      </w:r>
    </w:p>
    <w:p w:rsidR="000730CE" w:rsidRPr="00057829" w:rsidRDefault="00141A43">
      <w:pPr>
        <w:widowControl w:val="0"/>
        <w:spacing w:before="240" w:line="480" w:lineRule="auto"/>
        <w:jc w:val="both"/>
        <w:rPr>
          <w:rFonts w:ascii="Arial" w:hAnsi="Arial" w:cs="Arial"/>
          <w:sz w:val="22"/>
          <w:lang w:val="en-US"/>
        </w:rPr>
      </w:pPr>
      <w:r w:rsidRPr="00057829">
        <w:rPr>
          <w:rFonts w:ascii="Arial" w:hAnsi="Arial" w:cs="Arial"/>
          <w:b/>
          <w:sz w:val="22"/>
          <w:lang w:val="en-US"/>
        </w:rPr>
        <w:t>23.</w:t>
      </w:r>
      <w:r w:rsidRPr="00057829">
        <w:rPr>
          <w:rFonts w:ascii="Arial" w:hAnsi="Arial" w:cs="Arial"/>
          <w:sz w:val="22"/>
          <w:lang w:val="en-US"/>
        </w:rPr>
        <w:t xml:space="preserve"> Gupta V, Tallman MS, Weisdorf DJ. Allogeneic hematopoietic cell transplantation for adults with acute myeloid leukemia: myths, controversies, and unknowns. </w:t>
      </w:r>
      <w:r w:rsidRPr="00057829">
        <w:rPr>
          <w:rFonts w:ascii="Arial" w:hAnsi="Arial" w:cs="Arial"/>
          <w:i/>
          <w:sz w:val="22"/>
          <w:lang w:val="en-US"/>
        </w:rPr>
        <w:t>Blood.</w:t>
      </w:r>
      <w:r w:rsidRPr="00057829">
        <w:rPr>
          <w:rFonts w:ascii="Arial" w:hAnsi="Arial" w:cs="Arial"/>
          <w:sz w:val="22"/>
          <w:lang w:val="en-US"/>
        </w:rPr>
        <w:t xml:space="preserve"> 2011;117(26):2307-18.</w:t>
      </w:r>
    </w:p>
    <w:p w:rsidR="000730CE" w:rsidRPr="00057829" w:rsidRDefault="00141A43">
      <w:pPr>
        <w:spacing w:before="240" w:line="480" w:lineRule="auto"/>
        <w:jc w:val="both"/>
        <w:rPr>
          <w:rFonts w:ascii="Arial" w:hAnsi="Arial" w:cs="Arial"/>
          <w:sz w:val="22"/>
          <w:szCs w:val="22"/>
          <w:lang w:val="en-US"/>
        </w:rPr>
      </w:pPr>
      <w:r w:rsidRPr="00057829">
        <w:rPr>
          <w:rFonts w:ascii="Arial" w:hAnsi="Arial" w:cs="Arial"/>
          <w:b/>
          <w:iCs/>
          <w:sz w:val="22"/>
          <w:szCs w:val="22"/>
          <w:lang w:val="en-US"/>
        </w:rPr>
        <w:t>24.</w:t>
      </w:r>
      <w:r w:rsidRPr="00057829">
        <w:rPr>
          <w:rFonts w:ascii="Arial" w:hAnsi="Arial" w:cs="Arial"/>
          <w:iCs/>
          <w:sz w:val="22"/>
          <w:szCs w:val="22"/>
          <w:lang w:val="en-US"/>
        </w:rPr>
        <w:t xml:space="preserve"> </w:t>
      </w:r>
      <w:r w:rsidRPr="00057829">
        <w:rPr>
          <w:rFonts w:ascii="Arial" w:hAnsi="Arial" w:cs="Arial"/>
          <w:sz w:val="22"/>
          <w:szCs w:val="22"/>
          <w:lang w:val="en-US"/>
        </w:rPr>
        <w:t xml:space="preserve">McSweeney PA, Niederwieser D, Shizuru JA, Sandmaier BM, Molina AJ, Maloney DG, et al. Hematopoietic cell transplantation in older patients with hematologic malignancies: replacing high-dose cytotoxic therapy with graft-versus-tumor effects. </w:t>
      </w:r>
      <w:r w:rsidRPr="00057829">
        <w:rPr>
          <w:rFonts w:ascii="Arial" w:hAnsi="Arial" w:cs="Arial"/>
          <w:i/>
          <w:sz w:val="22"/>
          <w:szCs w:val="22"/>
          <w:lang w:val="en-US"/>
        </w:rPr>
        <w:t>Blood</w:t>
      </w:r>
      <w:r w:rsidRPr="00057829">
        <w:rPr>
          <w:rFonts w:ascii="Arial" w:hAnsi="Arial" w:cs="Arial"/>
          <w:sz w:val="22"/>
          <w:szCs w:val="22"/>
          <w:lang w:val="en-US"/>
        </w:rPr>
        <w:t>. 2001;97(</w:t>
      </w:r>
      <w:r w:rsidRPr="00057829">
        <w:rPr>
          <w:rFonts w:ascii="Arial" w:hAnsi="Arial" w:cs="Arial"/>
          <w:sz w:val="22"/>
          <w:szCs w:val="22"/>
          <w:lang w:val="en-US"/>
        </w:rPr>
        <w:t>11):3390-400.</w:t>
      </w:r>
    </w:p>
    <w:p w:rsidR="000730CE" w:rsidRPr="00057829" w:rsidRDefault="00141A43">
      <w:pPr>
        <w:widowControl w:val="0"/>
        <w:spacing w:before="240" w:line="480" w:lineRule="auto"/>
        <w:jc w:val="both"/>
        <w:rPr>
          <w:rFonts w:ascii="Arial" w:hAnsi="Arial" w:cs="Arial"/>
          <w:iCs/>
          <w:sz w:val="22"/>
          <w:szCs w:val="22"/>
          <w:lang w:val="en-US"/>
        </w:rPr>
      </w:pPr>
      <w:r w:rsidRPr="00057829">
        <w:rPr>
          <w:rFonts w:ascii="Arial" w:hAnsi="Arial" w:cs="Arial"/>
          <w:b/>
          <w:sz w:val="22"/>
          <w:lang w:val="en-US"/>
        </w:rPr>
        <w:t>25.</w:t>
      </w:r>
      <w:r w:rsidRPr="00057829">
        <w:rPr>
          <w:rFonts w:ascii="Arial" w:hAnsi="Arial" w:cs="Arial"/>
          <w:sz w:val="22"/>
          <w:lang w:val="en-US"/>
        </w:rPr>
        <w:t xml:space="preserve"> Araki D, Wood BL, Othus M, Radich JP, Halpern AB, Zhou Y, et al. Allogeneic </w:t>
      </w:r>
      <w:r w:rsidRPr="00057829">
        <w:rPr>
          <w:rFonts w:ascii="Arial" w:hAnsi="Arial" w:cs="Arial"/>
          <w:sz w:val="22"/>
          <w:lang w:val="en-US"/>
        </w:rPr>
        <w:lastRenderedPageBreak/>
        <w:t xml:space="preserve">Hematopoietic Cell Transplantation for Acute Myeloid Leukemia: Time to Move Toward a Minimal Residual Disease-Based Definition of Complete Remission? </w:t>
      </w:r>
      <w:r w:rsidRPr="00057829">
        <w:rPr>
          <w:rFonts w:ascii="Arial" w:hAnsi="Arial" w:cs="Arial"/>
          <w:i/>
          <w:sz w:val="22"/>
          <w:lang w:val="en-US"/>
        </w:rPr>
        <w:t>J Clin Oncol</w:t>
      </w:r>
      <w:r w:rsidRPr="00057829">
        <w:rPr>
          <w:rFonts w:ascii="Arial" w:hAnsi="Arial" w:cs="Arial"/>
          <w:sz w:val="22"/>
          <w:lang w:val="en-US"/>
        </w:rPr>
        <w:t>. 2016;34(4):329-36.</w:t>
      </w:r>
    </w:p>
    <w:p w:rsidR="000730CE" w:rsidRPr="00057829" w:rsidRDefault="00141A43">
      <w:pPr>
        <w:spacing w:before="240" w:line="480" w:lineRule="auto"/>
        <w:jc w:val="both"/>
        <w:rPr>
          <w:rFonts w:ascii="Arial" w:hAnsi="Arial" w:cs="Arial"/>
          <w:iCs/>
          <w:sz w:val="22"/>
          <w:szCs w:val="22"/>
          <w:lang w:val="en-US"/>
        </w:rPr>
      </w:pPr>
      <w:r w:rsidRPr="00057829">
        <w:rPr>
          <w:rFonts w:ascii="Arial" w:hAnsi="Arial" w:cs="Arial"/>
          <w:b/>
          <w:iCs/>
          <w:sz w:val="22"/>
          <w:szCs w:val="22"/>
          <w:lang w:val="en-US"/>
        </w:rPr>
        <w:t>26.</w:t>
      </w:r>
      <w:r w:rsidRPr="00057829">
        <w:rPr>
          <w:rFonts w:ascii="Arial" w:hAnsi="Arial" w:cs="Arial"/>
          <w:iCs/>
          <w:sz w:val="22"/>
          <w:szCs w:val="22"/>
          <w:lang w:val="en-US"/>
        </w:rPr>
        <w:t xml:space="preserve"> Muffly L, Pasquini MC, Martens M, Brazauskas R, Zhu X, Adekola K, et al. Increasing use of allogeneic hematopoietic cell transplantation in patients age 70 years and older in the United States. </w:t>
      </w:r>
      <w:r w:rsidRPr="00057829">
        <w:rPr>
          <w:rFonts w:ascii="Arial" w:hAnsi="Arial" w:cs="Arial"/>
          <w:i/>
          <w:iCs/>
          <w:sz w:val="22"/>
          <w:szCs w:val="22"/>
          <w:lang w:val="en-US"/>
        </w:rPr>
        <w:t>Blood</w:t>
      </w:r>
      <w:r w:rsidRPr="00057829">
        <w:rPr>
          <w:rFonts w:ascii="Arial" w:hAnsi="Arial" w:cs="Arial"/>
          <w:iCs/>
          <w:sz w:val="22"/>
          <w:szCs w:val="22"/>
          <w:lang w:val="en-US"/>
        </w:rPr>
        <w:t>. 2017;130(9):1156-64.</w:t>
      </w:r>
    </w:p>
    <w:p w:rsidR="000730CE" w:rsidRPr="00057829" w:rsidRDefault="00141A43">
      <w:pPr>
        <w:spacing w:before="240" w:line="480" w:lineRule="auto"/>
        <w:jc w:val="both"/>
        <w:rPr>
          <w:rFonts w:ascii="Arial" w:hAnsi="Arial" w:cs="Arial"/>
          <w:iCs/>
          <w:sz w:val="22"/>
          <w:szCs w:val="22"/>
          <w:lang w:val="en-US"/>
        </w:rPr>
      </w:pPr>
      <w:r w:rsidRPr="00057829">
        <w:rPr>
          <w:rFonts w:ascii="Arial" w:hAnsi="Arial" w:cs="Arial"/>
          <w:b/>
          <w:iCs/>
          <w:sz w:val="22"/>
          <w:szCs w:val="22"/>
          <w:lang w:val="en-US"/>
        </w:rPr>
        <w:t>27.</w:t>
      </w:r>
      <w:r w:rsidRPr="00057829">
        <w:rPr>
          <w:rFonts w:ascii="Arial" w:hAnsi="Arial" w:cs="Arial"/>
          <w:iCs/>
          <w:sz w:val="22"/>
          <w:szCs w:val="22"/>
          <w:lang w:val="en-US"/>
        </w:rPr>
        <w:t xml:space="preserve"> </w:t>
      </w:r>
      <w:r w:rsidRPr="00057829">
        <w:rPr>
          <w:rFonts w:ascii="Arial" w:hAnsi="Arial" w:cs="Arial"/>
          <w:sz w:val="22"/>
          <w:szCs w:val="22"/>
          <w:lang w:val="en-US"/>
        </w:rPr>
        <w:t>Horow</w:t>
      </w:r>
      <w:r w:rsidRPr="00057829">
        <w:rPr>
          <w:rFonts w:ascii="Arial" w:hAnsi="Arial" w:cs="Arial"/>
          <w:sz w:val="22"/>
          <w:szCs w:val="22"/>
          <w:lang w:val="en-US"/>
        </w:rPr>
        <w:t xml:space="preserve">itz MM, Gale RP, Sondel PM, Goldman JM, Kersey J, Kolb HJ, et al. Graft-versus-leukemia reactions after bone marrow transplantation. </w:t>
      </w:r>
      <w:r w:rsidRPr="00057829">
        <w:rPr>
          <w:rFonts w:ascii="Arial" w:hAnsi="Arial" w:cs="Arial"/>
          <w:i/>
          <w:sz w:val="22"/>
          <w:szCs w:val="22"/>
          <w:lang w:val="en-US"/>
        </w:rPr>
        <w:t>Blood.</w:t>
      </w:r>
      <w:r w:rsidRPr="00057829">
        <w:rPr>
          <w:rFonts w:ascii="Arial" w:hAnsi="Arial" w:cs="Arial"/>
          <w:sz w:val="22"/>
          <w:szCs w:val="22"/>
          <w:lang w:val="en-US"/>
        </w:rPr>
        <w:t xml:space="preserve"> 1990;75(3):555-62.</w:t>
      </w:r>
    </w:p>
    <w:p w:rsidR="000730CE" w:rsidRPr="00057829" w:rsidRDefault="00141A43">
      <w:pPr>
        <w:widowControl w:val="0"/>
        <w:spacing w:before="240" w:line="480" w:lineRule="auto"/>
        <w:jc w:val="both"/>
        <w:rPr>
          <w:rFonts w:ascii="Arial" w:hAnsi="Arial" w:cs="Arial"/>
          <w:sz w:val="22"/>
          <w:szCs w:val="22"/>
          <w:lang w:val="en-US"/>
        </w:rPr>
      </w:pPr>
      <w:r w:rsidRPr="00057829">
        <w:rPr>
          <w:rFonts w:ascii="Arial" w:hAnsi="Arial" w:cs="Arial"/>
          <w:b/>
          <w:sz w:val="22"/>
          <w:szCs w:val="22"/>
          <w:lang w:val="en-US"/>
        </w:rPr>
        <w:t>28.</w:t>
      </w:r>
      <w:r w:rsidRPr="00057829">
        <w:rPr>
          <w:rFonts w:ascii="Arial" w:hAnsi="Arial" w:cs="Arial"/>
          <w:sz w:val="22"/>
          <w:szCs w:val="22"/>
          <w:lang w:val="en-US"/>
        </w:rPr>
        <w:t xml:space="preserve"> Hindson CM, Chevillet JR, Briggs HA, Gallichotte EN, Ruf IK, Hindson BJ, et al. Absolute quan</w:t>
      </w:r>
      <w:r w:rsidRPr="00057829">
        <w:rPr>
          <w:rFonts w:ascii="Arial" w:hAnsi="Arial" w:cs="Arial"/>
          <w:sz w:val="22"/>
          <w:szCs w:val="22"/>
          <w:lang w:val="en-US"/>
        </w:rPr>
        <w:t xml:space="preserve">tification by droplet digital PCR versus analog real-time PCR. </w:t>
      </w:r>
      <w:r w:rsidRPr="00057829">
        <w:rPr>
          <w:rFonts w:ascii="Arial" w:hAnsi="Arial" w:cs="Arial"/>
          <w:i/>
          <w:sz w:val="22"/>
          <w:szCs w:val="22"/>
          <w:lang w:val="en-US"/>
        </w:rPr>
        <w:t>Nat Methods</w:t>
      </w:r>
      <w:r w:rsidRPr="00057829">
        <w:rPr>
          <w:rFonts w:ascii="Arial" w:hAnsi="Arial" w:cs="Arial"/>
          <w:sz w:val="22"/>
          <w:szCs w:val="22"/>
          <w:lang w:val="en-US"/>
        </w:rPr>
        <w:t>. 2013;10(10):1003-5.</w:t>
      </w:r>
    </w:p>
    <w:p w:rsidR="000730CE" w:rsidRPr="00057829" w:rsidRDefault="00141A43">
      <w:pPr>
        <w:spacing w:before="240" w:line="480" w:lineRule="auto"/>
        <w:jc w:val="both"/>
        <w:rPr>
          <w:rFonts w:ascii="Arial" w:hAnsi="Arial" w:cs="Arial"/>
          <w:iCs/>
          <w:sz w:val="22"/>
          <w:szCs w:val="22"/>
          <w:lang w:val="en-US"/>
        </w:rPr>
      </w:pPr>
      <w:r w:rsidRPr="00057829">
        <w:rPr>
          <w:rFonts w:ascii="Arial" w:hAnsi="Arial" w:cs="Arial"/>
          <w:b/>
          <w:iCs/>
          <w:sz w:val="22"/>
          <w:szCs w:val="22"/>
          <w:lang w:val="en-US"/>
        </w:rPr>
        <w:t>29.</w:t>
      </w:r>
      <w:r w:rsidRPr="00057829">
        <w:rPr>
          <w:rFonts w:ascii="Arial" w:hAnsi="Arial" w:cs="Arial"/>
          <w:iCs/>
          <w:sz w:val="22"/>
          <w:szCs w:val="22"/>
          <w:lang w:val="en-US"/>
        </w:rPr>
        <w:t xml:space="preserve"> Venditti A, Piciocchi A, Candoni A, Melillo L, Calafiore V, Cairoli R, et al. Risk-adapted, MRD-directed therapy for young adults with newly diagnosed acute myeloid leukemia: results of the AML1310 trial of the GIMEMA group [abstract]. </w:t>
      </w:r>
      <w:r w:rsidRPr="00057829">
        <w:rPr>
          <w:rFonts w:ascii="Arial" w:hAnsi="Arial" w:cs="Arial"/>
          <w:i/>
          <w:iCs/>
          <w:sz w:val="22"/>
          <w:szCs w:val="22"/>
          <w:lang w:val="en-US"/>
        </w:rPr>
        <w:t>Haematologica</w:t>
      </w:r>
      <w:r w:rsidRPr="00057829">
        <w:rPr>
          <w:rFonts w:ascii="Arial" w:hAnsi="Arial" w:cs="Arial"/>
          <w:iCs/>
          <w:sz w:val="22"/>
          <w:szCs w:val="22"/>
          <w:lang w:val="en-US"/>
        </w:rPr>
        <w:t>. 2017</w:t>
      </w:r>
      <w:r w:rsidRPr="00057829">
        <w:rPr>
          <w:rFonts w:ascii="Arial" w:hAnsi="Arial" w:cs="Arial"/>
          <w:iCs/>
          <w:sz w:val="22"/>
          <w:szCs w:val="22"/>
          <w:lang w:val="en-US"/>
        </w:rPr>
        <w:t>. Abstract S111.</w:t>
      </w:r>
    </w:p>
    <w:p w:rsidR="000730CE" w:rsidRPr="00057829" w:rsidRDefault="00141A43">
      <w:pPr>
        <w:widowControl w:val="0"/>
        <w:spacing w:before="240" w:line="480" w:lineRule="auto"/>
        <w:jc w:val="both"/>
        <w:rPr>
          <w:rFonts w:ascii="Arial" w:hAnsi="Arial" w:cs="Arial"/>
          <w:sz w:val="22"/>
          <w:lang w:val="en-US"/>
        </w:rPr>
      </w:pPr>
      <w:r w:rsidRPr="00057829">
        <w:rPr>
          <w:rFonts w:ascii="Arial" w:hAnsi="Arial" w:cs="Arial"/>
          <w:b/>
          <w:sz w:val="22"/>
          <w:lang w:val="en-US"/>
        </w:rPr>
        <w:t>30.</w:t>
      </w:r>
      <w:r w:rsidRPr="00057829">
        <w:rPr>
          <w:rFonts w:ascii="Arial" w:hAnsi="Arial" w:cs="Arial"/>
          <w:sz w:val="22"/>
          <w:lang w:val="en-US"/>
        </w:rPr>
        <w:t xml:space="preserve"> Kawagoe H, Grosveld GC. MN1-TEL myeloid oncoprotein expressed in multipotent progenitors perturbs both myeloid and lymphoid growth and causes T-lymphoid tumors in mice. </w:t>
      </w:r>
      <w:r w:rsidRPr="00057829">
        <w:rPr>
          <w:rFonts w:ascii="Arial" w:hAnsi="Arial" w:cs="Arial"/>
          <w:i/>
          <w:sz w:val="22"/>
          <w:lang w:val="en-US"/>
        </w:rPr>
        <w:t>Blood</w:t>
      </w:r>
      <w:r w:rsidRPr="00057829">
        <w:rPr>
          <w:rFonts w:ascii="Arial" w:hAnsi="Arial" w:cs="Arial"/>
          <w:sz w:val="22"/>
          <w:lang w:val="en-US"/>
        </w:rPr>
        <w:t xml:space="preserve">. 2005;106(13):4278-86. </w:t>
      </w:r>
    </w:p>
    <w:p w:rsidR="000730CE" w:rsidRPr="00057829" w:rsidRDefault="00141A43">
      <w:pPr>
        <w:widowControl w:val="0"/>
        <w:spacing w:before="240" w:line="480" w:lineRule="auto"/>
        <w:jc w:val="both"/>
        <w:rPr>
          <w:rFonts w:ascii="Arial" w:hAnsi="Arial" w:cs="Arial"/>
          <w:sz w:val="22"/>
          <w:lang w:val="en-US"/>
        </w:rPr>
      </w:pPr>
      <w:r w:rsidRPr="00057829">
        <w:rPr>
          <w:rFonts w:ascii="Arial" w:hAnsi="Arial" w:cs="Arial"/>
          <w:b/>
          <w:sz w:val="22"/>
          <w:lang w:val="en-US"/>
        </w:rPr>
        <w:t>31.</w:t>
      </w:r>
      <w:r w:rsidRPr="00057829">
        <w:rPr>
          <w:rFonts w:ascii="Arial" w:hAnsi="Arial" w:cs="Arial"/>
          <w:sz w:val="22"/>
          <w:lang w:val="en-US"/>
        </w:rPr>
        <w:t xml:space="preserve"> Valk PJ, Verhaak RG, Beijen MA, </w:t>
      </w:r>
      <w:r w:rsidRPr="00057829">
        <w:rPr>
          <w:rFonts w:ascii="Arial" w:hAnsi="Arial" w:cs="Arial"/>
          <w:sz w:val="22"/>
          <w:lang w:val="en-US"/>
        </w:rPr>
        <w:t xml:space="preserve">Erpelinck CA, Barjesteh van Waalwijk van Doorn-Khosrovani S, Boer JM, et al. Prognostically useful gene-expression profiles in acute myeloid leukemia. </w:t>
      </w:r>
      <w:r w:rsidRPr="00057829">
        <w:rPr>
          <w:rFonts w:ascii="Arial" w:hAnsi="Arial" w:cs="Arial"/>
          <w:i/>
          <w:sz w:val="22"/>
          <w:lang w:val="en-US"/>
        </w:rPr>
        <w:t>N Engl J Med</w:t>
      </w:r>
      <w:r w:rsidRPr="00057829">
        <w:rPr>
          <w:rFonts w:ascii="Arial" w:hAnsi="Arial" w:cs="Arial"/>
          <w:sz w:val="22"/>
          <w:lang w:val="en-US"/>
        </w:rPr>
        <w:t>. 2004;350(16):1617-28.</w:t>
      </w:r>
    </w:p>
    <w:p w:rsidR="000730CE" w:rsidRPr="00057829" w:rsidRDefault="00141A43">
      <w:pPr>
        <w:widowControl w:val="0"/>
        <w:spacing w:before="240" w:line="480" w:lineRule="auto"/>
        <w:jc w:val="both"/>
        <w:rPr>
          <w:rFonts w:ascii="Arial" w:hAnsi="Arial" w:cs="Arial"/>
          <w:sz w:val="22"/>
        </w:rPr>
      </w:pPr>
      <w:r w:rsidRPr="00057829">
        <w:rPr>
          <w:rFonts w:ascii="Arial" w:hAnsi="Arial" w:cs="Arial"/>
          <w:b/>
          <w:sz w:val="22"/>
          <w:lang w:val="en-US"/>
        </w:rPr>
        <w:t>32.</w:t>
      </w:r>
      <w:r w:rsidRPr="00057829">
        <w:rPr>
          <w:rFonts w:ascii="Arial" w:hAnsi="Arial" w:cs="Arial"/>
          <w:sz w:val="22"/>
          <w:lang w:val="en-US"/>
        </w:rPr>
        <w:t xml:space="preserve"> Guolo F, Minetto P, Clavio M, Miglino M, Galaverna F, Raiola AM, </w:t>
      </w:r>
      <w:r w:rsidRPr="00057829">
        <w:rPr>
          <w:rFonts w:ascii="Arial" w:hAnsi="Arial" w:cs="Arial"/>
          <w:sz w:val="22"/>
          <w:lang w:val="en-US"/>
        </w:rPr>
        <w:t xml:space="preserve">et al. Combining flow cytometry and </w:t>
      </w:r>
      <w:r w:rsidRPr="00057829">
        <w:rPr>
          <w:rFonts w:ascii="Arial" w:hAnsi="Arial" w:cs="Arial"/>
          <w:i/>
          <w:sz w:val="22"/>
          <w:lang w:val="en-US"/>
        </w:rPr>
        <w:t>WT1</w:t>
      </w:r>
      <w:r w:rsidRPr="00057829">
        <w:rPr>
          <w:rFonts w:ascii="Arial" w:hAnsi="Arial" w:cs="Arial"/>
          <w:sz w:val="22"/>
          <w:lang w:val="en-US"/>
        </w:rPr>
        <w:t xml:space="preserve"> assessment improves the prognostic value of pre-transplant minimal residual disease in acute myeloid leukemia.</w:t>
      </w:r>
      <w:r w:rsidRPr="00057829">
        <w:rPr>
          <w:lang w:val="en-US"/>
        </w:rPr>
        <w:t xml:space="preserve"> </w:t>
      </w:r>
      <w:r w:rsidRPr="00057829">
        <w:rPr>
          <w:rFonts w:ascii="Arial" w:hAnsi="Arial" w:cs="Arial"/>
          <w:i/>
          <w:sz w:val="22"/>
        </w:rPr>
        <w:t>Haematologica</w:t>
      </w:r>
      <w:r w:rsidRPr="00057829">
        <w:rPr>
          <w:rFonts w:ascii="Arial" w:hAnsi="Arial" w:cs="Arial"/>
          <w:sz w:val="22"/>
        </w:rPr>
        <w:t xml:space="preserve">. </w:t>
      </w:r>
      <w:r w:rsidRPr="00057829">
        <w:rPr>
          <w:rFonts w:ascii="Arial" w:hAnsi="Arial" w:cs="Arial"/>
          <w:iCs/>
          <w:sz w:val="22"/>
          <w:szCs w:val="22"/>
        </w:rPr>
        <w:t>2017;102(9):e348-e351.</w:t>
      </w:r>
    </w:p>
    <w:p w:rsidR="000730CE" w:rsidRPr="00057829" w:rsidRDefault="00141A43">
      <w:pPr>
        <w:widowControl w:val="0"/>
        <w:spacing w:before="240" w:line="480" w:lineRule="auto"/>
        <w:jc w:val="both"/>
        <w:rPr>
          <w:rFonts w:ascii="Arial" w:hAnsi="Arial" w:cs="Arial"/>
          <w:sz w:val="22"/>
          <w:lang w:val="en-US"/>
        </w:rPr>
      </w:pPr>
      <w:r w:rsidRPr="00057829">
        <w:rPr>
          <w:rFonts w:ascii="Arial" w:hAnsi="Arial" w:cs="Arial"/>
          <w:b/>
          <w:sz w:val="22"/>
        </w:rPr>
        <w:t>33.</w:t>
      </w:r>
      <w:r w:rsidRPr="00057829">
        <w:rPr>
          <w:rFonts w:ascii="Arial" w:hAnsi="Arial" w:cs="Arial"/>
          <w:sz w:val="22"/>
        </w:rPr>
        <w:t xml:space="preserve"> Heuser M, Wingen LU, Steinemann D, Cario G, von Neuhoff N, Tauscher M, et al. </w:t>
      </w:r>
      <w:r w:rsidRPr="00057829">
        <w:rPr>
          <w:rFonts w:ascii="Arial" w:hAnsi="Arial" w:cs="Arial"/>
          <w:sz w:val="22"/>
          <w:lang w:val="en-US"/>
        </w:rPr>
        <w:t>Gene-</w:t>
      </w:r>
      <w:r w:rsidRPr="00057829">
        <w:rPr>
          <w:rFonts w:ascii="Arial" w:hAnsi="Arial" w:cs="Arial"/>
          <w:sz w:val="22"/>
          <w:lang w:val="en-US"/>
        </w:rPr>
        <w:lastRenderedPageBreak/>
        <w:t xml:space="preserve">expression profiles and their association with drug resistance in adult acute myeloid leukemia. </w:t>
      </w:r>
      <w:r w:rsidRPr="00057829">
        <w:rPr>
          <w:rFonts w:ascii="Arial" w:hAnsi="Arial" w:cs="Arial"/>
          <w:i/>
          <w:sz w:val="22"/>
          <w:lang w:val="en-US"/>
        </w:rPr>
        <w:t>Haematologica.</w:t>
      </w:r>
      <w:r w:rsidRPr="00057829">
        <w:rPr>
          <w:rFonts w:ascii="Arial" w:hAnsi="Arial" w:cs="Arial"/>
          <w:sz w:val="22"/>
          <w:lang w:val="en-US"/>
        </w:rPr>
        <w:t xml:space="preserve"> 2005;90(11):1484-92.</w:t>
      </w:r>
    </w:p>
    <w:p w:rsidR="000730CE" w:rsidRPr="00057829" w:rsidRDefault="00141A43">
      <w:pPr>
        <w:spacing w:before="240" w:line="480" w:lineRule="auto"/>
        <w:jc w:val="both"/>
        <w:rPr>
          <w:rFonts w:ascii="Arial" w:hAnsi="Arial" w:cs="Arial"/>
          <w:iCs/>
          <w:sz w:val="22"/>
          <w:szCs w:val="22"/>
          <w:lang w:val="en-US"/>
        </w:rPr>
      </w:pPr>
      <w:r w:rsidRPr="00057829">
        <w:rPr>
          <w:rFonts w:ascii="Arial" w:hAnsi="Arial" w:cs="Arial"/>
          <w:b/>
          <w:sz w:val="22"/>
          <w:szCs w:val="22"/>
          <w:lang w:val="en-US"/>
        </w:rPr>
        <w:t>34.</w:t>
      </w:r>
      <w:r w:rsidRPr="00057829">
        <w:rPr>
          <w:rFonts w:ascii="Arial" w:hAnsi="Arial" w:cs="Arial"/>
          <w:sz w:val="22"/>
          <w:szCs w:val="22"/>
          <w:lang w:val="en-US"/>
        </w:rPr>
        <w:t xml:space="preserve"> Zeijlemaker W, Meijer R, Kelder A, C</w:t>
      </w:r>
      <w:r w:rsidRPr="00057829">
        <w:rPr>
          <w:rFonts w:ascii="Arial" w:hAnsi="Arial" w:cs="Arial"/>
          <w:sz w:val="22"/>
          <w:szCs w:val="22"/>
          <w:lang w:val="en-US"/>
        </w:rPr>
        <w:t xml:space="preserve">arbaat-Ham J, Oussoren-Brockhoff Y, Snel S, et al. Leukemic stem cell frequency combined with MRD is an important biomarker to predict relapse in acute myeloid leukemia. Results from a prospective H102 study. </w:t>
      </w:r>
      <w:r w:rsidRPr="00057829">
        <w:rPr>
          <w:rFonts w:ascii="Arial" w:hAnsi="Arial" w:cs="Arial"/>
          <w:iCs/>
          <w:sz w:val="22"/>
          <w:szCs w:val="22"/>
          <w:lang w:val="en-US"/>
        </w:rPr>
        <w:t xml:space="preserve">[abstract]. </w:t>
      </w:r>
      <w:r w:rsidRPr="00057829">
        <w:rPr>
          <w:rFonts w:ascii="Arial" w:hAnsi="Arial" w:cs="Arial"/>
          <w:i/>
          <w:iCs/>
          <w:sz w:val="22"/>
          <w:szCs w:val="22"/>
          <w:lang w:val="en-US"/>
        </w:rPr>
        <w:t>Haematologica</w:t>
      </w:r>
      <w:r w:rsidRPr="00057829">
        <w:rPr>
          <w:rFonts w:ascii="Arial" w:hAnsi="Arial" w:cs="Arial"/>
          <w:iCs/>
          <w:sz w:val="22"/>
          <w:szCs w:val="22"/>
          <w:lang w:val="en-US"/>
        </w:rPr>
        <w:t>. 2017. Abstract S113.</w:t>
      </w:r>
    </w:p>
    <w:p w:rsidR="000730CE" w:rsidRPr="00057829" w:rsidRDefault="00141A43">
      <w:pPr>
        <w:spacing w:before="240" w:line="480" w:lineRule="auto"/>
        <w:jc w:val="both"/>
        <w:rPr>
          <w:rFonts w:ascii="Arial" w:hAnsi="Arial" w:cs="Arial"/>
          <w:iCs/>
          <w:sz w:val="22"/>
          <w:szCs w:val="22"/>
          <w:lang w:val="en-US"/>
        </w:rPr>
      </w:pPr>
      <w:r w:rsidRPr="00057829">
        <w:rPr>
          <w:rFonts w:ascii="Arial" w:hAnsi="Arial" w:cs="Arial"/>
          <w:b/>
          <w:sz w:val="22"/>
          <w:szCs w:val="22"/>
          <w:lang w:val="en-US"/>
        </w:rPr>
        <w:t>35</w:t>
      </w:r>
      <w:r w:rsidRPr="00057829">
        <w:rPr>
          <w:rFonts w:ascii="Arial" w:hAnsi="Arial" w:cs="Arial"/>
          <w:sz w:val="22"/>
          <w:szCs w:val="22"/>
          <w:lang w:val="en-US"/>
        </w:rPr>
        <w:t xml:space="preserve">. Falini B, Mecucci C, Tiacci E, Alcalay M, Rosati R, Pasqualucci L, et al. Cytoplasmic nucleophosmin in acute myelogenous leukemia with a normal karyotype. </w:t>
      </w:r>
      <w:r w:rsidRPr="00057829">
        <w:rPr>
          <w:rFonts w:ascii="Arial" w:hAnsi="Arial" w:cs="Arial"/>
          <w:i/>
          <w:sz w:val="22"/>
          <w:szCs w:val="22"/>
          <w:lang w:val="en-US"/>
        </w:rPr>
        <w:t>N Engl J Med</w:t>
      </w:r>
      <w:r w:rsidRPr="00057829">
        <w:rPr>
          <w:rFonts w:ascii="Arial" w:hAnsi="Arial" w:cs="Arial"/>
          <w:sz w:val="22"/>
          <w:szCs w:val="22"/>
          <w:lang w:val="en-US"/>
        </w:rPr>
        <w:t>. 2005;352(3):254-66.</w:t>
      </w:r>
    </w:p>
    <w:p w:rsidR="000730CE" w:rsidRPr="00057829" w:rsidRDefault="00141A43">
      <w:pPr>
        <w:widowControl w:val="0"/>
        <w:spacing w:before="240" w:line="480" w:lineRule="auto"/>
        <w:jc w:val="both"/>
        <w:rPr>
          <w:rFonts w:ascii="Arial" w:hAnsi="Arial" w:cs="Arial"/>
          <w:sz w:val="22"/>
          <w:szCs w:val="22"/>
        </w:rPr>
      </w:pPr>
      <w:r w:rsidRPr="00057829">
        <w:rPr>
          <w:rFonts w:ascii="Arial" w:hAnsi="Arial" w:cs="Arial"/>
          <w:b/>
          <w:sz w:val="22"/>
          <w:lang w:val="en-US"/>
        </w:rPr>
        <w:t>36.</w:t>
      </w:r>
      <w:r w:rsidRPr="00057829">
        <w:rPr>
          <w:rFonts w:ascii="Arial" w:hAnsi="Arial" w:cs="Arial"/>
          <w:sz w:val="22"/>
          <w:lang w:val="en-US"/>
        </w:rPr>
        <w:t xml:space="preserve"> Getta BM, Devlin SM, Levine RL, Arcila ME, Mohanty AS, Zeh</w:t>
      </w:r>
      <w:r w:rsidRPr="00057829">
        <w:rPr>
          <w:rFonts w:ascii="Arial" w:hAnsi="Arial" w:cs="Arial"/>
          <w:sz w:val="22"/>
          <w:lang w:val="en-US"/>
        </w:rPr>
        <w:t xml:space="preserve">ir A, et al. Multicolor Flow Cytometry and Multigene Next-Generation Sequencing Are Complementary and Highly Predictive for Relapse in Acute Myeloid Leukemia after Allogeneic Transplantation. </w:t>
      </w:r>
      <w:r w:rsidRPr="00057829">
        <w:rPr>
          <w:rFonts w:ascii="Arial" w:hAnsi="Arial" w:cs="Arial"/>
          <w:i/>
          <w:sz w:val="22"/>
        </w:rPr>
        <w:t>Biol Blood Marrow Transplant</w:t>
      </w:r>
      <w:r w:rsidRPr="00057829">
        <w:rPr>
          <w:rFonts w:ascii="Arial" w:hAnsi="Arial" w:cs="Arial"/>
          <w:sz w:val="22"/>
        </w:rPr>
        <w:t>. 2017;23(7):1064-71.</w:t>
      </w:r>
      <w:r w:rsidRPr="00057829">
        <w:rPr>
          <w:rFonts w:ascii="Arial" w:hAnsi="Arial" w:cs="Arial"/>
          <w:sz w:val="22"/>
          <w:szCs w:val="22"/>
        </w:rPr>
        <w:t xml:space="preserve"> </w:t>
      </w:r>
    </w:p>
    <w:p w:rsidR="000730CE" w:rsidRPr="00057829" w:rsidRDefault="00141A43">
      <w:pPr>
        <w:spacing w:before="240" w:line="480" w:lineRule="auto"/>
        <w:jc w:val="both"/>
        <w:rPr>
          <w:rFonts w:ascii="Arial" w:hAnsi="Arial" w:cs="Arial"/>
          <w:iCs/>
          <w:sz w:val="22"/>
          <w:szCs w:val="22"/>
          <w:lang w:val="en-US"/>
        </w:rPr>
      </w:pPr>
      <w:r w:rsidRPr="00057829">
        <w:rPr>
          <w:rFonts w:ascii="Arial" w:hAnsi="Arial" w:cs="Arial"/>
          <w:b/>
          <w:sz w:val="22"/>
          <w:szCs w:val="22"/>
        </w:rPr>
        <w:t xml:space="preserve">37. </w:t>
      </w:r>
      <w:r w:rsidRPr="00057829">
        <w:rPr>
          <w:rFonts w:ascii="Arial" w:hAnsi="Arial" w:cs="Arial"/>
          <w:sz w:val="22"/>
          <w:szCs w:val="22"/>
        </w:rPr>
        <w:t xml:space="preserve">Hegenbart U, Niederwieser D, Sandmaier BM, Maris MB, Shizuru JA, Greinix H, et al. </w:t>
      </w:r>
      <w:r w:rsidRPr="00057829">
        <w:rPr>
          <w:rFonts w:ascii="Arial" w:hAnsi="Arial" w:cs="Arial"/>
          <w:sz w:val="22"/>
          <w:szCs w:val="22"/>
          <w:lang w:val="en-US"/>
        </w:rPr>
        <w:t xml:space="preserve">Treatment for acute myelogenous leukemia by low-dose, total-body, irradiation-based conditioning and hematopoietic cell transplantation from related and unrelated donors. </w:t>
      </w:r>
      <w:r w:rsidRPr="00057829">
        <w:rPr>
          <w:rFonts w:ascii="Arial" w:hAnsi="Arial" w:cs="Arial"/>
          <w:i/>
          <w:sz w:val="22"/>
          <w:szCs w:val="22"/>
          <w:lang w:val="en-US"/>
        </w:rPr>
        <w:t xml:space="preserve">J </w:t>
      </w:r>
      <w:r w:rsidRPr="00057829">
        <w:rPr>
          <w:rFonts w:ascii="Arial" w:hAnsi="Arial" w:cs="Arial"/>
          <w:i/>
          <w:sz w:val="22"/>
          <w:szCs w:val="22"/>
          <w:lang w:val="en-US"/>
        </w:rPr>
        <w:t>Clin Oncol</w:t>
      </w:r>
      <w:r w:rsidRPr="00057829">
        <w:rPr>
          <w:rFonts w:ascii="Arial" w:hAnsi="Arial" w:cs="Arial"/>
          <w:sz w:val="22"/>
          <w:szCs w:val="22"/>
          <w:lang w:val="en-US"/>
        </w:rPr>
        <w:t>. 2006;24(3):444-53.</w:t>
      </w:r>
      <w:r w:rsidRPr="00057829">
        <w:rPr>
          <w:rFonts w:ascii="Arial" w:hAnsi="Arial" w:cs="Arial"/>
          <w:iCs/>
          <w:sz w:val="22"/>
          <w:szCs w:val="22"/>
          <w:lang w:val="en-US"/>
        </w:rPr>
        <w:t xml:space="preserve"> </w:t>
      </w:r>
    </w:p>
    <w:p w:rsidR="000730CE" w:rsidRPr="00057829" w:rsidRDefault="00141A43">
      <w:pPr>
        <w:spacing w:before="240" w:line="480" w:lineRule="auto"/>
        <w:jc w:val="both"/>
        <w:rPr>
          <w:rFonts w:ascii="Arial" w:hAnsi="Arial" w:cs="Arial"/>
          <w:iCs/>
          <w:sz w:val="22"/>
          <w:szCs w:val="22"/>
          <w:u w:val="single"/>
          <w:lang w:val="en-US"/>
        </w:rPr>
      </w:pPr>
      <w:r w:rsidRPr="00057829">
        <w:rPr>
          <w:rFonts w:ascii="Arial" w:hAnsi="Arial" w:cs="Arial"/>
          <w:b/>
          <w:iCs/>
          <w:sz w:val="22"/>
          <w:szCs w:val="22"/>
          <w:u w:val="single"/>
          <w:lang w:val="en-US"/>
        </w:rPr>
        <w:t>38.</w:t>
      </w:r>
      <w:r w:rsidRPr="00057829">
        <w:rPr>
          <w:rFonts w:ascii="Arial" w:hAnsi="Arial" w:cs="Arial"/>
          <w:iCs/>
          <w:sz w:val="22"/>
          <w:szCs w:val="22"/>
          <w:u w:val="single"/>
          <w:lang w:val="en-US"/>
        </w:rPr>
        <w:t xml:space="preserve"> Lange T, Niederwieser DW, Deininger MW. Residual disease in chronic myeloid leukemia after induction of molecular remission. </w:t>
      </w:r>
      <w:r w:rsidRPr="00057829">
        <w:rPr>
          <w:rFonts w:ascii="Arial" w:hAnsi="Arial" w:cs="Arial"/>
          <w:i/>
          <w:iCs/>
          <w:sz w:val="22"/>
          <w:szCs w:val="22"/>
          <w:u w:val="single"/>
          <w:lang w:val="en-US"/>
        </w:rPr>
        <w:t xml:space="preserve">N Engl J Med. </w:t>
      </w:r>
      <w:r w:rsidRPr="00057829">
        <w:rPr>
          <w:rFonts w:ascii="Arial" w:hAnsi="Arial" w:cs="Arial"/>
          <w:iCs/>
          <w:sz w:val="22"/>
          <w:szCs w:val="22"/>
          <w:u w:val="single"/>
          <w:lang w:val="en-US"/>
        </w:rPr>
        <w:t>2003; 349(15):1483-84.</w:t>
      </w:r>
    </w:p>
    <w:p w:rsidR="000730CE" w:rsidRPr="00057829" w:rsidRDefault="00141A43">
      <w:pPr>
        <w:widowControl w:val="0"/>
        <w:spacing w:before="240" w:line="480" w:lineRule="auto"/>
        <w:jc w:val="both"/>
        <w:rPr>
          <w:rFonts w:ascii="Arial" w:hAnsi="Arial" w:cs="Arial"/>
          <w:sz w:val="22"/>
          <w:szCs w:val="22"/>
          <w:lang w:val="en-US"/>
        </w:rPr>
      </w:pPr>
      <w:r w:rsidRPr="00057829">
        <w:rPr>
          <w:rFonts w:ascii="Arial" w:hAnsi="Arial" w:cs="Arial"/>
          <w:b/>
          <w:sz w:val="22"/>
          <w:szCs w:val="22"/>
          <w:lang w:val="en-US"/>
        </w:rPr>
        <w:t xml:space="preserve">39. </w:t>
      </w:r>
      <w:r w:rsidRPr="00057829">
        <w:rPr>
          <w:rFonts w:ascii="Arial" w:hAnsi="Arial" w:cs="Arial"/>
          <w:sz w:val="22"/>
          <w:szCs w:val="22"/>
          <w:lang w:val="en-US"/>
        </w:rPr>
        <w:t xml:space="preserve">López-Ratón M, Rodríguez-Álvarez M, Cadarso-Suárez C, </w:t>
      </w:r>
      <w:r w:rsidRPr="00057829">
        <w:rPr>
          <w:rFonts w:ascii="Arial" w:hAnsi="Arial" w:cs="Arial"/>
          <w:sz w:val="22"/>
          <w:szCs w:val="22"/>
          <w:lang w:val="en-US"/>
        </w:rPr>
        <w:t xml:space="preserve">Gude-Sampedro F. OptimalCutpoints: An R Package for Selecting Optimal Cutpoints in Diagnostic Tests. </w:t>
      </w:r>
      <w:r w:rsidRPr="00057829">
        <w:rPr>
          <w:rFonts w:ascii="Arial" w:hAnsi="Arial" w:cs="Arial"/>
          <w:i/>
          <w:sz w:val="22"/>
          <w:szCs w:val="22"/>
          <w:lang w:val="en-US"/>
        </w:rPr>
        <w:t>J Stat Software.</w:t>
      </w:r>
      <w:r w:rsidRPr="00057829">
        <w:rPr>
          <w:rFonts w:ascii="Arial" w:hAnsi="Arial" w:cs="Arial"/>
          <w:sz w:val="22"/>
          <w:szCs w:val="22"/>
          <w:lang w:val="en-US"/>
        </w:rPr>
        <w:t xml:space="preserve"> 2014; Volume 61, Issue 8.</w:t>
      </w:r>
    </w:p>
    <w:p w:rsidR="000730CE" w:rsidRPr="00057829" w:rsidRDefault="00141A43">
      <w:pPr>
        <w:widowControl w:val="0"/>
        <w:spacing w:before="240" w:line="480" w:lineRule="auto"/>
        <w:jc w:val="both"/>
        <w:rPr>
          <w:rFonts w:ascii="Arial" w:hAnsi="Arial" w:cs="Arial"/>
          <w:bCs/>
          <w:sz w:val="22"/>
          <w:szCs w:val="22"/>
          <w:lang w:val="en-US"/>
        </w:rPr>
      </w:pPr>
      <w:r w:rsidRPr="00057829">
        <w:rPr>
          <w:rFonts w:ascii="Arial" w:hAnsi="Arial" w:cs="Arial"/>
          <w:b/>
          <w:bCs/>
          <w:sz w:val="22"/>
          <w:szCs w:val="22"/>
          <w:lang w:val="en-US"/>
        </w:rPr>
        <w:t>40.</w:t>
      </w:r>
      <w:r w:rsidRPr="00057829">
        <w:rPr>
          <w:rFonts w:ascii="Arial" w:hAnsi="Arial" w:cs="Arial"/>
          <w:bCs/>
          <w:sz w:val="22"/>
          <w:szCs w:val="22"/>
          <w:lang w:val="en-US"/>
        </w:rPr>
        <w:t xml:space="preserve"> Bill, M, Jentzsch, M, Grimm, J, Schubert K, Lange T, Cross M, et al. Prognostic impact of the European LeukemiaNet standardized reporting system in older AML patients receiving stem cell transplantation after non-myeloablative conditioning. </w:t>
      </w:r>
      <w:r w:rsidRPr="00057829">
        <w:rPr>
          <w:rFonts w:ascii="Arial" w:hAnsi="Arial" w:cs="Arial"/>
          <w:bCs/>
          <w:i/>
          <w:sz w:val="22"/>
          <w:szCs w:val="22"/>
          <w:lang w:val="en-US"/>
        </w:rPr>
        <w:t>Bone Marrow Tr</w:t>
      </w:r>
      <w:r w:rsidRPr="00057829">
        <w:rPr>
          <w:rFonts w:ascii="Arial" w:hAnsi="Arial" w:cs="Arial"/>
          <w:bCs/>
          <w:i/>
          <w:sz w:val="22"/>
          <w:szCs w:val="22"/>
          <w:lang w:val="en-US"/>
        </w:rPr>
        <w:t>ansplantation</w:t>
      </w:r>
      <w:r w:rsidRPr="00057829">
        <w:rPr>
          <w:rFonts w:ascii="Arial" w:hAnsi="Arial" w:cs="Arial"/>
          <w:bCs/>
          <w:sz w:val="22"/>
          <w:szCs w:val="22"/>
          <w:lang w:val="en-US"/>
        </w:rPr>
        <w:t xml:space="preserve">. </w:t>
      </w:r>
      <w:r w:rsidRPr="00057829">
        <w:rPr>
          <w:rFonts w:ascii="Arial" w:hAnsi="Arial" w:cs="Arial"/>
          <w:bCs/>
          <w:sz w:val="22"/>
          <w:szCs w:val="22"/>
          <w:lang w:val="en-US"/>
        </w:rPr>
        <w:lastRenderedPageBreak/>
        <w:t>2017;52(6):932-35.</w:t>
      </w:r>
    </w:p>
    <w:p w:rsidR="000730CE" w:rsidRPr="00057829" w:rsidRDefault="00141A43">
      <w:pPr>
        <w:widowControl w:val="0"/>
        <w:spacing w:before="240" w:line="480" w:lineRule="auto"/>
        <w:jc w:val="both"/>
        <w:rPr>
          <w:rFonts w:ascii="Arial" w:hAnsi="Arial" w:cs="Arial"/>
          <w:bCs/>
          <w:sz w:val="22"/>
          <w:szCs w:val="22"/>
          <w:lang w:val="en-US"/>
        </w:rPr>
      </w:pPr>
      <w:r w:rsidRPr="00057829">
        <w:rPr>
          <w:rFonts w:ascii="Arial" w:hAnsi="Arial" w:cs="Arial"/>
          <w:b/>
          <w:bCs/>
          <w:sz w:val="22"/>
          <w:szCs w:val="22"/>
          <w:lang w:val="en-US"/>
        </w:rPr>
        <w:t xml:space="preserve">41. </w:t>
      </w:r>
      <w:r w:rsidRPr="00057829">
        <w:rPr>
          <w:rFonts w:ascii="Arial" w:hAnsi="Arial" w:cs="Arial"/>
          <w:bCs/>
          <w:sz w:val="22"/>
          <w:szCs w:val="22"/>
          <w:lang w:val="en-US"/>
        </w:rPr>
        <w:t xml:space="preserve">Döhner H, Estey EH, Amadori S, Appelbaum FR, Büchner T, Burnett AK, et al. Diagnosis and management of acute myeloid leukemia in adults: recommendations from an international expert panel, on behalf of the European LeukemiaNet. </w:t>
      </w:r>
      <w:r w:rsidRPr="00057829">
        <w:rPr>
          <w:rFonts w:ascii="Arial" w:hAnsi="Arial" w:cs="Arial"/>
          <w:bCs/>
          <w:i/>
          <w:sz w:val="22"/>
          <w:szCs w:val="22"/>
          <w:lang w:val="en-US"/>
        </w:rPr>
        <w:t>Blood</w:t>
      </w:r>
      <w:r w:rsidRPr="00057829">
        <w:rPr>
          <w:rFonts w:ascii="Arial" w:hAnsi="Arial" w:cs="Arial"/>
          <w:bCs/>
          <w:sz w:val="22"/>
          <w:szCs w:val="22"/>
          <w:lang w:val="en-US"/>
        </w:rPr>
        <w:t>. 2010;115(3):453-74.</w:t>
      </w:r>
    </w:p>
    <w:p w:rsidR="000730CE" w:rsidRPr="00057829" w:rsidRDefault="00141A43">
      <w:pPr>
        <w:widowControl w:val="0"/>
        <w:spacing w:before="240" w:line="480" w:lineRule="auto"/>
        <w:jc w:val="both"/>
        <w:rPr>
          <w:rFonts w:ascii="Arial" w:hAnsi="Arial" w:cs="Arial"/>
          <w:sz w:val="22"/>
          <w:szCs w:val="22"/>
          <w:lang w:val="en-US"/>
        </w:rPr>
      </w:pPr>
      <w:r w:rsidRPr="00057829">
        <w:rPr>
          <w:rFonts w:ascii="Arial" w:hAnsi="Arial" w:cs="Arial"/>
          <w:b/>
          <w:sz w:val="22"/>
          <w:szCs w:val="22"/>
          <w:lang w:val="en-US"/>
        </w:rPr>
        <w:t>4</w:t>
      </w:r>
      <w:r w:rsidRPr="00057829">
        <w:rPr>
          <w:rFonts w:ascii="Arial" w:hAnsi="Arial" w:cs="Arial"/>
          <w:b/>
          <w:sz w:val="22"/>
          <w:szCs w:val="22"/>
          <w:lang w:val="en-US"/>
        </w:rPr>
        <w:t xml:space="preserve">2. </w:t>
      </w:r>
      <w:r w:rsidRPr="00057829">
        <w:rPr>
          <w:rFonts w:ascii="Arial" w:hAnsi="Arial" w:cs="Arial"/>
          <w:sz w:val="22"/>
          <w:szCs w:val="22"/>
          <w:lang w:val="en-US"/>
        </w:rPr>
        <w:t xml:space="preserve">Jentzsch M, Bill M, Nicolet D, Leiblein S, Schubert K, Pless M, et al. Prognostic Impact of the CD34+/CD38- Cell Burden in Patients with Acute Myeloid Leukemia receiving Allogeneic Stem Cell Transplantation.  </w:t>
      </w:r>
      <w:r w:rsidRPr="00057829">
        <w:rPr>
          <w:rFonts w:ascii="Arial" w:hAnsi="Arial" w:cs="Arial"/>
          <w:i/>
          <w:sz w:val="22"/>
          <w:szCs w:val="22"/>
          <w:lang w:val="en-US"/>
        </w:rPr>
        <w:t>Am J Hematol</w:t>
      </w:r>
      <w:r w:rsidRPr="00057829">
        <w:rPr>
          <w:rFonts w:ascii="Arial" w:hAnsi="Arial" w:cs="Arial"/>
          <w:sz w:val="22"/>
          <w:szCs w:val="22"/>
          <w:lang w:val="en-US"/>
        </w:rPr>
        <w:t>. 2017;92(4):388-96.</w:t>
      </w:r>
    </w:p>
    <w:p w:rsidR="000730CE" w:rsidRPr="00057829" w:rsidRDefault="00141A43">
      <w:pPr>
        <w:widowControl w:val="0"/>
        <w:spacing w:before="240" w:line="480" w:lineRule="auto"/>
        <w:jc w:val="both"/>
        <w:rPr>
          <w:rFonts w:ascii="Arial" w:hAnsi="Arial" w:cs="Arial"/>
          <w:sz w:val="22"/>
          <w:szCs w:val="22"/>
          <w:lang w:val="en-US"/>
        </w:rPr>
      </w:pPr>
      <w:r w:rsidRPr="00057829">
        <w:rPr>
          <w:rFonts w:ascii="Arial" w:hAnsi="Arial" w:cs="Arial"/>
          <w:b/>
          <w:sz w:val="22"/>
          <w:szCs w:val="22"/>
          <w:lang w:val="en-US"/>
        </w:rPr>
        <w:t>43.</w:t>
      </w:r>
      <w:r w:rsidRPr="00057829">
        <w:rPr>
          <w:rFonts w:ascii="Arial" w:hAnsi="Arial" w:cs="Arial"/>
          <w:sz w:val="22"/>
          <w:szCs w:val="22"/>
          <w:lang w:val="en-US"/>
        </w:rPr>
        <w:t xml:space="preserve"> Bene MC</w:t>
      </w:r>
      <w:r w:rsidRPr="00057829">
        <w:rPr>
          <w:rFonts w:ascii="Arial" w:hAnsi="Arial" w:cs="Arial"/>
          <w:sz w:val="22"/>
          <w:szCs w:val="22"/>
          <w:lang w:val="en-US"/>
        </w:rPr>
        <w:t xml:space="preserve">, Castoldi G, Knapp W, Ludwig WD, Matutes E, Orfao A et al. Proposals for the immunological classification of acute leukemias. European Group for the Immunological Characterization of Leukemias (EGIL). </w:t>
      </w:r>
      <w:r w:rsidRPr="00057829">
        <w:rPr>
          <w:rFonts w:ascii="Arial" w:hAnsi="Arial" w:cs="Arial"/>
          <w:i/>
          <w:sz w:val="22"/>
          <w:szCs w:val="22"/>
          <w:lang w:val="en-US"/>
        </w:rPr>
        <w:t>Leukemia.</w:t>
      </w:r>
      <w:r w:rsidRPr="00057829">
        <w:rPr>
          <w:rFonts w:ascii="Arial" w:hAnsi="Arial" w:cs="Arial"/>
          <w:sz w:val="22"/>
          <w:szCs w:val="22"/>
          <w:lang w:val="en-US"/>
        </w:rPr>
        <w:t xml:space="preserve"> 1995; 9(10): 1783–6.</w:t>
      </w:r>
      <w:r w:rsidRPr="00057829">
        <w:br w:type="page"/>
      </w:r>
    </w:p>
    <w:p w:rsidR="000730CE" w:rsidRPr="00057829" w:rsidRDefault="00141A43">
      <w:pPr>
        <w:spacing w:line="276" w:lineRule="auto"/>
        <w:jc w:val="both"/>
        <w:rPr>
          <w:rFonts w:ascii="Arial" w:hAnsi="Arial" w:cs="Arial"/>
          <w:b/>
          <w:lang w:val="en-US"/>
        </w:rPr>
      </w:pPr>
      <w:r w:rsidRPr="00057829">
        <w:rPr>
          <w:rFonts w:ascii="Arial" w:hAnsi="Arial" w:cs="Arial"/>
          <w:b/>
          <w:lang w:val="en-US"/>
        </w:rPr>
        <w:lastRenderedPageBreak/>
        <w:t>Figure Legends</w:t>
      </w:r>
    </w:p>
    <w:p w:rsidR="000730CE" w:rsidRPr="00057829" w:rsidRDefault="000730CE">
      <w:pPr>
        <w:spacing w:line="276" w:lineRule="auto"/>
        <w:jc w:val="both"/>
        <w:rPr>
          <w:rFonts w:ascii="Arial" w:hAnsi="Arial" w:cs="Arial"/>
          <w:b/>
          <w:lang w:val="en-US"/>
        </w:rPr>
      </w:pPr>
    </w:p>
    <w:p w:rsidR="000730CE" w:rsidRPr="00057829" w:rsidRDefault="00141A43">
      <w:pPr>
        <w:spacing w:line="480" w:lineRule="auto"/>
        <w:jc w:val="both"/>
        <w:rPr>
          <w:rFonts w:ascii="Arial" w:hAnsi="Arial" w:cs="Arial"/>
          <w:sz w:val="22"/>
          <w:szCs w:val="22"/>
          <w:lang w:val="en-US"/>
        </w:rPr>
      </w:pPr>
      <w:r w:rsidRPr="00057829">
        <w:rPr>
          <w:rFonts w:ascii="Arial" w:hAnsi="Arial" w:cs="Arial"/>
          <w:b/>
          <w:sz w:val="22"/>
          <w:szCs w:val="22"/>
          <w:u w:val="single"/>
          <w:lang w:val="en-US"/>
        </w:rPr>
        <w:t>Figure</w:t>
      </w:r>
      <w:r w:rsidRPr="00057829">
        <w:rPr>
          <w:rFonts w:ascii="Arial" w:hAnsi="Arial" w:cs="Arial"/>
          <w:b/>
          <w:sz w:val="22"/>
          <w:szCs w:val="22"/>
          <w:u w:val="single"/>
          <w:lang w:val="en-US"/>
        </w:rPr>
        <w:t xml:space="preserve"> 1.</w:t>
      </w:r>
      <w:r w:rsidRPr="00057829">
        <w:rPr>
          <w:rFonts w:ascii="Arial" w:hAnsi="Arial" w:cs="Arial"/>
          <w:b/>
          <w:sz w:val="22"/>
          <w:szCs w:val="22"/>
          <w:lang w:val="en-US"/>
        </w:rPr>
        <w:t xml:space="preserve"> Comparison of pre-HSCT </w:t>
      </w:r>
      <w:r w:rsidRPr="00057829">
        <w:rPr>
          <w:rFonts w:ascii="Arial" w:hAnsi="Arial" w:cs="Arial"/>
          <w:b/>
          <w:i/>
          <w:sz w:val="22"/>
          <w:szCs w:val="22"/>
          <w:lang w:val="en-US"/>
        </w:rPr>
        <w:t>MN1</w:t>
      </w:r>
      <w:r w:rsidRPr="00057829">
        <w:rPr>
          <w:rFonts w:ascii="Arial" w:hAnsi="Arial" w:cs="Arial"/>
          <w:b/>
          <w:sz w:val="22"/>
          <w:szCs w:val="22"/>
          <w:lang w:val="en-US"/>
        </w:rPr>
        <w:t>/</w:t>
      </w:r>
      <w:r w:rsidRPr="00057829">
        <w:rPr>
          <w:rFonts w:ascii="Arial" w:hAnsi="Arial" w:cs="Arial"/>
          <w:b/>
          <w:i/>
          <w:sz w:val="22"/>
          <w:szCs w:val="22"/>
          <w:lang w:val="en-US"/>
        </w:rPr>
        <w:t>ABL1</w:t>
      </w:r>
      <w:r w:rsidRPr="00057829">
        <w:rPr>
          <w:rFonts w:ascii="Arial" w:hAnsi="Arial" w:cs="Arial"/>
          <w:b/>
          <w:sz w:val="22"/>
          <w:szCs w:val="22"/>
          <w:lang w:val="en-US"/>
        </w:rPr>
        <w:t xml:space="preserve"> copy numbers in AML patients (n=124) and healthy controls (</w:t>
      </w:r>
      <w:r w:rsidRPr="00057829">
        <w:rPr>
          <w:rFonts w:ascii="Arial" w:hAnsi="Arial" w:cs="Arial"/>
          <w:b/>
          <w:sz w:val="22"/>
          <w:szCs w:val="22"/>
          <w:u w:val="single"/>
          <w:lang w:val="en-US"/>
        </w:rPr>
        <w:t>n=17</w:t>
      </w:r>
      <w:r w:rsidRPr="00057829">
        <w:rPr>
          <w:rFonts w:ascii="Arial" w:hAnsi="Arial" w:cs="Arial"/>
          <w:b/>
          <w:sz w:val="22"/>
          <w:szCs w:val="22"/>
          <w:lang w:val="en-US"/>
        </w:rPr>
        <w:t>).</w:t>
      </w:r>
    </w:p>
    <w:p w:rsidR="000730CE" w:rsidRPr="00057829" w:rsidRDefault="000730CE">
      <w:pPr>
        <w:spacing w:line="480" w:lineRule="auto"/>
        <w:jc w:val="both"/>
        <w:rPr>
          <w:rFonts w:ascii="Arial" w:hAnsi="Arial" w:cs="Arial"/>
          <w:b/>
          <w:sz w:val="22"/>
          <w:szCs w:val="22"/>
          <w:lang w:val="en-US"/>
        </w:rPr>
      </w:pPr>
    </w:p>
    <w:p w:rsidR="000730CE" w:rsidRPr="00057829" w:rsidRDefault="00141A43">
      <w:pPr>
        <w:spacing w:line="480" w:lineRule="auto"/>
        <w:jc w:val="both"/>
        <w:rPr>
          <w:rFonts w:ascii="Arial" w:hAnsi="Arial" w:cs="Arial"/>
          <w:sz w:val="22"/>
          <w:szCs w:val="22"/>
          <w:lang w:val="en-US"/>
        </w:rPr>
      </w:pPr>
      <w:r w:rsidRPr="00057829">
        <w:rPr>
          <w:rFonts w:ascii="Arial" w:hAnsi="Arial" w:cs="Arial"/>
          <w:b/>
          <w:sz w:val="22"/>
          <w:szCs w:val="22"/>
          <w:u w:val="single"/>
          <w:lang w:val="en-US"/>
        </w:rPr>
        <w:t>Figure 2.</w:t>
      </w:r>
      <w:r w:rsidRPr="00057829">
        <w:rPr>
          <w:rFonts w:ascii="Arial" w:hAnsi="Arial" w:cs="Arial"/>
          <w:sz w:val="22"/>
          <w:szCs w:val="22"/>
          <w:lang w:val="en-US"/>
        </w:rPr>
        <w:t xml:space="preserve"> </w:t>
      </w:r>
      <w:r w:rsidRPr="00057829">
        <w:rPr>
          <w:rFonts w:ascii="Arial" w:hAnsi="Arial" w:cs="Arial"/>
          <w:b/>
          <w:sz w:val="22"/>
          <w:szCs w:val="22"/>
          <w:lang w:val="en-US"/>
        </w:rPr>
        <w:t xml:space="preserve">Time from HSCT to relapse according to high (median 70, range 20-363) or low (median 124, range 19-543) pre-HSCT </w:t>
      </w:r>
      <w:r w:rsidRPr="00057829">
        <w:rPr>
          <w:rFonts w:ascii="Arial" w:hAnsi="Arial" w:cs="Arial"/>
          <w:b/>
          <w:i/>
          <w:sz w:val="22"/>
          <w:szCs w:val="22"/>
          <w:lang w:val="en-US"/>
        </w:rPr>
        <w:t>MN1</w:t>
      </w:r>
      <w:r w:rsidRPr="00057829">
        <w:rPr>
          <w:rFonts w:ascii="Arial" w:hAnsi="Arial" w:cs="Arial"/>
          <w:b/>
          <w:sz w:val="22"/>
          <w:szCs w:val="22"/>
          <w:lang w:val="en-US"/>
        </w:rPr>
        <w:t>/</w:t>
      </w:r>
      <w:r w:rsidRPr="00057829">
        <w:rPr>
          <w:rFonts w:ascii="Arial" w:hAnsi="Arial" w:cs="Arial"/>
          <w:b/>
          <w:i/>
          <w:sz w:val="22"/>
          <w:szCs w:val="22"/>
          <w:lang w:val="en-US"/>
        </w:rPr>
        <w:t>ABL1</w:t>
      </w:r>
      <w:r w:rsidRPr="00057829">
        <w:rPr>
          <w:rFonts w:ascii="Arial" w:hAnsi="Arial" w:cs="Arial"/>
          <w:b/>
          <w:sz w:val="22"/>
          <w:szCs w:val="22"/>
          <w:lang w:val="en-US"/>
        </w:rPr>
        <w:t xml:space="preserve"> copy numbers, 0.30 cut, in patients suffering relapse after HSCT (n=45).</w:t>
      </w:r>
    </w:p>
    <w:p w:rsidR="000730CE" w:rsidRPr="00057829" w:rsidRDefault="000730CE">
      <w:pPr>
        <w:spacing w:line="480" w:lineRule="auto"/>
        <w:jc w:val="both"/>
        <w:rPr>
          <w:rFonts w:ascii="Arial" w:hAnsi="Arial" w:cs="Arial"/>
          <w:sz w:val="22"/>
          <w:szCs w:val="22"/>
          <w:lang w:val="en-US"/>
        </w:rPr>
      </w:pPr>
    </w:p>
    <w:p w:rsidR="000730CE" w:rsidRPr="00057829" w:rsidRDefault="00141A43">
      <w:pPr>
        <w:spacing w:line="480" w:lineRule="auto"/>
        <w:jc w:val="both"/>
        <w:rPr>
          <w:rFonts w:ascii="Arial" w:hAnsi="Arial" w:cs="Arial"/>
          <w:sz w:val="22"/>
          <w:szCs w:val="22"/>
          <w:lang w:val="en-US"/>
        </w:rPr>
      </w:pPr>
      <w:r w:rsidRPr="00057829">
        <w:rPr>
          <w:rFonts w:ascii="Arial" w:hAnsi="Arial" w:cs="Arial"/>
          <w:b/>
          <w:sz w:val="22"/>
          <w:szCs w:val="22"/>
          <w:u w:val="single"/>
          <w:lang w:val="en-US"/>
        </w:rPr>
        <w:t>Figure 3.</w:t>
      </w:r>
      <w:r w:rsidRPr="00057829">
        <w:rPr>
          <w:rFonts w:ascii="Arial" w:hAnsi="Arial" w:cs="Arial"/>
          <w:sz w:val="22"/>
          <w:szCs w:val="22"/>
          <w:lang w:val="en-US"/>
        </w:rPr>
        <w:t xml:space="preserve"> </w:t>
      </w:r>
      <w:r w:rsidRPr="00057829">
        <w:rPr>
          <w:rFonts w:ascii="Arial" w:hAnsi="Arial" w:cs="Arial"/>
          <w:b/>
          <w:sz w:val="22"/>
          <w:szCs w:val="22"/>
          <w:lang w:val="en-US"/>
        </w:rPr>
        <w:t xml:space="preserve">Outcome according to pre-HSCT </w:t>
      </w:r>
      <w:r w:rsidRPr="00057829">
        <w:rPr>
          <w:rFonts w:ascii="Arial" w:hAnsi="Arial" w:cs="Arial"/>
          <w:b/>
          <w:i/>
          <w:sz w:val="22"/>
          <w:szCs w:val="22"/>
          <w:lang w:val="en-US"/>
        </w:rPr>
        <w:t>MN1</w:t>
      </w:r>
      <w:r w:rsidRPr="00057829">
        <w:rPr>
          <w:rFonts w:ascii="Arial" w:hAnsi="Arial" w:cs="Arial"/>
          <w:b/>
          <w:sz w:val="22"/>
          <w:szCs w:val="22"/>
          <w:lang w:val="en-US"/>
        </w:rPr>
        <w:t>/</w:t>
      </w:r>
      <w:r w:rsidRPr="00057829">
        <w:rPr>
          <w:rFonts w:ascii="Arial" w:hAnsi="Arial" w:cs="Arial"/>
          <w:b/>
          <w:i/>
          <w:sz w:val="22"/>
          <w:szCs w:val="22"/>
          <w:lang w:val="en-US"/>
        </w:rPr>
        <w:t>ABL1</w:t>
      </w:r>
      <w:r w:rsidRPr="00057829">
        <w:rPr>
          <w:rFonts w:ascii="Arial" w:hAnsi="Arial" w:cs="Arial"/>
          <w:b/>
          <w:sz w:val="22"/>
          <w:szCs w:val="22"/>
          <w:lang w:val="en-US"/>
        </w:rPr>
        <w:t xml:space="preserve"> copy numbers for the whole cohort (n=124). </w:t>
      </w:r>
      <w:r w:rsidRPr="00057829">
        <w:rPr>
          <w:rFonts w:ascii="Arial" w:hAnsi="Arial" w:cs="Arial"/>
          <w:sz w:val="22"/>
          <w:szCs w:val="22"/>
          <w:lang w:val="en-US"/>
        </w:rPr>
        <w:t xml:space="preserve">According to high </w:t>
      </w:r>
      <w:r w:rsidRPr="00057829">
        <w:rPr>
          <w:rFonts w:ascii="Arial" w:hAnsi="Arial" w:cs="Arial"/>
          <w:i/>
          <w:sz w:val="22"/>
          <w:szCs w:val="22"/>
          <w:lang w:val="en-US"/>
        </w:rPr>
        <w:t>vs</w:t>
      </w:r>
      <w:r w:rsidRPr="00057829">
        <w:rPr>
          <w:rFonts w:ascii="Arial" w:hAnsi="Arial" w:cs="Arial"/>
          <w:sz w:val="22"/>
          <w:szCs w:val="22"/>
          <w:lang w:val="en-US"/>
        </w:rPr>
        <w:t xml:space="preserve">. low, 0.30 cut: (A) Cumulative Incidence of Relapse and (B) Overall </w:t>
      </w:r>
      <w:r w:rsidRPr="00057829">
        <w:rPr>
          <w:rFonts w:ascii="Arial" w:hAnsi="Arial" w:cs="Arial"/>
          <w:sz w:val="22"/>
          <w:szCs w:val="22"/>
          <w:lang w:val="en-US"/>
        </w:rPr>
        <w:t xml:space="preserve">Survival; and according to the topmost </w:t>
      </w:r>
      <w:r w:rsidRPr="00057829">
        <w:rPr>
          <w:rFonts w:ascii="Arial" w:hAnsi="Arial" w:cs="Arial"/>
          <w:i/>
          <w:sz w:val="22"/>
          <w:szCs w:val="22"/>
          <w:lang w:val="en-US"/>
        </w:rPr>
        <w:t>vs</w:t>
      </w:r>
      <w:r w:rsidRPr="00057829">
        <w:rPr>
          <w:rFonts w:ascii="Arial" w:hAnsi="Arial" w:cs="Arial"/>
          <w:sz w:val="22"/>
          <w:szCs w:val="22"/>
          <w:lang w:val="en-US"/>
        </w:rPr>
        <w:t xml:space="preserve">. higher </w:t>
      </w:r>
      <w:r w:rsidRPr="00057829">
        <w:rPr>
          <w:rFonts w:ascii="Arial" w:hAnsi="Arial" w:cs="Arial"/>
          <w:i/>
          <w:sz w:val="22"/>
          <w:szCs w:val="22"/>
          <w:lang w:val="en-US"/>
        </w:rPr>
        <w:t>vs</w:t>
      </w:r>
      <w:r w:rsidRPr="00057829">
        <w:rPr>
          <w:rFonts w:ascii="Arial" w:hAnsi="Arial" w:cs="Arial"/>
          <w:sz w:val="22"/>
          <w:szCs w:val="22"/>
          <w:lang w:val="en-US"/>
        </w:rPr>
        <w:t xml:space="preserve">. low, 0.87 and 0.30 cut: (C) Cumulative Incidence of Relapse and (D) Overall Survival. </w:t>
      </w:r>
    </w:p>
    <w:p w:rsidR="000730CE" w:rsidRPr="00057829" w:rsidRDefault="000730CE">
      <w:pPr>
        <w:spacing w:line="480" w:lineRule="auto"/>
        <w:jc w:val="both"/>
        <w:rPr>
          <w:rFonts w:ascii="Arial" w:hAnsi="Arial" w:cs="Arial"/>
          <w:sz w:val="22"/>
          <w:szCs w:val="22"/>
          <w:lang w:val="en-US"/>
        </w:rPr>
      </w:pPr>
    </w:p>
    <w:p w:rsidR="000730CE" w:rsidRPr="00057829" w:rsidRDefault="00141A43">
      <w:pPr>
        <w:spacing w:line="480" w:lineRule="auto"/>
        <w:jc w:val="both"/>
      </w:pPr>
      <w:r w:rsidRPr="00057829">
        <w:rPr>
          <w:rFonts w:ascii="Arial" w:hAnsi="Arial" w:cs="Arial"/>
          <w:b/>
          <w:sz w:val="22"/>
          <w:szCs w:val="22"/>
          <w:lang w:val="en-US"/>
        </w:rPr>
        <w:t xml:space="preserve">Figure 4. Outcome according to pre-HSCT </w:t>
      </w:r>
      <w:r w:rsidRPr="00057829">
        <w:rPr>
          <w:rFonts w:ascii="Arial" w:hAnsi="Arial" w:cs="Arial"/>
          <w:b/>
          <w:i/>
          <w:sz w:val="22"/>
          <w:szCs w:val="22"/>
          <w:lang w:val="en-US"/>
        </w:rPr>
        <w:t>MN1</w:t>
      </w:r>
      <w:r w:rsidRPr="00057829">
        <w:rPr>
          <w:rFonts w:ascii="Arial" w:hAnsi="Arial" w:cs="Arial"/>
          <w:b/>
          <w:sz w:val="22"/>
          <w:szCs w:val="22"/>
          <w:lang w:val="en-US"/>
        </w:rPr>
        <w:t>/</w:t>
      </w:r>
      <w:r w:rsidRPr="00057829">
        <w:rPr>
          <w:rFonts w:ascii="Arial" w:hAnsi="Arial" w:cs="Arial"/>
          <w:b/>
          <w:i/>
          <w:sz w:val="22"/>
          <w:szCs w:val="22"/>
          <w:lang w:val="en-US"/>
        </w:rPr>
        <w:t>ABL1</w:t>
      </w:r>
      <w:r w:rsidRPr="00057829">
        <w:rPr>
          <w:rFonts w:ascii="Arial" w:hAnsi="Arial" w:cs="Arial"/>
          <w:b/>
          <w:sz w:val="22"/>
          <w:szCs w:val="22"/>
          <w:lang w:val="en-US"/>
        </w:rPr>
        <w:t xml:space="preserve"> copy numbers, high </w:t>
      </w:r>
      <w:r w:rsidRPr="00057829">
        <w:rPr>
          <w:rFonts w:ascii="Arial" w:hAnsi="Arial" w:cs="Arial"/>
          <w:b/>
          <w:i/>
          <w:sz w:val="22"/>
          <w:szCs w:val="22"/>
          <w:lang w:val="en-US"/>
        </w:rPr>
        <w:t>vs</w:t>
      </w:r>
      <w:r w:rsidRPr="00057829">
        <w:rPr>
          <w:rFonts w:ascii="Arial" w:hAnsi="Arial" w:cs="Arial"/>
          <w:b/>
          <w:sz w:val="22"/>
          <w:szCs w:val="22"/>
          <w:lang w:val="en-US"/>
        </w:rPr>
        <w:t>. low, 0.30 cut, in mutated</w:t>
      </w:r>
      <w:r w:rsidRPr="00057829">
        <w:rPr>
          <w:rFonts w:ascii="Arial" w:hAnsi="Arial" w:cs="Arial"/>
          <w:b/>
          <w:i/>
          <w:sz w:val="22"/>
          <w:szCs w:val="22"/>
          <w:lang w:val="en-US"/>
        </w:rPr>
        <w:t xml:space="preserve"> NPM1 </w:t>
      </w:r>
      <w:r w:rsidRPr="00057829">
        <w:rPr>
          <w:rFonts w:ascii="Arial" w:hAnsi="Arial" w:cs="Arial"/>
          <w:b/>
          <w:sz w:val="22"/>
          <w:szCs w:val="22"/>
          <w:lang w:val="en-US"/>
        </w:rPr>
        <w:t>MRD</w:t>
      </w:r>
      <w:r w:rsidRPr="00057829">
        <w:rPr>
          <w:rFonts w:ascii="Arial" w:hAnsi="Arial" w:cs="Arial"/>
          <w:b/>
          <w:sz w:val="22"/>
          <w:szCs w:val="22"/>
          <w:vertAlign w:val="superscript"/>
          <w:lang w:val="en-US"/>
        </w:rPr>
        <w:t>neg</w:t>
      </w:r>
      <w:r w:rsidRPr="00057829">
        <w:rPr>
          <w:rFonts w:ascii="Arial" w:hAnsi="Arial" w:cs="Arial"/>
          <w:b/>
          <w:sz w:val="22"/>
          <w:szCs w:val="22"/>
          <w:lang w:val="en-US"/>
        </w:rPr>
        <w:t xml:space="preserve"> pati</w:t>
      </w:r>
      <w:r w:rsidRPr="00057829">
        <w:rPr>
          <w:rFonts w:ascii="Arial" w:hAnsi="Arial" w:cs="Arial"/>
          <w:b/>
          <w:sz w:val="22"/>
          <w:szCs w:val="22"/>
          <w:lang w:val="en-US"/>
        </w:rPr>
        <w:t>ents (n=15).</w:t>
      </w:r>
      <w:r w:rsidRPr="00057829">
        <w:rPr>
          <w:rFonts w:ascii="Arial" w:hAnsi="Arial" w:cs="Arial"/>
          <w:sz w:val="22"/>
          <w:szCs w:val="22"/>
          <w:lang w:val="en-US"/>
        </w:rPr>
        <w:t xml:space="preserve"> (A) Cumulative Incidence of Relapse and (B) Overall Survival.</w:t>
      </w:r>
    </w:p>
    <w:sectPr w:rsidR="000730CE" w:rsidRPr="00057829" w:rsidSect="000730CE">
      <w:footerReference w:type="default" r:id="rId7"/>
      <w:pgSz w:w="11906" w:h="16817"/>
      <w:pgMar w:top="1418" w:right="1418" w:bottom="1134" w:left="1418" w:header="0" w:footer="709" w:gutter="0"/>
      <w:lnNumType w:countBy="1" w:restart="continuous"/>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A43" w:rsidRDefault="00141A43" w:rsidP="000730CE">
      <w:r>
        <w:separator/>
      </w:r>
    </w:p>
  </w:endnote>
  <w:endnote w:type="continuationSeparator" w:id="1">
    <w:p w:rsidR="00141A43" w:rsidRDefault="00141A43" w:rsidP="000730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w:altName w:val="Times New Roman"/>
    <w:panose1 w:val="000005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663338"/>
      <w:docPartObj>
        <w:docPartGallery w:val="Page Numbers (Bottom of Page)"/>
        <w:docPartUnique/>
      </w:docPartObj>
    </w:sdtPr>
    <w:sdtContent>
      <w:p w:rsidR="000730CE" w:rsidRDefault="000730CE">
        <w:pPr>
          <w:pStyle w:val="Footer"/>
          <w:jc w:val="center"/>
        </w:pPr>
        <w:r>
          <w:fldChar w:fldCharType="begin"/>
        </w:r>
        <w:r w:rsidR="00141A43">
          <w:instrText>PAGE</w:instrText>
        </w:r>
        <w:r>
          <w:fldChar w:fldCharType="separate"/>
        </w:r>
        <w:r w:rsidR="00057829">
          <w:rPr>
            <w:noProof/>
          </w:rPr>
          <w:t>5</w:t>
        </w:r>
        <w:r>
          <w:fldChar w:fldCharType="end"/>
        </w:r>
      </w:p>
    </w:sdtContent>
  </w:sdt>
  <w:p w:rsidR="000730CE" w:rsidRDefault="00073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A43" w:rsidRDefault="00141A43" w:rsidP="000730CE">
      <w:r>
        <w:separator/>
      </w:r>
    </w:p>
  </w:footnote>
  <w:footnote w:type="continuationSeparator" w:id="1">
    <w:p w:rsidR="00141A43" w:rsidRDefault="00141A43" w:rsidP="000730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730CE"/>
    <w:rsid w:val="00057829"/>
    <w:rsid w:val="000730CE"/>
    <w:rsid w:val="000B53AE"/>
    <w:rsid w:val="00141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4E"/>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9D5F4E"/>
    <w:rPr>
      <w:sz w:val="16"/>
      <w:szCs w:val="16"/>
    </w:rPr>
  </w:style>
  <w:style w:type="character" w:customStyle="1" w:styleId="BalloonTextChar">
    <w:name w:val="Balloon Text Char"/>
    <w:basedOn w:val="DefaultParagraphFont"/>
    <w:link w:val="BalloonText"/>
    <w:uiPriority w:val="99"/>
    <w:semiHidden/>
    <w:qFormat/>
    <w:rsid w:val="00B512A5"/>
    <w:rPr>
      <w:rFonts w:ascii="Lucida Grande" w:eastAsia="Times New Roman" w:hAnsi="Lucida Grande" w:cs="Times New Roman"/>
      <w:sz w:val="18"/>
      <w:szCs w:val="18"/>
      <w:lang w:eastAsia="de-DE"/>
    </w:rPr>
  </w:style>
  <w:style w:type="character" w:customStyle="1" w:styleId="CommentTextChar">
    <w:name w:val="Comment Text Char"/>
    <w:basedOn w:val="DefaultParagraphFont"/>
    <w:link w:val="CommentText"/>
    <w:uiPriority w:val="99"/>
    <w:qFormat/>
    <w:rsid w:val="00FC705E"/>
    <w:rPr>
      <w:rFonts w:ascii="Times New Roman" w:eastAsia="Times New Roman" w:hAnsi="Times New Roman" w:cs="Times New Roman"/>
      <w:sz w:val="20"/>
      <w:szCs w:val="20"/>
      <w:lang w:eastAsia="de-DE"/>
    </w:rPr>
  </w:style>
  <w:style w:type="character" w:customStyle="1" w:styleId="CommentSubjectChar">
    <w:name w:val="Comment Subject Char"/>
    <w:basedOn w:val="CommentTextChar"/>
    <w:link w:val="CommentSubject"/>
    <w:uiPriority w:val="99"/>
    <w:semiHidden/>
    <w:qFormat/>
    <w:rsid w:val="00FC705E"/>
    <w:rPr>
      <w:rFonts w:ascii="Times New Roman" w:eastAsia="Times New Roman" w:hAnsi="Times New Roman" w:cs="Times New Roman"/>
      <w:b/>
      <w:bCs/>
      <w:sz w:val="20"/>
      <w:szCs w:val="20"/>
      <w:lang w:eastAsia="de-DE"/>
    </w:rPr>
  </w:style>
  <w:style w:type="character" w:customStyle="1" w:styleId="InternetLink">
    <w:name w:val="Internet Link"/>
    <w:basedOn w:val="DefaultParagraphFont"/>
    <w:uiPriority w:val="99"/>
    <w:rsid w:val="00E8125A"/>
    <w:rPr>
      <w:rFonts w:cs="Times New Roman"/>
      <w:color w:val="0000FF"/>
      <w:u w:val="single"/>
    </w:rPr>
  </w:style>
  <w:style w:type="character" w:styleId="FollowedHyperlink">
    <w:name w:val="FollowedHyperlink"/>
    <w:basedOn w:val="DefaultParagraphFont"/>
    <w:uiPriority w:val="99"/>
    <w:semiHidden/>
    <w:unhideWhenUsed/>
    <w:qFormat/>
    <w:rsid w:val="00EC70F3"/>
    <w:rPr>
      <w:color w:val="800080"/>
      <w:u w:val="single"/>
    </w:rPr>
  </w:style>
  <w:style w:type="character" w:customStyle="1" w:styleId="HeaderChar">
    <w:name w:val="Header Char"/>
    <w:basedOn w:val="DefaultParagraphFont"/>
    <w:link w:val="Header"/>
    <w:uiPriority w:val="99"/>
    <w:qFormat/>
    <w:rsid w:val="001123E4"/>
    <w:rPr>
      <w:rFonts w:ascii="Cambria" w:eastAsia="MS ??" w:hAnsi="Cambria" w:cs="Times New Roman"/>
      <w:sz w:val="24"/>
      <w:szCs w:val="24"/>
      <w:lang w:eastAsia="de-DE"/>
    </w:rPr>
  </w:style>
  <w:style w:type="character" w:customStyle="1" w:styleId="FooterChar">
    <w:name w:val="Footer Char"/>
    <w:basedOn w:val="DefaultParagraphFont"/>
    <w:link w:val="Footer"/>
    <w:uiPriority w:val="99"/>
    <w:qFormat/>
    <w:rsid w:val="001123E4"/>
    <w:rPr>
      <w:rFonts w:ascii="Cambria" w:eastAsia="MS ??" w:hAnsi="Cambria" w:cs="Times New Roman"/>
      <w:sz w:val="24"/>
      <w:szCs w:val="24"/>
      <w:lang w:eastAsia="de-DE"/>
    </w:rPr>
  </w:style>
  <w:style w:type="character" w:customStyle="1" w:styleId="NoSpacingChar">
    <w:name w:val="No Spacing Char"/>
    <w:link w:val="NoSpacing"/>
    <w:uiPriority w:val="99"/>
    <w:qFormat/>
    <w:locked/>
    <w:rsid w:val="001123E4"/>
    <w:rPr>
      <w:rFonts w:ascii="PMingLiU" w:eastAsia="MS ??" w:hAnsi="PMingLiU" w:cs="Times New Roman"/>
      <w:lang w:eastAsia="de-DE"/>
    </w:rPr>
  </w:style>
  <w:style w:type="character" w:styleId="Emphasis">
    <w:name w:val="Emphasis"/>
    <w:basedOn w:val="DefaultParagraphFont"/>
    <w:uiPriority w:val="20"/>
    <w:qFormat/>
    <w:rsid w:val="00B46AFB"/>
    <w:rPr>
      <w:i/>
      <w:iCs/>
      <w:position w:val="0"/>
      <w:sz w:val="24"/>
      <w:szCs w:val="24"/>
      <w:vertAlign w:val="baseline"/>
    </w:rPr>
  </w:style>
  <w:style w:type="character" w:customStyle="1" w:styleId="CITE">
    <w:name w:val="CITE"/>
    <w:uiPriority w:val="99"/>
    <w:qFormat/>
    <w:rsid w:val="0086086D"/>
    <w:rPr>
      <w:i/>
      <w:iCs/>
    </w:rPr>
  </w:style>
  <w:style w:type="character" w:styleId="LineNumber">
    <w:name w:val="line number"/>
    <w:basedOn w:val="DefaultParagraphFont"/>
    <w:uiPriority w:val="99"/>
    <w:semiHidden/>
    <w:unhideWhenUsed/>
    <w:qFormat/>
    <w:rsid w:val="00D60648"/>
  </w:style>
  <w:style w:type="character" w:customStyle="1" w:styleId="ListLabel1">
    <w:name w:val="ListLabel 1"/>
    <w:qFormat/>
    <w:rsid w:val="000730CE"/>
    <w:rPr>
      <w:rFonts w:cs="Times New Roman"/>
    </w:rPr>
  </w:style>
  <w:style w:type="character" w:customStyle="1" w:styleId="ListLabel2">
    <w:name w:val="ListLabel 2"/>
    <w:qFormat/>
    <w:rsid w:val="000730CE"/>
    <w:rPr>
      <w:rFonts w:cs="Times New Roman"/>
    </w:rPr>
  </w:style>
  <w:style w:type="character" w:customStyle="1" w:styleId="ListLabel3">
    <w:name w:val="ListLabel 3"/>
    <w:qFormat/>
    <w:rsid w:val="000730CE"/>
    <w:rPr>
      <w:rFonts w:cs="Times New Roman"/>
    </w:rPr>
  </w:style>
  <w:style w:type="character" w:customStyle="1" w:styleId="ListLabel4">
    <w:name w:val="ListLabel 4"/>
    <w:qFormat/>
    <w:rsid w:val="000730CE"/>
    <w:rPr>
      <w:rFonts w:cs="Times New Roman"/>
    </w:rPr>
  </w:style>
  <w:style w:type="character" w:customStyle="1" w:styleId="ListLabel5">
    <w:name w:val="ListLabel 5"/>
    <w:qFormat/>
    <w:rsid w:val="000730CE"/>
    <w:rPr>
      <w:rFonts w:cs="Times New Roman"/>
    </w:rPr>
  </w:style>
  <w:style w:type="character" w:customStyle="1" w:styleId="ListLabel6">
    <w:name w:val="ListLabel 6"/>
    <w:qFormat/>
    <w:rsid w:val="000730CE"/>
    <w:rPr>
      <w:rFonts w:cs="Times New Roman"/>
    </w:rPr>
  </w:style>
  <w:style w:type="character" w:customStyle="1" w:styleId="ListLabel7">
    <w:name w:val="ListLabel 7"/>
    <w:qFormat/>
    <w:rsid w:val="000730CE"/>
    <w:rPr>
      <w:rFonts w:cs="Times New Roman"/>
    </w:rPr>
  </w:style>
  <w:style w:type="character" w:customStyle="1" w:styleId="ListLabel8">
    <w:name w:val="ListLabel 8"/>
    <w:qFormat/>
    <w:rsid w:val="000730CE"/>
    <w:rPr>
      <w:rFonts w:cs="Times New Roman"/>
    </w:rPr>
  </w:style>
  <w:style w:type="character" w:customStyle="1" w:styleId="ListLabel9">
    <w:name w:val="ListLabel 9"/>
    <w:qFormat/>
    <w:rsid w:val="000730CE"/>
    <w:rPr>
      <w:rFonts w:cs="Times New Roman"/>
    </w:rPr>
  </w:style>
  <w:style w:type="character" w:customStyle="1" w:styleId="ListLabel10">
    <w:name w:val="ListLabel 10"/>
    <w:qFormat/>
    <w:rsid w:val="000730CE"/>
    <w:rPr>
      <w:rFonts w:cs="Times New Roman"/>
    </w:rPr>
  </w:style>
  <w:style w:type="character" w:customStyle="1" w:styleId="ListLabel11">
    <w:name w:val="ListLabel 11"/>
    <w:qFormat/>
    <w:rsid w:val="000730CE"/>
    <w:rPr>
      <w:rFonts w:cs="Times New Roman"/>
    </w:rPr>
  </w:style>
  <w:style w:type="character" w:customStyle="1" w:styleId="ListLabel12">
    <w:name w:val="ListLabel 12"/>
    <w:qFormat/>
    <w:rsid w:val="000730CE"/>
    <w:rPr>
      <w:rFonts w:cs="Times New Roman"/>
    </w:rPr>
  </w:style>
  <w:style w:type="character" w:customStyle="1" w:styleId="ListLabel13">
    <w:name w:val="ListLabel 13"/>
    <w:qFormat/>
    <w:rsid w:val="000730CE"/>
    <w:rPr>
      <w:rFonts w:cs="Times New Roman"/>
    </w:rPr>
  </w:style>
  <w:style w:type="character" w:customStyle="1" w:styleId="ListLabel14">
    <w:name w:val="ListLabel 14"/>
    <w:qFormat/>
    <w:rsid w:val="000730CE"/>
    <w:rPr>
      <w:rFonts w:cs="Times New Roman"/>
    </w:rPr>
  </w:style>
  <w:style w:type="character" w:customStyle="1" w:styleId="ListLabel15">
    <w:name w:val="ListLabel 15"/>
    <w:qFormat/>
    <w:rsid w:val="000730CE"/>
    <w:rPr>
      <w:rFonts w:cs="Times New Roman"/>
    </w:rPr>
  </w:style>
  <w:style w:type="character" w:customStyle="1" w:styleId="ListLabel16">
    <w:name w:val="ListLabel 16"/>
    <w:qFormat/>
    <w:rsid w:val="000730CE"/>
    <w:rPr>
      <w:rFonts w:cs="Times New Roman"/>
    </w:rPr>
  </w:style>
  <w:style w:type="character" w:customStyle="1" w:styleId="ListLabel17">
    <w:name w:val="ListLabel 17"/>
    <w:qFormat/>
    <w:rsid w:val="000730CE"/>
    <w:rPr>
      <w:rFonts w:cs="Times New Roman"/>
    </w:rPr>
  </w:style>
  <w:style w:type="character" w:customStyle="1" w:styleId="ListLabel18">
    <w:name w:val="ListLabel 18"/>
    <w:qFormat/>
    <w:rsid w:val="000730CE"/>
    <w:rPr>
      <w:rFonts w:cs="Times New Roman"/>
    </w:rPr>
  </w:style>
  <w:style w:type="character" w:customStyle="1" w:styleId="ListLabel19">
    <w:name w:val="ListLabel 19"/>
    <w:qFormat/>
    <w:rsid w:val="000730CE"/>
    <w:rPr>
      <w:rFonts w:cs="Times New Roman"/>
    </w:rPr>
  </w:style>
  <w:style w:type="character" w:customStyle="1" w:styleId="ListLabel20">
    <w:name w:val="ListLabel 20"/>
    <w:qFormat/>
    <w:rsid w:val="000730CE"/>
    <w:rPr>
      <w:rFonts w:cs="Times New Roman"/>
    </w:rPr>
  </w:style>
  <w:style w:type="character" w:customStyle="1" w:styleId="ListLabel21">
    <w:name w:val="ListLabel 21"/>
    <w:qFormat/>
    <w:rsid w:val="000730CE"/>
    <w:rPr>
      <w:rFonts w:cs="Times New Roman"/>
    </w:rPr>
  </w:style>
  <w:style w:type="character" w:customStyle="1" w:styleId="ListLabel22">
    <w:name w:val="ListLabel 22"/>
    <w:qFormat/>
    <w:rsid w:val="000730CE"/>
    <w:rPr>
      <w:rFonts w:cs="Times New Roman"/>
    </w:rPr>
  </w:style>
  <w:style w:type="character" w:customStyle="1" w:styleId="ListLabel23">
    <w:name w:val="ListLabel 23"/>
    <w:qFormat/>
    <w:rsid w:val="000730CE"/>
    <w:rPr>
      <w:rFonts w:cs="Times New Roman"/>
    </w:rPr>
  </w:style>
  <w:style w:type="character" w:customStyle="1" w:styleId="ListLabel24">
    <w:name w:val="ListLabel 24"/>
    <w:qFormat/>
    <w:rsid w:val="000730CE"/>
    <w:rPr>
      <w:rFonts w:cs="Times New Roman"/>
    </w:rPr>
  </w:style>
  <w:style w:type="character" w:customStyle="1" w:styleId="ListLabel25">
    <w:name w:val="ListLabel 25"/>
    <w:qFormat/>
    <w:rsid w:val="000730CE"/>
    <w:rPr>
      <w:rFonts w:cs="Times New Roman"/>
    </w:rPr>
  </w:style>
  <w:style w:type="character" w:customStyle="1" w:styleId="ListLabel26">
    <w:name w:val="ListLabel 26"/>
    <w:qFormat/>
    <w:rsid w:val="000730CE"/>
    <w:rPr>
      <w:rFonts w:cs="Times New Roman"/>
    </w:rPr>
  </w:style>
  <w:style w:type="character" w:customStyle="1" w:styleId="ListLabel27">
    <w:name w:val="ListLabel 27"/>
    <w:qFormat/>
    <w:rsid w:val="000730CE"/>
    <w:rPr>
      <w:rFonts w:cs="Times New Roman"/>
    </w:rPr>
  </w:style>
  <w:style w:type="character" w:customStyle="1" w:styleId="ListLabel28">
    <w:name w:val="ListLabel 28"/>
    <w:qFormat/>
    <w:rsid w:val="000730CE"/>
    <w:rPr>
      <w:rFonts w:eastAsia="MS ??" w:cs="Arial"/>
    </w:rPr>
  </w:style>
  <w:style w:type="character" w:customStyle="1" w:styleId="ListLabel29">
    <w:name w:val="ListLabel 29"/>
    <w:qFormat/>
    <w:rsid w:val="000730CE"/>
    <w:rPr>
      <w:sz w:val="22"/>
    </w:rPr>
  </w:style>
  <w:style w:type="character" w:customStyle="1" w:styleId="ListLabel30">
    <w:name w:val="ListLabel 30"/>
    <w:qFormat/>
    <w:rsid w:val="000730CE"/>
    <w:rPr>
      <w:sz w:val="22"/>
    </w:rPr>
  </w:style>
  <w:style w:type="character" w:customStyle="1" w:styleId="ListLabel31">
    <w:name w:val="ListLabel 31"/>
    <w:qFormat/>
    <w:rsid w:val="000730CE"/>
    <w:rPr>
      <w:b/>
    </w:rPr>
  </w:style>
  <w:style w:type="character" w:customStyle="1" w:styleId="ListLabel32">
    <w:name w:val="ListLabel 32"/>
    <w:qFormat/>
    <w:rsid w:val="000730CE"/>
    <w:rPr>
      <w:rFonts w:eastAsia="Times New Roman" w:cs="Arial"/>
    </w:rPr>
  </w:style>
  <w:style w:type="character" w:customStyle="1" w:styleId="ListLabel33">
    <w:name w:val="ListLabel 33"/>
    <w:qFormat/>
    <w:rsid w:val="000730CE"/>
    <w:rPr>
      <w:rFonts w:cs="Courier New"/>
    </w:rPr>
  </w:style>
  <w:style w:type="character" w:customStyle="1" w:styleId="ListLabel34">
    <w:name w:val="ListLabel 34"/>
    <w:qFormat/>
    <w:rsid w:val="000730CE"/>
    <w:rPr>
      <w:rFonts w:cs="Courier New"/>
    </w:rPr>
  </w:style>
  <w:style w:type="character" w:customStyle="1" w:styleId="ListLabel35">
    <w:name w:val="ListLabel 35"/>
    <w:qFormat/>
    <w:rsid w:val="000730CE"/>
    <w:rPr>
      <w:rFonts w:cs="Courier New"/>
    </w:rPr>
  </w:style>
  <w:style w:type="character" w:customStyle="1" w:styleId="ListLabel36">
    <w:name w:val="ListLabel 36"/>
    <w:qFormat/>
    <w:rsid w:val="000730CE"/>
    <w:rPr>
      <w:rFonts w:eastAsia="Times New Roman" w:cs="Arial"/>
    </w:rPr>
  </w:style>
  <w:style w:type="character" w:customStyle="1" w:styleId="ListLabel37">
    <w:name w:val="ListLabel 37"/>
    <w:qFormat/>
    <w:rsid w:val="000730CE"/>
    <w:rPr>
      <w:rFonts w:cs="Courier New"/>
    </w:rPr>
  </w:style>
  <w:style w:type="character" w:customStyle="1" w:styleId="ListLabel38">
    <w:name w:val="ListLabel 38"/>
    <w:qFormat/>
    <w:rsid w:val="000730CE"/>
    <w:rPr>
      <w:rFonts w:cs="Courier New"/>
    </w:rPr>
  </w:style>
  <w:style w:type="character" w:customStyle="1" w:styleId="ListLabel39">
    <w:name w:val="ListLabel 39"/>
    <w:qFormat/>
    <w:rsid w:val="000730CE"/>
    <w:rPr>
      <w:rFonts w:cs="Courier New"/>
    </w:rPr>
  </w:style>
  <w:style w:type="character" w:customStyle="1" w:styleId="ListLabel40">
    <w:name w:val="ListLabel 40"/>
    <w:qFormat/>
    <w:rsid w:val="000730CE"/>
    <w:rPr>
      <w:rFonts w:eastAsia="Times New Roman" w:cs="Times New Roman"/>
    </w:rPr>
  </w:style>
  <w:style w:type="character" w:customStyle="1" w:styleId="ListLabel41">
    <w:name w:val="ListLabel 41"/>
    <w:qFormat/>
    <w:rsid w:val="000730CE"/>
    <w:rPr>
      <w:rFonts w:cs="Courier New"/>
    </w:rPr>
  </w:style>
  <w:style w:type="character" w:customStyle="1" w:styleId="ListLabel42">
    <w:name w:val="ListLabel 42"/>
    <w:qFormat/>
    <w:rsid w:val="000730CE"/>
    <w:rPr>
      <w:rFonts w:cs="Courier New"/>
    </w:rPr>
  </w:style>
  <w:style w:type="character" w:customStyle="1" w:styleId="ListLabel43">
    <w:name w:val="ListLabel 43"/>
    <w:qFormat/>
    <w:rsid w:val="000730CE"/>
    <w:rPr>
      <w:rFonts w:cs="Courier New"/>
    </w:rPr>
  </w:style>
  <w:style w:type="character" w:customStyle="1" w:styleId="ListLabel44">
    <w:name w:val="ListLabel 44"/>
    <w:qFormat/>
    <w:rsid w:val="000730CE"/>
    <w:rPr>
      <w:rFonts w:eastAsia="Times New Roman" w:cs="Times New Roman"/>
    </w:rPr>
  </w:style>
  <w:style w:type="character" w:customStyle="1" w:styleId="ListLabel45">
    <w:name w:val="ListLabel 45"/>
    <w:qFormat/>
    <w:rsid w:val="000730CE"/>
    <w:rPr>
      <w:rFonts w:eastAsia="Times New Roman" w:cs="Times New Roman"/>
    </w:rPr>
  </w:style>
  <w:style w:type="character" w:customStyle="1" w:styleId="LineNumbering">
    <w:name w:val="Line Numbering"/>
    <w:rsid w:val="000730CE"/>
  </w:style>
  <w:style w:type="paragraph" w:customStyle="1" w:styleId="Heading">
    <w:name w:val="Heading"/>
    <w:basedOn w:val="Normal"/>
    <w:next w:val="BodyText"/>
    <w:qFormat/>
    <w:rsid w:val="000730CE"/>
    <w:pPr>
      <w:keepNext/>
      <w:spacing w:before="240" w:after="120"/>
    </w:pPr>
    <w:rPr>
      <w:rFonts w:ascii="Liberation Sans" w:eastAsia="Microsoft YaHei" w:hAnsi="Liberation Sans" w:cs="Arial"/>
      <w:sz w:val="28"/>
      <w:szCs w:val="28"/>
    </w:rPr>
  </w:style>
  <w:style w:type="paragraph" w:styleId="BodyText">
    <w:name w:val="Body Text"/>
    <w:basedOn w:val="Normal"/>
    <w:rsid w:val="000730CE"/>
    <w:pPr>
      <w:spacing w:after="140" w:line="276" w:lineRule="auto"/>
    </w:pPr>
  </w:style>
  <w:style w:type="paragraph" w:styleId="List">
    <w:name w:val="List"/>
    <w:basedOn w:val="BodyText"/>
    <w:rsid w:val="000730CE"/>
    <w:rPr>
      <w:rFonts w:cs="Arial"/>
    </w:rPr>
  </w:style>
  <w:style w:type="paragraph" w:styleId="Caption">
    <w:name w:val="caption"/>
    <w:basedOn w:val="Normal"/>
    <w:qFormat/>
    <w:rsid w:val="000730CE"/>
    <w:pPr>
      <w:suppressLineNumbers/>
      <w:spacing w:before="120" w:after="120"/>
    </w:pPr>
    <w:rPr>
      <w:rFonts w:cs="Arial"/>
      <w:i/>
      <w:iCs/>
    </w:rPr>
  </w:style>
  <w:style w:type="paragraph" w:customStyle="1" w:styleId="Index">
    <w:name w:val="Index"/>
    <w:basedOn w:val="Normal"/>
    <w:qFormat/>
    <w:rsid w:val="000730CE"/>
    <w:pPr>
      <w:suppressLineNumbers/>
    </w:pPr>
    <w:rPr>
      <w:rFonts w:cs="Arial"/>
    </w:rPr>
  </w:style>
  <w:style w:type="paragraph" w:styleId="BalloonText">
    <w:name w:val="Balloon Text"/>
    <w:basedOn w:val="Normal"/>
    <w:link w:val="BalloonTextChar"/>
    <w:uiPriority w:val="99"/>
    <w:semiHidden/>
    <w:unhideWhenUsed/>
    <w:qFormat/>
    <w:rsid w:val="00B512A5"/>
    <w:rPr>
      <w:rFonts w:ascii="Lucida Grande" w:hAnsi="Lucida Grande"/>
      <w:sz w:val="18"/>
      <w:szCs w:val="18"/>
    </w:rPr>
  </w:style>
  <w:style w:type="paragraph" w:styleId="CommentText">
    <w:name w:val="annotation text"/>
    <w:basedOn w:val="Normal"/>
    <w:link w:val="CommentTextChar"/>
    <w:uiPriority w:val="99"/>
    <w:unhideWhenUsed/>
    <w:qFormat/>
    <w:rsid w:val="00FC705E"/>
    <w:rPr>
      <w:sz w:val="20"/>
      <w:szCs w:val="20"/>
    </w:rPr>
  </w:style>
  <w:style w:type="paragraph" w:styleId="CommentSubject">
    <w:name w:val="annotation subject"/>
    <w:basedOn w:val="CommentText"/>
    <w:next w:val="CommentText"/>
    <w:link w:val="CommentSubjectChar"/>
    <w:uiPriority w:val="99"/>
    <w:semiHidden/>
    <w:unhideWhenUsed/>
    <w:qFormat/>
    <w:rsid w:val="00FC705E"/>
    <w:rPr>
      <w:b/>
      <w:bCs/>
    </w:rPr>
  </w:style>
  <w:style w:type="paragraph" w:styleId="ListParagraph">
    <w:name w:val="List Paragraph"/>
    <w:basedOn w:val="Normal"/>
    <w:uiPriority w:val="99"/>
    <w:qFormat/>
    <w:rsid w:val="00E8125A"/>
    <w:pPr>
      <w:ind w:left="720"/>
      <w:contextualSpacing/>
    </w:pPr>
  </w:style>
  <w:style w:type="paragraph" w:customStyle="1" w:styleId="xl78">
    <w:name w:val="xl78"/>
    <w:basedOn w:val="Normal"/>
    <w:qFormat/>
    <w:rsid w:val="00EC70F3"/>
    <w:pPr>
      <w:shd w:val="clear" w:color="000000" w:fill="FFFF00"/>
      <w:spacing w:beforeAutospacing="1" w:afterAutospacing="1"/>
    </w:pPr>
  </w:style>
  <w:style w:type="paragraph" w:customStyle="1" w:styleId="xl79">
    <w:name w:val="xl79"/>
    <w:basedOn w:val="Normal"/>
    <w:qFormat/>
    <w:rsid w:val="00EC70F3"/>
    <w:pPr>
      <w:shd w:val="clear" w:color="000000" w:fill="CCFFCC"/>
      <w:spacing w:beforeAutospacing="1" w:afterAutospacing="1"/>
    </w:pPr>
  </w:style>
  <w:style w:type="paragraph" w:customStyle="1" w:styleId="xl81">
    <w:name w:val="xl81"/>
    <w:basedOn w:val="Normal"/>
    <w:qFormat/>
    <w:rsid w:val="00EC70F3"/>
    <w:pPr>
      <w:shd w:val="clear" w:color="000000" w:fill="FFFF00"/>
      <w:spacing w:beforeAutospacing="1" w:afterAutospacing="1"/>
    </w:pPr>
  </w:style>
  <w:style w:type="paragraph" w:customStyle="1" w:styleId="xl82">
    <w:name w:val="xl82"/>
    <w:basedOn w:val="Normal"/>
    <w:qFormat/>
    <w:rsid w:val="00EC70F3"/>
    <w:pPr>
      <w:shd w:val="clear" w:color="000000" w:fill="FFFF00"/>
      <w:spacing w:beforeAutospacing="1" w:afterAutospacing="1"/>
    </w:pPr>
  </w:style>
  <w:style w:type="paragraph" w:customStyle="1" w:styleId="xl83">
    <w:name w:val="xl83"/>
    <w:basedOn w:val="Normal"/>
    <w:qFormat/>
    <w:rsid w:val="00EC70F3"/>
    <w:pPr>
      <w:shd w:val="clear" w:color="000000" w:fill="CCFFCC"/>
      <w:spacing w:beforeAutospacing="1" w:afterAutospacing="1"/>
    </w:pPr>
  </w:style>
  <w:style w:type="paragraph" w:customStyle="1" w:styleId="xl84">
    <w:name w:val="xl84"/>
    <w:basedOn w:val="Normal"/>
    <w:qFormat/>
    <w:rsid w:val="00EC70F3"/>
    <w:pPr>
      <w:shd w:val="clear" w:color="000000" w:fill="FFFF00"/>
      <w:spacing w:beforeAutospacing="1" w:afterAutospacing="1"/>
    </w:pPr>
    <w:rPr>
      <w:rFonts w:ascii="Calibri" w:hAnsi="Calibri"/>
      <w:color w:val="808080"/>
    </w:rPr>
  </w:style>
  <w:style w:type="paragraph" w:customStyle="1" w:styleId="xl85">
    <w:name w:val="xl85"/>
    <w:basedOn w:val="Normal"/>
    <w:qFormat/>
    <w:rsid w:val="00EC70F3"/>
    <w:pPr>
      <w:spacing w:beforeAutospacing="1" w:afterAutospacing="1"/>
    </w:pPr>
    <w:rPr>
      <w:rFonts w:ascii="Calibri" w:hAnsi="Calibri"/>
      <w:color w:val="808080"/>
    </w:rPr>
  </w:style>
  <w:style w:type="paragraph" w:customStyle="1" w:styleId="xl86">
    <w:name w:val="xl86"/>
    <w:basedOn w:val="Normal"/>
    <w:qFormat/>
    <w:rsid w:val="00EC70F3"/>
    <w:pPr>
      <w:shd w:val="clear" w:color="000000" w:fill="FFFF00"/>
      <w:spacing w:beforeAutospacing="1" w:afterAutospacing="1"/>
    </w:pPr>
    <w:rPr>
      <w:rFonts w:ascii="Calibri" w:hAnsi="Calibri"/>
      <w:color w:val="808080"/>
    </w:rPr>
  </w:style>
  <w:style w:type="paragraph" w:customStyle="1" w:styleId="xl87">
    <w:name w:val="xl87"/>
    <w:basedOn w:val="Normal"/>
    <w:qFormat/>
    <w:rsid w:val="00EC70F3"/>
    <w:pPr>
      <w:shd w:val="clear" w:color="000000" w:fill="FFFF00"/>
      <w:spacing w:beforeAutospacing="1" w:afterAutospacing="1"/>
    </w:pPr>
    <w:rPr>
      <w:rFonts w:ascii="Calibri" w:hAnsi="Calibri"/>
      <w:color w:val="808080"/>
    </w:rPr>
  </w:style>
  <w:style w:type="paragraph" w:styleId="NormalWeb">
    <w:name w:val="Normal (Web)"/>
    <w:basedOn w:val="Normal"/>
    <w:uiPriority w:val="99"/>
    <w:qFormat/>
    <w:rsid w:val="001123E4"/>
    <w:pPr>
      <w:spacing w:beforeAutospacing="1" w:afterAutospacing="1"/>
    </w:pPr>
    <w:rPr>
      <w:rFonts w:ascii="Times" w:eastAsia="Calibri" w:hAnsi="Times"/>
      <w:sz w:val="20"/>
      <w:szCs w:val="20"/>
    </w:rPr>
  </w:style>
  <w:style w:type="paragraph" w:styleId="Header">
    <w:name w:val="header"/>
    <w:basedOn w:val="Normal"/>
    <w:link w:val="HeaderChar"/>
    <w:uiPriority w:val="99"/>
    <w:rsid w:val="001123E4"/>
    <w:pPr>
      <w:suppressLineNumbers/>
      <w:tabs>
        <w:tab w:val="center" w:pos="4536"/>
        <w:tab w:val="right" w:pos="9072"/>
      </w:tabs>
    </w:pPr>
    <w:rPr>
      <w:rFonts w:ascii="Cambria" w:eastAsia="MS ??" w:hAnsi="Cambria"/>
    </w:rPr>
  </w:style>
  <w:style w:type="paragraph" w:styleId="Footer">
    <w:name w:val="footer"/>
    <w:basedOn w:val="Normal"/>
    <w:link w:val="FooterChar"/>
    <w:uiPriority w:val="99"/>
    <w:rsid w:val="001123E4"/>
    <w:pPr>
      <w:suppressLineNumbers/>
      <w:tabs>
        <w:tab w:val="center" w:pos="4536"/>
        <w:tab w:val="right" w:pos="9072"/>
      </w:tabs>
    </w:pPr>
    <w:rPr>
      <w:rFonts w:ascii="Cambria" w:eastAsia="MS ??" w:hAnsi="Cambria"/>
    </w:rPr>
  </w:style>
  <w:style w:type="paragraph" w:styleId="NoSpacing">
    <w:name w:val="No Spacing"/>
    <w:link w:val="NoSpacingChar"/>
    <w:uiPriority w:val="99"/>
    <w:qFormat/>
    <w:rsid w:val="001123E4"/>
    <w:rPr>
      <w:rFonts w:ascii="PMingLiU" w:eastAsia="MS ??" w:hAnsi="PMingLiU" w:cs="Times New Roman"/>
      <w:sz w:val="24"/>
      <w:lang w:eastAsia="de-DE"/>
    </w:rPr>
  </w:style>
  <w:style w:type="paragraph" w:customStyle="1" w:styleId="Default">
    <w:name w:val="Default"/>
    <w:uiPriority w:val="99"/>
    <w:qFormat/>
    <w:rsid w:val="001123E4"/>
    <w:rPr>
      <w:rFonts w:ascii="Times" w:eastAsia="Calibri" w:hAnsi="Times" w:cs="Times"/>
      <w:color w:val="000000"/>
      <w:sz w:val="24"/>
      <w:szCs w:val="24"/>
      <w:lang w:val="en-US" w:eastAsia="de-DE"/>
    </w:rPr>
  </w:style>
  <w:style w:type="paragraph" w:styleId="Revision">
    <w:name w:val="Revision"/>
    <w:uiPriority w:val="99"/>
    <w:semiHidden/>
    <w:qFormat/>
    <w:rsid w:val="00911019"/>
    <w:rPr>
      <w:rFonts w:ascii="Times New Roman" w:eastAsia="Times New Roman" w:hAnsi="Times New Roman" w:cs="Times New Roman"/>
      <w:sz w:val="24"/>
      <w:szCs w:val="24"/>
      <w:lang w:eastAsia="de-DE"/>
    </w:rPr>
  </w:style>
  <w:style w:type="table" w:styleId="TableGrid">
    <w:name w:val="Table Grid"/>
    <w:basedOn w:val="TableNormal"/>
    <w:uiPriority w:val="59"/>
    <w:rsid w:val="00EC7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D5F2-650F-CA4A-A559-3F9FEEA2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6135</Words>
  <Characters>34972</Characters>
  <Application>Microsoft Office Word</Application>
  <DocSecurity>0</DocSecurity>
  <Lines>291</Lines>
  <Paragraphs>82</Paragraphs>
  <ScaleCrop>false</ScaleCrop>
  <Company>Universitätsklinikum Leipzig AöR</Company>
  <LinksUpToDate>false</LinksUpToDate>
  <CharactersWithSpaces>41025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Jentzsch, Madlen</dc:creator>
  <dc:description/>
  <cp:lastModifiedBy>59330</cp:lastModifiedBy>
  <cp:revision>8</cp:revision>
  <cp:lastPrinted>2017-08-30T17:46:00Z</cp:lastPrinted>
  <dcterms:created xsi:type="dcterms:W3CDTF">2018-11-01T20:55:00Z</dcterms:created>
  <dcterms:modified xsi:type="dcterms:W3CDTF">2018-12-19T05:30:00Z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Universitätsklinikum Leipzig AöR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