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02C1" w14:textId="77777777" w:rsidR="006A6D41" w:rsidRPr="002A0EE0" w:rsidRDefault="00281D99" w:rsidP="002A0EE0">
      <w:pPr>
        <w:spacing w:after="120" w:line="240" w:lineRule="auto"/>
        <w:jc w:val="both"/>
        <w:rPr>
          <w:rFonts w:eastAsia="Times New Roman"/>
          <w:sz w:val="23"/>
          <w:szCs w:val="23"/>
        </w:rPr>
      </w:pPr>
      <w:r w:rsidRPr="002A0EE0">
        <w:rPr>
          <w:b/>
          <w:sz w:val="28"/>
          <w:szCs w:val="28"/>
        </w:rPr>
        <w:t xml:space="preserve">Cardiac and hepatic </w:t>
      </w:r>
      <w:proofErr w:type="spellStart"/>
      <w:r w:rsidRPr="002A0EE0">
        <w:rPr>
          <w:b/>
          <w:sz w:val="28"/>
          <w:szCs w:val="28"/>
        </w:rPr>
        <w:t>siderosis</w:t>
      </w:r>
      <w:proofErr w:type="spellEnd"/>
      <w:r w:rsidRPr="002A0EE0">
        <w:rPr>
          <w:b/>
          <w:sz w:val="28"/>
          <w:szCs w:val="28"/>
        </w:rPr>
        <w:t xml:space="preserve"> in diverse causes of transfusion-dependent anemia and non-transfusion-dependent thalassemia: the TIMES study</w:t>
      </w:r>
      <w:r w:rsidRPr="002A0EE0">
        <w:rPr>
          <w:rFonts w:eastAsia="Times New Roman"/>
          <w:sz w:val="23"/>
          <w:szCs w:val="23"/>
        </w:rPr>
        <w:t xml:space="preserve"> </w:t>
      </w:r>
    </w:p>
    <w:p w14:paraId="14ED1862" w14:textId="244F58F9" w:rsidR="004B73F1" w:rsidRPr="002A0EE0" w:rsidRDefault="004D4310" w:rsidP="002A0EE0">
      <w:pPr>
        <w:spacing w:after="120" w:line="240" w:lineRule="auto"/>
        <w:jc w:val="both"/>
        <w:rPr>
          <w:b/>
        </w:rPr>
      </w:pPr>
      <w:r w:rsidRPr="002A0EE0">
        <w:rPr>
          <w:b/>
        </w:rPr>
        <w:t>SDC</w:t>
      </w:r>
      <w:r w:rsidR="00E305F8" w:rsidRPr="002A0EE0">
        <w:rPr>
          <w:b/>
        </w:rPr>
        <w:t xml:space="preserve"> </w:t>
      </w:r>
      <w:r w:rsidR="00185ADB" w:rsidRPr="002A0EE0">
        <w:rPr>
          <w:b/>
        </w:rPr>
        <w:t>T</w:t>
      </w:r>
      <w:r w:rsidR="00D40B16" w:rsidRPr="002A0EE0">
        <w:rPr>
          <w:b/>
        </w:rPr>
        <w:t>able</w:t>
      </w:r>
      <w:r w:rsidRPr="002A0EE0">
        <w:rPr>
          <w:b/>
        </w:rPr>
        <w:t xml:space="preserve"> </w:t>
      </w:r>
      <w:r w:rsidR="00D40B16" w:rsidRPr="002A0EE0">
        <w:rPr>
          <w:b/>
        </w:rPr>
        <w:t>1</w:t>
      </w:r>
      <w:r w:rsidR="0027199F" w:rsidRPr="002A0EE0">
        <w:rPr>
          <w:b/>
        </w:rPr>
        <w:t>.</w:t>
      </w:r>
      <w:r w:rsidR="00BC0679" w:rsidRPr="002A0EE0">
        <w:rPr>
          <w:b/>
        </w:rPr>
        <w:t xml:space="preserve"> True</w:t>
      </w:r>
      <w:r w:rsidR="00D40B16" w:rsidRPr="002A0EE0">
        <w:rPr>
          <w:b/>
        </w:rPr>
        <w:t>-positive and false-</w:t>
      </w:r>
      <w:r w:rsidR="00BC0679" w:rsidRPr="002A0EE0">
        <w:rPr>
          <w:b/>
        </w:rPr>
        <w:t xml:space="preserve">positive rates for detecting liver </w:t>
      </w:r>
      <w:proofErr w:type="spellStart"/>
      <w:r w:rsidR="00BC0679" w:rsidRPr="002A0EE0">
        <w:rPr>
          <w:b/>
        </w:rPr>
        <w:t>siderosis</w:t>
      </w:r>
      <w:proofErr w:type="spellEnd"/>
      <w:r w:rsidR="00BC0679" w:rsidRPr="002A0EE0">
        <w:rPr>
          <w:b/>
        </w:rPr>
        <w:t xml:space="preserve"> using serum ferritin</w:t>
      </w:r>
      <w:r w:rsidR="00A17526" w:rsidRPr="002A0EE0">
        <w:rPr>
          <w:b/>
        </w:rPr>
        <w:t xml:space="preserve"> </w:t>
      </w:r>
      <w:r w:rsidR="00653097" w:rsidRPr="002A0EE0">
        <w:rPr>
          <w:b/>
        </w:rPr>
        <w:t xml:space="preserve">threshold </w:t>
      </w:r>
      <w:r w:rsidR="00A17526" w:rsidRPr="002A0EE0">
        <w:rPr>
          <w:b/>
        </w:rPr>
        <w:t>values in increments of 100 ng/mL</w:t>
      </w:r>
      <w:r w:rsidR="00BC0679" w:rsidRPr="002A0EE0">
        <w:rPr>
          <w:b/>
        </w:rPr>
        <w:t>, against the reference test of LIC ≥7</w:t>
      </w:r>
      <w:r w:rsidR="0027199F" w:rsidRPr="002A0EE0">
        <w:rPr>
          <w:b/>
        </w:rPr>
        <w:t xml:space="preserve"> </w:t>
      </w:r>
      <w:r w:rsidR="00BC0679" w:rsidRPr="002A0EE0">
        <w:rPr>
          <w:b/>
        </w:rPr>
        <w:t>mg</w:t>
      </w:r>
      <w:r w:rsidR="0027199F" w:rsidRPr="002A0EE0">
        <w:rPr>
          <w:b/>
        </w:rPr>
        <w:t xml:space="preserve"> Fe</w:t>
      </w:r>
      <w:r w:rsidR="00BC0679" w:rsidRPr="002A0EE0">
        <w:rPr>
          <w:b/>
        </w:rPr>
        <w:t>/g</w:t>
      </w:r>
      <w:r w:rsidR="0027199F" w:rsidRPr="002A0EE0">
        <w:rPr>
          <w:b/>
        </w:rPr>
        <w:t xml:space="preserve"> </w:t>
      </w:r>
      <w:proofErr w:type="spellStart"/>
      <w:r w:rsidR="0027199F" w:rsidRPr="002A0EE0">
        <w:rPr>
          <w:b/>
        </w:rPr>
        <w:t>dw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360"/>
      </w:tblGrid>
      <w:tr w:rsidR="004B73F1" w:rsidRPr="002A0EE0" w14:paraId="60D1D7B6" w14:textId="77777777" w:rsidTr="00E5143D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75871AB" w14:textId="77777777" w:rsidR="004B73F1" w:rsidRPr="002A0EE0" w:rsidRDefault="004B73F1" w:rsidP="002A0EE0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270D92CD" w14:textId="16A32E1F" w:rsidR="004B73F1" w:rsidRPr="002A0EE0" w:rsidRDefault="00453175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 xml:space="preserve">MDS </w:t>
            </w:r>
            <w:r w:rsidRPr="002A0EE0">
              <w:rPr>
                <w:rFonts w:eastAsia="Times New Roman"/>
                <w:b/>
                <w:color w:val="000000"/>
                <w:lang w:eastAsia="en-AU"/>
              </w:rPr>
              <w:br/>
              <w:t>(</w:t>
            </w:r>
            <w:proofErr w:type="spellStart"/>
            <w:r w:rsidRPr="002A0EE0">
              <w:rPr>
                <w:rFonts w:eastAsia="Times New Roman"/>
                <w:b/>
                <w:color w:val="000000"/>
                <w:lang w:eastAsia="en-AU"/>
              </w:rPr>
              <w:t>siderosis</w:t>
            </w:r>
            <w:proofErr w:type="spellEnd"/>
            <w:r w:rsidRPr="002A0EE0">
              <w:rPr>
                <w:rFonts w:eastAsia="Times New Roman"/>
                <w:b/>
                <w:color w:val="000000"/>
                <w:lang w:eastAsia="en-AU"/>
              </w:rPr>
              <w:t xml:space="preserve"> positive n=38, negative n=32)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4EC59412" w14:textId="1193E22E" w:rsidR="004B73F1" w:rsidRPr="002A0EE0" w:rsidRDefault="00453175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 xml:space="preserve">TM </w:t>
            </w:r>
            <w:r w:rsidRPr="002A0EE0">
              <w:rPr>
                <w:rFonts w:eastAsia="Times New Roman"/>
                <w:b/>
                <w:color w:val="000000"/>
                <w:lang w:eastAsia="en-AU"/>
              </w:rPr>
              <w:br/>
              <w:t>(</w:t>
            </w:r>
            <w:proofErr w:type="spellStart"/>
            <w:r w:rsidRPr="002A0EE0">
              <w:rPr>
                <w:rFonts w:eastAsia="Times New Roman"/>
                <w:b/>
                <w:color w:val="000000"/>
                <w:lang w:eastAsia="en-AU"/>
              </w:rPr>
              <w:t>siderosis</w:t>
            </w:r>
            <w:proofErr w:type="spellEnd"/>
            <w:r w:rsidRPr="002A0EE0">
              <w:rPr>
                <w:rFonts w:eastAsia="Times New Roman"/>
                <w:b/>
                <w:color w:val="000000"/>
                <w:lang w:eastAsia="en-AU"/>
              </w:rPr>
              <w:t xml:space="preserve"> positive n=25, negative n=51)</w:t>
            </w:r>
          </w:p>
        </w:tc>
        <w:tc>
          <w:tcPr>
            <w:tcW w:w="2636" w:type="dxa"/>
            <w:gridSpan w:val="2"/>
            <w:shd w:val="clear" w:color="auto" w:fill="auto"/>
            <w:noWrap/>
            <w:vAlign w:val="center"/>
            <w:hideMark/>
          </w:tcPr>
          <w:p w14:paraId="0CCE48F7" w14:textId="37B6B10E" w:rsidR="004B73F1" w:rsidRPr="002A0EE0" w:rsidRDefault="004B73F1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 xml:space="preserve">Other </w:t>
            </w:r>
            <w:r w:rsidR="00E5143D" w:rsidRPr="002A0EE0">
              <w:rPr>
                <w:rFonts w:eastAsia="Times New Roman"/>
                <w:b/>
                <w:color w:val="000000"/>
                <w:lang w:eastAsia="en-AU"/>
              </w:rPr>
              <w:br/>
            </w:r>
            <w:r w:rsidRPr="002A0EE0">
              <w:rPr>
                <w:rFonts w:eastAsia="Times New Roman"/>
                <w:b/>
                <w:color w:val="000000"/>
                <w:lang w:eastAsia="en-AU"/>
              </w:rPr>
              <w:t>(</w:t>
            </w:r>
            <w:proofErr w:type="spellStart"/>
            <w:r w:rsidRPr="002A0EE0">
              <w:rPr>
                <w:rFonts w:eastAsia="Times New Roman"/>
                <w:b/>
                <w:color w:val="000000"/>
                <w:lang w:eastAsia="en-AU"/>
              </w:rPr>
              <w:t>siderosis</w:t>
            </w:r>
            <w:proofErr w:type="spellEnd"/>
            <w:r w:rsidRPr="002A0EE0">
              <w:rPr>
                <w:rFonts w:eastAsia="Times New Roman"/>
                <w:b/>
                <w:color w:val="000000"/>
                <w:lang w:eastAsia="en-AU"/>
              </w:rPr>
              <w:t xml:space="preserve"> positive n=37, negative n=28)</w:t>
            </w:r>
          </w:p>
        </w:tc>
      </w:tr>
      <w:tr w:rsidR="0027199F" w:rsidRPr="002A0EE0" w14:paraId="1D2FA5A5" w14:textId="77777777" w:rsidTr="00E5143D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4D52DB" w14:textId="1653782F" w:rsidR="0027199F" w:rsidRPr="002A0EE0" w:rsidRDefault="0027199F" w:rsidP="002A0EE0">
            <w:pPr>
              <w:spacing w:before="60" w:after="60" w:line="240" w:lineRule="auto"/>
              <w:rPr>
                <w:rFonts w:eastAsia="Times New Roman"/>
                <w:b/>
                <w:color w:val="000000"/>
                <w:szCs w:val="18"/>
                <w:lang w:eastAsia="en-AU"/>
              </w:rPr>
            </w:pPr>
            <w:bookmarkStart w:id="0" w:name="RANGE!A2:G33"/>
            <w:r w:rsidRPr="002A0EE0">
              <w:rPr>
                <w:rFonts w:eastAsia="Times New Roman"/>
                <w:b/>
                <w:color w:val="000000"/>
                <w:szCs w:val="18"/>
                <w:lang w:eastAsia="en-AU"/>
              </w:rPr>
              <w:t>Serum ferritin cut</w:t>
            </w:r>
            <w:r w:rsidR="00DE303A" w:rsidRPr="002A0EE0">
              <w:rPr>
                <w:rFonts w:eastAsia="Times New Roman"/>
                <w:b/>
                <w:color w:val="000000"/>
                <w:szCs w:val="18"/>
                <w:lang w:eastAsia="en-AU"/>
              </w:rPr>
              <w:t>-</w:t>
            </w:r>
            <w:r w:rsidRPr="002A0EE0">
              <w:rPr>
                <w:rFonts w:eastAsia="Times New Roman"/>
                <w:b/>
                <w:color w:val="000000"/>
                <w:szCs w:val="18"/>
                <w:lang w:eastAsia="en-AU"/>
              </w:rPr>
              <w:t>off</w:t>
            </w:r>
            <w:bookmarkEnd w:id="0"/>
            <w:r w:rsidRPr="002A0EE0">
              <w:rPr>
                <w:rFonts w:eastAsia="Times New Roman"/>
                <w:b/>
                <w:color w:val="000000"/>
                <w:szCs w:val="18"/>
                <w:lang w:eastAsia="en-AU"/>
              </w:rPr>
              <w:t xml:space="preserve"> (ng/mL)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70916C" w14:textId="2396B0CA" w:rsidR="0027199F" w:rsidRPr="002A0EE0" w:rsidRDefault="0027199F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>True positive (%)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87AB6F" w14:textId="73DD68C9" w:rsidR="0027199F" w:rsidRPr="002A0EE0" w:rsidRDefault="0027199F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>False positive (%)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C89AEF" w14:textId="3ED06503" w:rsidR="0027199F" w:rsidRPr="002A0EE0" w:rsidRDefault="0027199F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>True positive (%)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ECCC51" w14:textId="2CF57C05" w:rsidR="0027199F" w:rsidRPr="002A0EE0" w:rsidRDefault="0027199F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>False positive (%)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672541" w14:textId="42FE3165" w:rsidR="0027199F" w:rsidRPr="002A0EE0" w:rsidRDefault="0027199F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>True positive (%)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B0D02C2" w14:textId="3D76E3D5" w:rsidR="0027199F" w:rsidRPr="002A0EE0" w:rsidRDefault="0027199F" w:rsidP="002A0EE0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lang w:eastAsia="en-AU"/>
              </w:rPr>
            </w:pPr>
            <w:r w:rsidRPr="002A0EE0">
              <w:rPr>
                <w:rFonts w:eastAsia="Times New Roman"/>
                <w:b/>
                <w:color w:val="000000"/>
                <w:lang w:eastAsia="en-AU"/>
              </w:rPr>
              <w:t>False positive (%)</w:t>
            </w:r>
          </w:p>
        </w:tc>
      </w:tr>
      <w:tr w:rsidR="00453175" w:rsidRPr="002A0EE0" w14:paraId="3184EAF3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7F26443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FD3675" w14:textId="1C54171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1EF15B" w14:textId="6106DE0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1E1B81" w14:textId="487C092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120FD5" w14:textId="5977D10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F654D7" w14:textId="2CB9D1B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1219CAF" w14:textId="150F319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</w:tr>
      <w:tr w:rsidR="00453175" w:rsidRPr="002A0EE0" w14:paraId="40B81EA1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3362C0A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46B93" w14:textId="5F811C2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DFCE7A" w14:textId="7722851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96.9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40103A0" w14:textId="649A7AF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F4DAC9" w14:textId="156C40E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79F357" w14:textId="6FAEA0F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A790B6C" w14:textId="02EDD46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</w:tr>
      <w:tr w:rsidR="00453175" w:rsidRPr="002A0EE0" w14:paraId="3A399755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27BCBA5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406BE2" w14:textId="0258E40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778927" w14:textId="272FBEA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96.9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D58505" w14:textId="7501C7D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5CE137" w14:textId="605C3D4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38D100" w14:textId="1962BF0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6B6B48E" w14:textId="78F9705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</w:tr>
      <w:tr w:rsidR="00453175" w:rsidRPr="002A0EE0" w14:paraId="696B2FA7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E6F795C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8FA454" w14:textId="6DB0C5C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9FDF31" w14:textId="31A1843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96.9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4228E1" w14:textId="4DA6984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26FD8D" w14:textId="0B2D392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DA04CF" w14:textId="7C478DD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FF732F9" w14:textId="1458ABE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</w:tr>
      <w:tr w:rsidR="00453175" w:rsidRPr="002A0EE0" w14:paraId="493C9590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0101885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899404" w14:textId="1C593E8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000DEE" w14:textId="26C02B5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96.9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23514F" w14:textId="60F5968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F30244" w14:textId="489DB12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AAB7E0" w14:textId="601A501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C5D1006" w14:textId="28C7A11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</w:tr>
      <w:tr w:rsidR="00453175" w:rsidRPr="002A0EE0" w14:paraId="1FED80E7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44297FE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CDCD93" w14:textId="354A825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548C97" w14:textId="06771B2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93.8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A2775D" w14:textId="64A32B9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CA03F3" w14:textId="62CD3A8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0660F7" w14:textId="6C7E94E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CC2957C" w14:textId="0D7C104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</w:tr>
      <w:tr w:rsidR="00453175" w:rsidRPr="002A0EE0" w14:paraId="3D385CE5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576E300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EF62F8" w14:textId="2258541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B4BA8E" w14:textId="319F02C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84.4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65BA2B" w14:textId="764BC0C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A3E2A2" w14:textId="532FB42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86.3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3A209E" w14:textId="4F2293D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A0216FA" w14:textId="6B8A3A1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89.3</w:t>
            </w:r>
          </w:p>
        </w:tc>
      </w:tr>
      <w:tr w:rsidR="00453175" w:rsidRPr="002A0EE0" w14:paraId="20960F39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650A292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798BA9" w14:textId="3C3A288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EFBD52" w14:textId="1E32225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84.4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33EADFC" w14:textId="681E89B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A5630F" w14:textId="76970E7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78.4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D5E702" w14:textId="7C8E951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60BDFD0" w14:textId="30E3F95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78.6</w:t>
            </w:r>
          </w:p>
        </w:tc>
      </w:tr>
      <w:tr w:rsidR="00453175" w:rsidRPr="002A0EE0" w14:paraId="1151A4E2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7D2BD52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B5D4CC" w14:textId="045BD57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B16011" w14:textId="5218439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78.1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BF2A5D" w14:textId="1C13FB2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C928D8" w14:textId="4595BE2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30D85B" w14:textId="04FB7CF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94.6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3E91EDC" w14:textId="34E28A2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75.0</w:t>
            </w:r>
          </w:p>
        </w:tc>
      </w:tr>
      <w:tr w:rsidR="00453175" w:rsidRPr="002A0EE0" w14:paraId="49D4A902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42F261B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D58F89" w14:textId="07E5D52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F0374F" w14:textId="172EA56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62.5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86C8E9" w14:textId="1CAC117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84.0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D66C1D" w14:textId="1025F5E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62.7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FE435D" w14:textId="3EF5B3E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94.6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66B34C8" w14:textId="71DACF6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71.4</w:t>
            </w:r>
          </w:p>
        </w:tc>
      </w:tr>
      <w:tr w:rsidR="00453175" w:rsidRPr="002A0EE0" w14:paraId="161A3566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E648F15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D22544" w14:textId="738BA29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EC9FA9" w14:textId="4EE9CD6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53.1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B5D6E8" w14:textId="1B56FD8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026B2F" w14:textId="7347F0E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54.9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D6BFF2" w14:textId="7304344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94.6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98E6088" w14:textId="7254CA4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57.1</w:t>
            </w:r>
          </w:p>
        </w:tc>
      </w:tr>
      <w:tr w:rsidR="00453175" w:rsidRPr="002A0EE0" w14:paraId="2BFF567D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67F446D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70D02E" w14:textId="7A79D22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EF5299" w14:textId="2E7F943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53.1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4081EA" w14:textId="29F1290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C4A8AD" w14:textId="23C0C9D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49.0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87D74E" w14:textId="035790C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91.9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35B98BD" w14:textId="39E1413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57.1</w:t>
            </w:r>
          </w:p>
        </w:tc>
      </w:tr>
      <w:tr w:rsidR="00453175" w:rsidRPr="002A0EE0" w14:paraId="4BE5A28B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DA5CC5A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9D9BD2" w14:textId="6F667DA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94.7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F9C56" w14:textId="49EFC19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46.9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5CD48F0" w14:textId="360C091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73F3C7" w14:textId="06C54B8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43.1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5C1C44" w14:textId="515A8A5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89.2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EB54A06" w14:textId="118EB33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53.6</w:t>
            </w:r>
          </w:p>
        </w:tc>
      </w:tr>
      <w:tr w:rsidR="00453175" w:rsidRPr="002A0EE0" w14:paraId="0A120187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3998A95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665908" w14:textId="0DE3A2B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92.1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727F1F" w14:textId="70E70C6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43.8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837B70" w14:textId="59EEB51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2353DA" w14:textId="35A6C8D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39.2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5495B5" w14:textId="197A409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83.8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1000D7B" w14:textId="2A7E2A9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39.3</w:t>
            </w:r>
          </w:p>
        </w:tc>
      </w:tr>
      <w:tr w:rsidR="00453175" w:rsidRPr="002A0EE0" w14:paraId="7EA30C9A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FD14359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11AD16" w14:textId="6AD443F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29F34B" w14:textId="6C3FD4C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40.6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6756F8" w14:textId="5A72C50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72.0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802FF3" w14:textId="7FFC915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35.3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BC5E88" w14:textId="020BB20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81.1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B837EC4" w14:textId="45347BA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28.6</w:t>
            </w:r>
          </w:p>
        </w:tc>
      </w:tr>
      <w:tr w:rsidR="00453175" w:rsidRPr="002A0EE0" w14:paraId="4E54ABE7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0276342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17C9CC" w14:textId="67D3FC1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84.2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A56363" w14:textId="4A79DD2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40.6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E2A35C" w14:textId="1761094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A1C475" w14:textId="00AEC67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25.5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FA93A5" w14:textId="15BA591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75.7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2CFF044C" w14:textId="0978BA9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28.6</w:t>
            </w:r>
          </w:p>
        </w:tc>
      </w:tr>
      <w:tr w:rsidR="00453175" w:rsidRPr="002A0EE0" w14:paraId="3A2AD895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153A406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C82B43" w14:textId="4027391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78.9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305BD8" w14:textId="3BC5886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403147" w14:textId="4C01520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F5964" w14:textId="69B474E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23.5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05410B" w14:textId="28F996D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67.6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B9D3C9A" w14:textId="779B158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25.0</w:t>
            </w:r>
          </w:p>
        </w:tc>
      </w:tr>
      <w:tr w:rsidR="00453175" w:rsidRPr="002A0EE0" w14:paraId="1AB122BF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C3908B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8CD1C1" w14:textId="240EFD5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65.8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57A7DD" w14:textId="6E189F6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34.4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CF9F73" w14:textId="4AF5236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24FAA3" w14:textId="395CC2D9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17.6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AFFC5B" w14:textId="0A1B7BE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62.2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671114A" w14:textId="13960B1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25.0</w:t>
            </w:r>
          </w:p>
        </w:tc>
      </w:tr>
      <w:tr w:rsidR="00453175" w:rsidRPr="002A0EE0" w14:paraId="4523B23A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8EAB37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4B2ECE" w14:textId="41A74AB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65.8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4F55CD" w14:textId="49EA3FB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31.3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9B5F74" w14:textId="36ABC5C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A9D801" w14:textId="76CFB0B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11.8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D089A9" w14:textId="5B6D650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62.2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53DF66E" w14:textId="7E33BDB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4D20607C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57933DD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C76221" w14:textId="3A9A7B1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65.8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0C5259" w14:textId="5371CD2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BFE94F" w14:textId="18BC6B7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6678C1" w14:textId="0F73E3F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336419" w14:textId="0EC966A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62.2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D93E0B6" w14:textId="2202830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52A1F511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2261FD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162B29" w14:textId="4FD7D4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63.2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828E4C" w14:textId="25FEB2C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99E19C" w14:textId="6BFC460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70FC01" w14:textId="481669B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80A680" w14:textId="5F74F05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59.5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D806B52" w14:textId="55688FB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4E11A1A4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436392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4F9C12" w14:textId="371D0BB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63.2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235C0B" w14:textId="7057C87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8EF56D" w14:textId="1EE21A6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6A31DC" w14:textId="631B862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07A7E6" w14:textId="2434E5E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56.8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2AC120BC" w14:textId="275E047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3808FC96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72E626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F403E9" w14:textId="72B18A2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55.3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47061D" w14:textId="200D60E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C28C23" w14:textId="31F5A05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44.0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86C918" w14:textId="3715093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DD8843" w14:textId="1C641CB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56.8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6C17DEF" w14:textId="5CDF4BA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70AD189B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BCEDA43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981906" w14:textId="3C4BE91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52.6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04EF78" w14:textId="473B044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18.8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63A4D6" w14:textId="3D0F542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B78234" w14:textId="101B44F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0AE447" w14:textId="47AE7DD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56.8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FE43408" w14:textId="7D657B5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7DC9FCCD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B95DC55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32839D" w14:textId="3E1F221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F01CF7" w14:textId="4B6B4BC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18.8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93FE2E" w14:textId="01317C7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8B0B5E" w14:textId="627FC42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3FFB20" w14:textId="0C1F318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56.8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391DCA2" w14:textId="39398B41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21.4</w:t>
            </w:r>
          </w:p>
        </w:tc>
      </w:tr>
      <w:tr w:rsidR="00453175" w:rsidRPr="002A0EE0" w14:paraId="26964AE9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8F44F64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96802D" w14:textId="6E4619E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47.4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C017D0" w14:textId="125DB21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18.8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5E5BC3" w14:textId="5A95FD5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F2E91B" w14:textId="4724D5B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E5A386" w14:textId="23BC8C6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54.1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EBF290B" w14:textId="6F9FFD9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10.7</w:t>
            </w:r>
          </w:p>
        </w:tc>
      </w:tr>
      <w:tr w:rsidR="00453175" w:rsidRPr="002A0EE0" w14:paraId="6AF26BDE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C4A429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DA98BB" w14:textId="2F8665F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44.7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21FDB3" w14:textId="52036CE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12.5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0E859B" w14:textId="6B28730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287361" w14:textId="09D286D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DF5BE8" w14:textId="1363C66E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51.4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1D59CF0" w14:textId="67CFDCBF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10.7</w:t>
            </w:r>
          </w:p>
        </w:tc>
      </w:tr>
      <w:tr w:rsidR="00453175" w:rsidRPr="002A0EE0" w14:paraId="12D9C130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12104D4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C3297C" w14:textId="6874E90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42.1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1B4640" w14:textId="681B891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12.5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62D4AC" w14:textId="6C8B230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85B900" w14:textId="30CC476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173222" w14:textId="75C030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48.6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0EB02DD" w14:textId="2C547E6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7.1</w:t>
            </w:r>
          </w:p>
        </w:tc>
      </w:tr>
      <w:tr w:rsidR="00453175" w:rsidRPr="002A0EE0" w14:paraId="6BF00F48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6D50D4D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6C2C05" w14:textId="03679E10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42.1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E1AEFC" w14:textId="392789B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02B411" w14:textId="27DBC4D6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C2C4B2" w14:textId="351B02BC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00B650" w14:textId="69104282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48.6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65EBFC7" w14:textId="4082084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7.1</w:t>
            </w:r>
          </w:p>
        </w:tc>
      </w:tr>
      <w:tr w:rsidR="00453175" w:rsidRPr="002A0EE0" w14:paraId="29FF5129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3872A8C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78448E" w14:textId="3CDA9994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EAD3A0" w14:textId="29429EC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C58B5F" w14:textId="6844BA9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32.0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80AB14" w14:textId="2FB719F5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3009DD" w14:textId="2FD46A0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48.6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FF736D4" w14:textId="5784D4A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7.1</w:t>
            </w:r>
          </w:p>
        </w:tc>
      </w:tr>
      <w:tr w:rsidR="00453175" w:rsidRPr="002A0EE0" w14:paraId="30FBB5C6" w14:textId="77777777" w:rsidTr="00A642EF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2D96C2F" w14:textId="7777777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181C32" w14:textId="7BD2143A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39.5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FE6AD3" w14:textId="455EF067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9.4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55177D" w14:textId="1E6BA373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28.0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72F38C" w14:textId="226A2548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F6133C" w14:textId="02F4E24B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43.2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24CA250" w14:textId="1DDFC9DD" w:rsidR="00453175" w:rsidRPr="002A0EE0" w:rsidRDefault="00453175" w:rsidP="004531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A0EE0">
              <w:rPr>
                <w:rFonts w:eastAsia="Times New Roman"/>
                <w:color w:val="000000"/>
                <w:lang w:eastAsia="en-AU"/>
              </w:rPr>
              <w:t>7.1</w:t>
            </w:r>
          </w:p>
        </w:tc>
      </w:tr>
    </w:tbl>
    <w:p w14:paraId="67B3E77E" w14:textId="7C3CDD3D" w:rsidR="004B73F1" w:rsidRPr="002A0EE0" w:rsidRDefault="00DE303A" w:rsidP="002A0EE0">
      <w:pPr>
        <w:spacing w:before="120" w:line="240" w:lineRule="auto"/>
        <w:jc w:val="both"/>
        <w:rPr>
          <w:sz w:val="20"/>
        </w:rPr>
      </w:pPr>
      <w:proofErr w:type="spellStart"/>
      <w:r w:rsidRPr="002A0EE0">
        <w:rPr>
          <w:sz w:val="20"/>
        </w:rPr>
        <w:t>dw</w:t>
      </w:r>
      <w:proofErr w:type="spellEnd"/>
      <w:r w:rsidRPr="002A0EE0">
        <w:rPr>
          <w:sz w:val="20"/>
        </w:rPr>
        <w:t xml:space="preserve">, dry weight; </w:t>
      </w:r>
      <w:r w:rsidR="00E5143D" w:rsidRPr="002A0EE0">
        <w:rPr>
          <w:sz w:val="20"/>
        </w:rPr>
        <w:t>LIC, liver iron concentration; MDS, myelodysplastic syndromes; TM, thalassemia major.</w:t>
      </w:r>
    </w:p>
    <w:p w14:paraId="2E5C0225" w14:textId="070032C3" w:rsidR="00FD3B1C" w:rsidRPr="002A0EE0" w:rsidRDefault="004D4310" w:rsidP="002A0EE0">
      <w:pPr>
        <w:spacing w:after="120" w:line="240" w:lineRule="auto"/>
        <w:jc w:val="both"/>
        <w:rPr>
          <w:b/>
          <w:szCs w:val="23"/>
        </w:rPr>
      </w:pPr>
      <w:r w:rsidRPr="002A0EE0">
        <w:rPr>
          <w:b/>
          <w:szCs w:val="23"/>
        </w:rPr>
        <w:lastRenderedPageBreak/>
        <w:t>SDC</w:t>
      </w:r>
      <w:r w:rsidR="00E305F8" w:rsidRPr="002A0EE0">
        <w:rPr>
          <w:b/>
          <w:szCs w:val="23"/>
        </w:rPr>
        <w:t xml:space="preserve"> Table</w:t>
      </w:r>
      <w:r w:rsidRPr="002A0EE0">
        <w:rPr>
          <w:b/>
          <w:szCs w:val="23"/>
        </w:rPr>
        <w:t xml:space="preserve"> </w:t>
      </w:r>
      <w:r w:rsidR="00E305F8" w:rsidRPr="002A0EE0">
        <w:rPr>
          <w:b/>
          <w:szCs w:val="23"/>
        </w:rPr>
        <w:t>2</w:t>
      </w:r>
      <w:r w:rsidR="00FD3B1C" w:rsidRPr="002A0EE0">
        <w:rPr>
          <w:b/>
          <w:szCs w:val="23"/>
        </w:rPr>
        <w:t>. Medical adherence questionnaire</w:t>
      </w:r>
    </w:p>
    <w:p w14:paraId="797C8CDD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Do you ever forget to take your chelation therapy?</w:t>
      </w:r>
    </w:p>
    <w:p w14:paraId="3A350354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Are you careless at times about taking your chelation therapy?</w:t>
      </w:r>
    </w:p>
    <w:p w14:paraId="1ECD8FE6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When you feel better, do you sometimes stop taking your chelation therapy?</w:t>
      </w:r>
    </w:p>
    <w:p w14:paraId="4F1630FD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Sometimes if you feel worse when you take your chelation therapy, do you stop taking it?</w:t>
      </w:r>
    </w:p>
    <w:p w14:paraId="216229DC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I take my medication only when I am feeling sick</w:t>
      </w:r>
    </w:p>
    <w:p w14:paraId="4DECAF7E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By staying on medication, I can prevent getting sick</w:t>
      </w:r>
    </w:p>
    <w:p w14:paraId="0C15550F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In the past week, did you forget to take your chelation therapy on more than 1 day?</w:t>
      </w:r>
    </w:p>
    <w:p w14:paraId="296CE396" w14:textId="77777777" w:rsidR="00FD3B1C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In general, in the last 4 weeks, did you follow the chelation therapy regimen exactly as directed by your doctor?</w:t>
      </w:r>
    </w:p>
    <w:p w14:paraId="5A682DE1" w14:textId="3135D214" w:rsidR="00327F21" w:rsidRPr="002A0EE0" w:rsidRDefault="00FD3B1C" w:rsidP="002A0EE0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3"/>
        </w:rPr>
      </w:pPr>
      <w:r w:rsidRPr="002A0EE0">
        <w:rPr>
          <w:szCs w:val="23"/>
        </w:rPr>
        <w:t>In general, in the last 4 weeks, did you think about stopping your chelation therapy?</w:t>
      </w:r>
    </w:p>
    <w:p w14:paraId="6B04A9FA" w14:textId="31EFE50F" w:rsidR="007F42EB" w:rsidRPr="002A0EE0" w:rsidRDefault="007F42EB" w:rsidP="002A0EE0">
      <w:pPr>
        <w:spacing w:after="0" w:line="240" w:lineRule="auto"/>
        <w:rPr>
          <w:b/>
          <w:bCs/>
          <w:szCs w:val="23"/>
        </w:rPr>
        <w:sectPr w:rsidR="007F42EB" w:rsidRPr="002A0EE0" w:rsidSect="008D7098"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7FC6E52" w14:textId="2C152BC8" w:rsidR="00D4601A" w:rsidRPr="002A0EE0" w:rsidRDefault="004D4310" w:rsidP="002A0EE0">
      <w:pPr>
        <w:pStyle w:val="ListParagraph"/>
        <w:tabs>
          <w:tab w:val="left" w:pos="4962"/>
        </w:tabs>
        <w:spacing w:after="120" w:line="240" w:lineRule="auto"/>
        <w:ind w:left="0"/>
        <w:contextualSpacing w:val="0"/>
        <w:jc w:val="both"/>
        <w:outlineLvl w:val="0"/>
        <w:rPr>
          <w:i/>
          <w:szCs w:val="23"/>
        </w:rPr>
      </w:pPr>
      <w:r w:rsidRPr="002A0EE0">
        <w:rPr>
          <w:b/>
          <w:szCs w:val="23"/>
        </w:rPr>
        <w:lastRenderedPageBreak/>
        <w:t>SDC</w:t>
      </w:r>
      <w:r w:rsidR="00B0723C" w:rsidRPr="002A0EE0">
        <w:rPr>
          <w:b/>
          <w:szCs w:val="23"/>
        </w:rPr>
        <w:t xml:space="preserve"> </w:t>
      </w:r>
      <w:r w:rsidRPr="002A0EE0">
        <w:rPr>
          <w:b/>
          <w:szCs w:val="23"/>
        </w:rPr>
        <w:t xml:space="preserve">Table </w:t>
      </w:r>
      <w:r w:rsidR="00B0723C" w:rsidRPr="002A0EE0">
        <w:rPr>
          <w:b/>
          <w:szCs w:val="23"/>
        </w:rPr>
        <w:t>3</w:t>
      </w:r>
      <w:r w:rsidR="00D4601A" w:rsidRPr="002A0EE0">
        <w:rPr>
          <w:b/>
          <w:szCs w:val="23"/>
        </w:rPr>
        <w:t>. Summary of MRI-based treatment decisions</w:t>
      </w:r>
    </w:p>
    <w:tbl>
      <w:tblPr>
        <w:tblStyle w:val="LightShading1"/>
        <w:tblW w:w="4618" w:type="pct"/>
        <w:tblLook w:val="04A0" w:firstRow="1" w:lastRow="0" w:firstColumn="1" w:lastColumn="0" w:noHBand="0" w:noVBand="1"/>
      </w:tblPr>
      <w:tblGrid>
        <w:gridCol w:w="2238"/>
        <w:gridCol w:w="1318"/>
        <w:gridCol w:w="1377"/>
        <w:gridCol w:w="1212"/>
        <w:gridCol w:w="1488"/>
        <w:gridCol w:w="1395"/>
        <w:gridCol w:w="1091"/>
        <w:gridCol w:w="1459"/>
        <w:gridCol w:w="1315"/>
      </w:tblGrid>
      <w:tr w:rsidR="005675D7" w:rsidRPr="002A0EE0" w14:paraId="4CFF5AD7" w14:textId="77777777" w:rsidTr="0056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A211E46" w14:textId="77777777" w:rsidR="005675D7" w:rsidRPr="002A0EE0" w:rsidRDefault="005675D7" w:rsidP="002A0EE0">
            <w:pPr>
              <w:spacing w:before="120" w:after="120" w:line="240" w:lineRule="auto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Change to ICT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933F24" w14:textId="77777777" w:rsidR="005675D7" w:rsidRPr="002A0EE0" w:rsidRDefault="005675D7" w:rsidP="002A0EE0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Overall 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D06F050" w14:textId="77777777" w:rsidR="005675D7" w:rsidRPr="002A0EE0" w:rsidRDefault="005675D7" w:rsidP="002A0EE0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MDS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14:paraId="7F44D364" w14:textId="75809877" w:rsidR="005675D7" w:rsidRPr="002A0EE0" w:rsidRDefault="005675D7" w:rsidP="002A0EE0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TM</w:t>
            </w:r>
          </w:p>
        </w:tc>
        <w:tc>
          <w:tcPr>
            <w:tcW w:w="96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E3E2B05" w14:textId="4CE4C420" w:rsidR="005675D7" w:rsidRPr="002A0EE0" w:rsidRDefault="005675D7" w:rsidP="002A0EE0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NTDT </w:t>
            </w:r>
          </w:p>
        </w:tc>
        <w:tc>
          <w:tcPr>
            <w:tcW w:w="107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2053641" w14:textId="4EC3EA40" w:rsidR="005675D7" w:rsidRPr="002A0EE0" w:rsidRDefault="005675D7" w:rsidP="002A0EE0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Other anemias </w:t>
            </w:r>
          </w:p>
        </w:tc>
      </w:tr>
      <w:tr w:rsidR="005675D7" w:rsidRPr="002A0EE0" w14:paraId="13BD0A90" w14:textId="77777777" w:rsidTr="0056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B4CD46D" w14:textId="77777777" w:rsidR="005675D7" w:rsidRPr="002A0EE0" w:rsidRDefault="005675D7" w:rsidP="005675D7">
            <w:pPr>
              <w:spacing w:before="120" w:after="120" w:line="240" w:lineRule="auto"/>
              <w:rPr>
                <w:color w:val="auto"/>
                <w:lang w:eastAsia="en-GB"/>
              </w:rPr>
            </w:pPr>
            <w:r w:rsidRPr="002A0EE0">
              <w:rPr>
                <w:color w:val="auto"/>
                <w:lang w:eastAsia="en-GB"/>
              </w:rPr>
              <w:t>Any change</w:t>
            </w:r>
            <w:r w:rsidRPr="002A0EE0">
              <w:rPr>
                <w:lang w:eastAsia="en-GB"/>
              </w:rPr>
              <w:t>, n (%)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D7E5022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n=229</w:t>
            </w:r>
          </w:p>
        </w:tc>
        <w:tc>
          <w:tcPr>
            <w:tcW w:w="534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5D2CBAD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CN/MC n=27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2DC8E3B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n=42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F1A53D" w14:textId="7C52DF5A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4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n=77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2494ADF" w14:textId="0E6EA662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CN/MC n=11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0CA13E6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n=7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36A0B96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CN/MC n=37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064B59B4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n=28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</w:tr>
      <w:tr w:rsidR="005675D7" w:rsidRPr="002A0EE0" w14:paraId="6F031D9A" w14:textId="77777777" w:rsidTr="005675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64AE451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lang w:eastAsia="en-GB"/>
              </w:rPr>
            </w:pPr>
            <w:r w:rsidRPr="002A0EE0">
              <w:rPr>
                <w:b w:val="0"/>
                <w:lang w:eastAsia="en-GB"/>
              </w:rPr>
              <w:t xml:space="preserve">  Yes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225E580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105 (45.9)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504BDBE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17 (63.0)</w:t>
            </w:r>
          </w:p>
        </w:tc>
        <w:tc>
          <w:tcPr>
            <w:tcW w:w="47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1F008AC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19 (45.2)</w:t>
            </w:r>
          </w:p>
        </w:tc>
        <w:tc>
          <w:tcPr>
            <w:tcW w:w="577" w:type="pct"/>
            <w:tcBorders>
              <w:top w:val="nil"/>
              <w:bottom w:val="nil"/>
            </w:tcBorders>
            <w:shd w:val="clear" w:color="auto" w:fill="auto"/>
          </w:tcPr>
          <w:p w14:paraId="22CAFEDB" w14:textId="124F6CCB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26 (33.8)</w:t>
            </w: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089A8D7" w14:textId="625CF25F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3 (27.3)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C1F31B2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7 (100.0)</w:t>
            </w:r>
          </w:p>
        </w:tc>
        <w:tc>
          <w:tcPr>
            <w:tcW w:w="566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3C26196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22 (59.5)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326B539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11 (39.3)</w:t>
            </w:r>
          </w:p>
        </w:tc>
      </w:tr>
      <w:tr w:rsidR="005675D7" w:rsidRPr="002A0EE0" w14:paraId="056EBA9C" w14:textId="77777777" w:rsidTr="0056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5938B3D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lang w:eastAsia="en-GB"/>
              </w:rPr>
            </w:pPr>
            <w:r w:rsidRPr="002A0EE0">
              <w:rPr>
                <w:b w:val="0"/>
                <w:lang w:eastAsia="en-GB"/>
              </w:rPr>
              <w:t xml:space="preserve">  No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8518B62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124 (54.1)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EE81CE1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10 (37.0) </w:t>
            </w:r>
          </w:p>
        </w:tc>
        <w:tc>
          <w:tcPr>
            <w:tcW w:w="47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9A8D389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23 (54.8) </w:t>
            </w:r>
          </w:p>
        </w:tc>
        <w:tc>
          <w:tcPr>
            <w:tcW w:w="577" w:type="pct"/>
            <w:tcBorders>
              <w:top w:val="nil"/>
              <w:bottom w:val="nil"/>
            </w:tcBorders>
            <w:shd w:val="clear" w:color="auto" w:fill="auto"/>
          </w:tcPr>
          <w:p w14:paraId="6E1FFFB9" w14:textId="0C0D6D35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kern w:val="24"/>
                <w:lang w:eastAsia="en-GB"/>
              </w:rPr>
              <w:t>51 (66.2)</w:t>
            </w: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CC7E28C" w14:textId="609FD0F4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8 (72.7) 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B4ADC0B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66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1E85AE7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15 (40.5) 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9F41FA4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17 (60.7) </w:t>
            </w:r>
          </w:p>
        </w:tc>
      </w:tr>
      <w:tr w:rsidR="005675D7" w:rsidRPr="002A0EE0" w14:paraId="384E80B6" w14:textId="77777777" w:rsidTr="005675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3F9B8F5" w14:textId="77777777" w:rsidR="005675D7" w:rsidRPr="002A0EE0" w:rsidRDefault="005675D7" w:rsidP="005675D7">
            <w:pPr>
              <w:spacing w:before="120" w:after="120" w:line="240" w:lineRule="auto"/>
              <w:rPr>
                <w:lang w:eastAsia="en-GB"/>
              </w:rPr>
            </w:pPr>
            <w:r w:rsidRPr="002A0EE0">
              <w:rPr>
                <w:lang w:eastAsia="en-GB"/>
              </w:rPr>
              <w:t>Type of change, n (%)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E395105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4"/>
                <w:lang w:eastAsia="en-GB"/>
              </w:rPr>
            </w:pPr>
            <w:r w:rsidRPr="002A0EE0">
              <w:rPr>
                <w:b/>
                <w:kern w:val="24"/>
                <w:lang w:eastAsia="en-GB"/>
              </w:rPr>
              <w:t>n=75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8FFCD3C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CN/MC n=13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8716757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n=16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bottom w:val="nil"/>
            </w:tcBorders>
            <w:shd w:val="clear" w:color="auto" w:fill="auto"/>
          </w:tcPr>
          <w:p w14:paraId="58E2FACB" w14:textId="7A234C56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4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n=23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19647B3" w14:textId="5CA2494D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CN/MC n=2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D4988BA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n=7</w:t>
            </w:r>
          </w:p>
        </w:tc>
        <w:tc>
          <w:tcPr>
            <w:tcW w:w="566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90F1438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CN/MC n=8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287A194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GB"/>
              </w:rPr>
            </w:pPr>
            <w:r w:rsidRPr="002A0EE0">
              <w:rPr>
                <w:b/>
                <w:color w:val="auto"/>
                <w:kern w:val="24"/>
                <w:lang w:eastAsia="en-GB"/>
              </w:rPr>
              <w:t>ICT n=6</w:t>
            </w:r>
            <w:r w:rsidRPr="002A0EE0">
              <w:rPr>
                <w:b/>
                <w:bCs/>
                <w:color w:val="auto"/>
                <w:kern w:val="24"/>
                <w:lang w:eastAsia="en-GB"/>
              </w:rPr>
              <w:t xml:space="preserve"> </w:t>
            </w:r>
          </w:p>
        </w:tc>
      </w:tr>
      <w:tr w:rsidR="005675D7" w:rsidRPr="002A0EE0" w14:paraId="129D0B4C" w14:textId="77777777" w:rsidTr="0056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nil"/>
            </w:tcBorders>
            <w:shd w:val="clear" w:color="auto" w:fill="auto"/>
            <w:hideMark/>
          </w:tcPr>
          <w:p w14:paraId="36AC86B5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color w:val="auto"/>
                <w:lang w:eastAsia="en-GB"/>
              </w:rPr>
            </w:pPr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 Start ICT therapy 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  <w:hideMark/>
          </w:tcPr>
          <w:p w14:paraId="13B89743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27 (36.0) </w:t>
            </w:r>
          </w:p>
        </w:tc>
        <w:tc>
          <w:tcPr>
            <w:tcW w:w="534" w:type="pct"/>
            <w:tcBorders>
              <w:top w:val="nil"/>
            </w:tcBorders>
            <w:shd w:val="clear" w:color="auto" w:fill="auto"/>
            <w:hideMark/>
          </w:tcPr>
          <w:p w14:paraId="3FFD2F0E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10 (76.9) </w:t>
            </w: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hideMark/>
          </w:tcPr>
          <w:p w14:paraId="6F02F55D" w14:textId="2B193AA0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kern w:val="24"/>
                <w:lang w:eastAsia="en-GB"/>
              </w:rPr>
              <w:t>4 (</w:t>
            </w:r>
            <w:proofErr w:type="gramStart"/>
            <w:r w:rsidRPr="002A0EE0">
              <w:rPr>
                <w:kern w:val="24"/>
                <w:lang w:eastAsia="en-GB"/>
              </w:rPr>
              <w:t>25.0)*</w:t>
            </w:r>
            <w:proofErr w:type="gramEnd"/>
            <w:r w:rsidRPr="002A0EE0">
              <w:rPr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77" w:type="pct"/>
            <w:tcBorders>
              <w:top w:val="nil"/>
            </w:tcBorders>
            <w:shd w:val="clear" w:color="auto" w:fill="auto"/>
          </w:tcPr>
          <w:p w14:paraId="4B122DF2" w14:textId="37348763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41" w:type="pct"/>
            <w:tcBorders>
              <w:top w:val="nil"/>
            </w:tcBorders>
            <w:shd w:val="clear" w:color="auto" w:fill="auto"/>
            <w:hideMark/>
          </w:tcPr>
          <w:p w14:paraId="5F8BE359" w14:textId="16BC2633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2 (100.0) 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auto"/>
            <w:hideMark/>
          </w:tcPr>
          <w:p w14:paraId="149DC332" w14:textId="2D3F180C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kern w:val="24"/>
                <w:lang w:eastAsia="en-GB"/>
              </w:rPr>
              <w:t>3 (</w:t>
            </w:r>
            <w:proofErr w:type="gramStart"/>
            <w:r w:rsidRPr="002A0EE0">
              <w:rPr>
                <w:kern w:val="24"/>
                <w:lang w:eastAsia="en-GB"/>
              </w:rPr>
              <w:t>42.9)*</w:t>
            </w:r>
            <w:proofErr w:type="gramEnd"/>
            <w:r w:rsidRPr="002A0EE0">
              <w:rPr>
                <w:color w:val="auto"/>
                <w:kern w:val="24"/>
                <w:lang w:eastAsia="en-GB"/>
              </w:rPr>
              <w:t xml:space="preserve"> </w:t>
            </w:r>
          </w:p>
        </w:tc>
        <w:tc>
          <w:tcPr>
            <w:tcW w:w="566" w:type="pct"/>
            <w:tcBorders>
              <w:top w:val="nil"/>
            </w:tcBorders>
            <w:shd w:val="clear" w:color="auto" w:fill="auto"/>
            <w:hideMark/>
          </w:tcPr>
          <w:p w14:paraId="0356244B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8 (100.0) 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hideMark/>
          </w:tcPr>
          <w:p w14:paraId="1ABAFD88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</w:tr>
      <w:tr w:rsidR="005675D7" w:rsidRPr="002A0EE0" w14:paraId="3FD0A4C5" w14:textId="77777777" w:rsidTr="005675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auto"/>
            <w:hideMark/>
          </w:tcPr>
          <w:p w14:paraId="2DC721A0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color w:val="auto"/>
                <w:lang w:eastAsia="en-GB"/>
              </w:rPr>
            </w:pPr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 Stop ICT therapy </w:t>
            </w:r>
          </w:p>
        </w:tc>
        <w:tc>
          <w:tcPr>
            <w:tcW w:w="511" w:type="pct"/>
            <w:shd w:val="clear" w:color="auto" w:fill="auto"/>
            <w:hideMark/>
          </w:tcPr>
          <w:p w14:paraId="4B61C7BF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34" w:type="pct"/>
            <w:shd w:val="clear" w:color="auto" w:fill="auto"/>
            <w:hideMark/>
          </w:tcPr>
          <w:p w14:paraId="7C5C1941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70" w:type="pct"/>
            <w:shd w:val="clear" w:color="auto" w:fill="auto"/>
            <w:hideMark/>
          </w:tcPr>
          <w:p w14:paraId="7441BF7B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0 (0.0)</w:t>
            </w:r>
          </w:p>
        </w:tc>
        <w:tc>
          <w:tcPr>
            <w:tcW w:w="577" w:type="pct"/>
            <w:shd w:val="clear" w:color="auto" w:fill="auto"/>
          </w:tcPr>
          <w:p w14:paraId="3609F912" w14:textId="753ABC73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41" w:type="pct"/>
            <w:shd w:val="clear" w:color="auto" w:fill="auto"/>
            <w:hideMark/>
          </w:tcPr>
          <w:p w14:paraId="195BDA95" w14:textId="13797854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23" w:type="pct"/>
            <w:shd w:val="clear" w:color="auto" w:fill="auto"/>
            <w:hideMark/>
          </w:tcPr>
          <w:p w14:paraId="73DD3435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66" w:type="pct"/>
            <w:shd w:val="clear" w:color="auto" w:fill="auto"/>
            <w:hideMark/>
          </w:tcPr>
          <w:p w14:paraId="0828CA4C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10" w:type="pct"/>
            <w:shd w:val="clear" w:color="auto" w:fill="auto"/>
            <w:hideMark/>
          </w:tcPr>
          <w:p w14:paraId="1FE56E99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</w:tr>
      <w:tr w:rsidR="005675D7" w:rsidRPr="002A0EE0" w14:paraId="78311D1C" w14:textId="77777777" w:rsidTr="0056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auto"/>
            <w:hideMark/>
          </w:tcPr>
          <w:p w14:paraId="424DF474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color w:val="auto"/>
                <w:lang w:eastAsia="en-GB"/>
              </w:rPr>
            </w:pPr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 Increase ICT dose </w:t>
            </w:r>
          </w:p>
        </w:tc>
        <w:tc>
          <w:tcPr>
            <w:tcW w:w="511" w:type="pct"/>
            <w:shd w:val="clear" w:color="auto" w:fill="auto"/>
            <w:hideMark/>
          </w:tcPr>
          <w:p w14:paraId="43A7ECA5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43 (57.3) </w:t>
            </w:r>
          </w:p>
        </w:tc>
        <w:tc>
          <w:tcPr>
            <w:tcW w:w="534" w:type="pct"/>
            <w:shd w:val="clear" w:color="auto" w:fill="auto"/>
            <w:hideMark/>
          </w:tcPr>
          <w:p w14:paraId="34C09F79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3 (23.1) </w:t>
            </w:r>
          </w:p>
        </w:tc>
        <w:tc>
          <w:tcPr>
            <w:tcW w:w="470" w:type="pct"/>
            <w:shd w:val="clear" w:color="auto" w:fill="auto"/>
            <w:hideMark/>
          </w:tcPr>
          <w:p w14:paraId="5CB2A5C5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11 (68.8)</w:t>
            </w:r>
          </w:p>
        </w:tc>
        <w:tc>
          <w:tcPr>
            <w:tcW w:w="577" w:type="pct"/>
            <w:shd w:val="clear" w:color="auto" w:fill="auto"/>
          </w:tcPr>
          <w:p w14:paraId="4EA8E9A1" w14:textId="695C7FA9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20 (87.0) </w:t>
            </w:r>
          </w:p>
        </w:tc>
        <w:tc>
          <w:tcPr>
            <w:tcW w:w="541" w:type="pct"/>
            <w:shd w:val="clear" w:color="auto" w:fill="auto"/>
            <w:hideMark/>
          </w:tcPr>
          <w:p w14:paraId="4C8E54FA" w14:textId="37A4F71D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23" w:type="pct"/>
            <w:shd w:val="clear" w:color="auto" w:fill="auto"/>
            <w:hideMark/>
          </w:tcPr>
          <w:p w14:paraId="0B5ECF91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4 (57.1) </w:t>
            </w:r>
          </w:p>
        </w:tc>
        <w:tc>
          <w:tcPr>
            <w:tcW w:w="566" w:type="pct"/>
            <w:shd w:val="clear" w:color="auto" w:fill="auto"/>
            <w:hideMark/>
          </w:tcPr>
          <w:p w14:paraId="4F4DB1DC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10" w:type="pct"/>
            <w:shd w:val="clear" w:color="auto" w:fill="auto"/>
            <w:hideMark/>
          </w:tcPr>
          <w:p w14:paraId="72AD29FF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5 (83.3) </w:t>
            </w:r>
          </w:p>
        </w:tc>
      </w:tr>
      <w:tr w:rsidR="005675D7" w:rsidRPr="002A0EE0" w14:paraId="31A579CB" w14:textId="77777777" w:rsidTr="005675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auto"/>
            <w:hideMark/>
          </w:tcPr>
          <w:p w14:paraId="0F36B695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color w:val="auto"/>
                <w:lang w:eastAsia="en-GB"/>
              </w:rPr>
            </w:pPr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 Decrease ICT dose </w:t>
            </w:r>
          </w:p>
        </w:tc>
        <w:tc>
          <w:tcPr>
            <w:tcW w:w="511" w:type="pct"/>
            <w:shd w:val="clear" w:color="auto" w:fill="auto"/>
            <w:hideMark/>
          </w:tcPr>
          <w:p w14:paraId="41072BE6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2 (2.7) </w:t>
            </w:r>
          </w:p>
        </w:tc>
        <w:tc>
          <w:tcPr>
            <w:tcW w:w="534" w:type="pct"/>
            <w:shd w:val="clear" w:color="auto" w:fill="auto"/>
            <w:hideMark/>
          </w:tcPr>
          <w:p w14:paraId="6FF44163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70" w:type="pct"/>
            <w:shd w:val="clear" w:color="auto" w:fill="auto"/>
            <w:hideMark/>
          </w:tcPr>
          <w:p w14:paraId="087D60AA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1 (6.3)</w:t>
            </w:r>
          </w:p>
        </w:tc>
        <w:tc>
          <w:tcPr>
            <w:tcW w:w="577" w:type="pct"/>
            <w:shd w:val="clear" w:color="auto" w:fill="auto"/>
          </w:tcPr>
          <w:p w14:paraId="40961EB7" w14:textId="1C9A683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 (4.3) </w:t>
            </w:r>
          </w:p>
        </w:tc>
        <w:tc>
          <w:tcPr>
            <w:tcW w:w="541" w:type="pct"/>
            <w:shd w:val="clear" w:color="auto" w:fill="auto"/>
            <w:hideMark/>
          </w:tcPr>
          <w:p w14:paraId="4CF20A3C" w14:textId="41179403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23" w:type="pct"/>
            <w:shd w:val="clear" w:color="auto" w:fill="auto"/>
            <w:hideMark/>
          </w:tcPr>
          <w:p w14:paraId="7C7F8DA3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66" w:type="pct"/>
            <w:shd w:val="clear" w:color="auto" w:fill="auto"/>
            <w:hideMark/>
          </w:tcPr>
          <w:p w14:paraId="4469B15B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10" w:type="pct"/>
            <w:shd w:val="clear" w:color="auto" w:fill="auto"/>
            <w:hideMark/>
          </w:tcPr>
          <w:p w14:paraId="25C5D5BD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</w:tr>
      <w:tr w:rsidR="005675D7" w:rsidRPr="002A0EE0" w14:paraId="1D1A63BA" w14:textId="77777777" w:rsidTr="0056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auto"/>
            <w:hideMark/>
          </w:tcPr>
          <w:p w14:paraId="343E3B30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color w:val="auto"/>
                <w:lang w:eastAsia="en-GB"/>
              </w:rPr>
            </w:pPr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 Switch to </w:t>
            </w:r>
            <w:proofErr w:type="gramStart"/>
            <w:r w:rsidRPr="002A0EE0">
              <w:rPr>
                <w:b w:val="0"/>
                <w:color w:val="auto"/>
                <w:kern w:val="24"/>
                <w:lang w:eastAsia="en-GB"/>
              </w:rPr>
              <w:t>other</w:t>
            </w:r>
            <w:proofErr w:type="gramEnd"/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ICT </w:t>
            </w:r>
          </w:p>
        </w:tc>
        <w:tc>
          <w:tcPr>
            <w:tcW w:w="511" w:type="pct"/>
            <w:shd w:val="clear" w:color="auto" w:fill="auto"/>
            <w:hideMark/>
          </w:tcPr>
          <w:p w14:paraId="52715D21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2 (2.7) </w:t>
            </w:r>
          </w:p>
        </w:tc>
        <w:tc>
          <w:tcPr>
            <w:tcW w:w="534" w:type="pct"/>
            <w:shd w:val="clear" w:color="auto" w:fill="auto"/>
            <w:hideMark/>
          </w:tcPr>
          <w:p w14:paraId="652E1226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70" w:type="pct"/>
            <w:shd w:val="clear" w:color="auto" w:fill="auto"/>
            <w:hideMark/>
          </w:tcPr>
          <w:p w14:paraId="337B381D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0 (0.0)</w:t>
            </w:r>
          </w:p>
        </w:tc>
        <w:tc>
          <w:tcPr>
            <w:tcW w:w="577" w:type="pct"/>
            <w:shd w:val="clear" w:color="auto" w:fill="auto"/>
          </w:tcPr>
          <w:p w14:paraId="6055A99F" w14:textId="6A9CB615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 (4.3) </w:t>
            </w:r>
          </w:p>
        </w:tc>
        <w:tc>
          <w:tcPr>
            <w:tcW w:w="541" w:type="pct"/>
            <w:shd w:val="clear" w:color="auto" w:fill="auto"/>
            <w:hideMark/>
          </w:tcPr>
          <w:p w14:paraId="19247120" w14:textId="5A253456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23" w:type="pct"/>
            <w:shd w:val="clear" w:color="auto" w:fill="auto"/>
            <w:hideMark/>
          </w:tcPr>
          <w:p w14:paraId="2614A222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66" w:type="pct"/>
            <w:shd w:val="clear" w:color="auto" w:fill="auto"/>
            <w:hideMark/>
          </w:tcPr>
          <w:p w14:paraId="009CAD19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10" w:type="pct"/>
            <w:shd w:val="clear" w:color="auto" w:fill="auto"/>
            <w:hideMark/>
          </w:tcPr>
          <w:p w14:paraId="15A95B25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 (16.7) </w:t>
            </w:r>
          </w:p>
        </w:tc>
      </w:tr>
      <w:tr w:rsidR="005675D7" w:rsidRPr="002A0EE0" w14:paraId="5E85DC0A" w14:textId="77777777" w:rsidTr="005675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auto"/>
            <w:hideMark/>
          </w:tcPr>
          <w:p w14:paraId="187087EA" w14:textId="77777777" w:rsidR="005675D7" w:rsidRPr="002A0EE0" w:rsidRDefault="005675D7" w:rsidP="005675D7">
            <w:pPr>
              <w:spacing w:before="120" w:after="120" w:line="240" w:lineRule="auto"/>
              <w:rPr>
                <w:b w:val="0"/>
                <w:color w:val="auto"/>
                <w:lang w:eastAsia="en-GB"/>
              </w:rPr>
            </w:pPr>
            <w:r w:rsidRPr="002A0EE0">
              <w:rPr>
                <w:b w:val="0"/>
                <w:color w:val="auto"/>
                <w:kern w:val="24"/>
                <w:lang w:eastAsia="en-GB"/>
              </w:rPr>
              <w:t xml:space="preserve">  Change ICT delivery </w:t>
            </w:r>
          </w:p>
        </w:tc>
        <w:tc>
          <w:tcPr>
            <w:tcW w:w="511" w:type="pct"/>
            <w:shd w:val="clear" w:color="auto" w:fill="auto"/>
            <w:hideMark/>
          </w:tcPr>
          <w:p w14:paraId="301AD3B8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 (1.3) </w:t>
            </w:r>
          </w:p>
        </w:tc>
        <w:tc>
          <w:tcPr>
            <w:tcW w:w="534" w:type="pct"/>
            <w:shd w:val="clear" w:color="auto" w:fill="auto"/>
            <w:hideMark/>
          </w:tcPr>
          <w:p w14:paraId="761E600D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70" w:type="pct"/>
            <w:shd w:val="clear" w:color="auto" w:fill="auto"/>
            <w:hideMark/>
          </w:tcPr>
          <w:p w14:paraId="0657DC7B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>0 (0.0)</w:t>
            </w:r>
          </w:p>
        </w:tc>
        <w:tc>
          <w:tcPr>
            <w:tcW w:w="577" w:type="pct"/>
            <w:shd w:val="clear" w:color="auto" w:fill="auto"/>
          </w:tcPr>
          <w:p w14:paraId="6402AEE5" w14:textId="19023500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1 (4.3) </w:t>
            </w:r>
          </w:p>
        </w:tc>
        <w:tc>
          <w:tcPr>
            <w:tcW w:w="541" w:type="pct"/>
            <w:shd w:val="clear" w:color="auto" w:fill="auto"/>
            <w:hideMark/>
          </w:tcPr>
          <w:p w14:paraId="73B21F64" w14:textId="5159258F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423" w:type="pct"/>
            <w:shd w:val="clear" w:color="auto" w:fill="auto"/>
            <w:hideMark/>
          </w:tcPr>
          <w:p w14:paraId="136B2ED3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66" w:type="pct"/>
            <w:shd w:val="clear" w:color="auto" w:fill="auto"/>
            <w:hideMark/>
          </w:tcPr>
          <w:p w14:paraId="11F012EC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  <w:tc>
          <w:tcPr>
            <w:tcW w:w="510" w:type="pct"/>
            <w:shd w:val="clear" w:color="auto" w:fill="auto"/>
            <w:hideMark/>
          </w:tcPr>
          <w:p w14:paraId="4212990A" w14:textId="77777777" w:rsidR="005675D7" w:rsidRPr="002A0EE0" w:rsidRDefault="005675D7" w:rsidP="005675D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2A0EE0">
              <w:rPr>
                <w:color w:val="auto"/>
                <w:kern w:val="24"/>
                <w:lang w:eastAsia="en-GB"/>
              </w:rPr>
              <w:t xml:space="preserve">0 (0.0) </w:t>
            </w:r>
          </w:p>
        </w:tc>
      </w:tr>
    </w:tbl>
    <w:p w14:paraId="5DC79676" w14:textId="04FC42A5" w:rsidR="008916B2" w:rsidRPr="002A0EE0" w:rsidRDefault="00B0723C" w:rsidP="002A0EE0">
      <w:pPr>
        <w:spacing w:after="0" w:line="240" w:lineRule="auto"/>
        <w:jc w:val="both"/>
        <w:rPr>
          <w:sz w:val="20"/>
          <w:szCs w:val="23"/>
        </w:rPr>
      </w:pPr>
      <w:r w:rsidRPr="002A0EE0">
        <w:rPr>
          <w:sz w:val="20"/>
          <w:szCs w:val="23"/>
        </w:rPr>
        <w:t>Patient numbers based on evaluable patients; numbers for ‘type of change’ are lower than ‘any change – yes’ because some (n=30) specific responses were missing. *P</w:t>
      </w:r>
      <w:r w:rsidR="00D4601A" w:rsidRPr="002A0EE0">
        <w:rPr>
          <w:sz w:val="20"/>
          <w:szCs w:val="23"/>
        </w:rPr>
        <w:t>atients with a history of receiving ICT restarted</w:t>
      </w:r>
      <w:r w:rsidRPr="002A0EE0">
        <w:rPr>
          <w:sz w:val="20"/>
          <w:szCs w:val="23"/>
        </w:rPr>
        <w:t xml:space="preserve"> on</w:t>
      </w:r>
      <w:r w:rsidR="00D4601A" w:rsidRPr="002A0EE0">
        <w:rPr>
          <w:sz w:val="20"/>
          <w:szCs w:val="23"/>
        </w:rPr>
        <w:t xml:space="preserve"> therapy.</w:t>
      </w:r>
      <w:r w:rsidRPr="002A0EE0">
        <w:rPr>
          <w:sz w:val="20"/>
          <w:szCs w:val="23"/>
        </w:rPr>
        <w:t xml:space="preserve"> </w:t>
      </w:r>
      <w:r w:rsidR="00D4601A" w:rsidRPr="002A0EE0">
        <w:rPr>
          <w:sz w:val="20"/>
          <w:szCs w:val="23"/>
        </w:rPr>
        <w:t>CN, chelation naïve; ICT, iron chelation therapy; MC, minimally chelated; MDS, myelodysplastic syndromes; MRI, magnetic resonance imaging; NTDT, non-transfusion-dependent thalassemia; TM, thalassemia major.</w:t>
      </w:r>
    </w:p>
    <w:p w14:paraId="3C51CBC2" w14:textId="4632646F" w:rsidR="0072794E" w:rsidRPr="002A0EE0" w:rsidRDefault="0072794E" w:rsidP="002A0EE0">
      <w:pPr>
        <w:spacing w:after="0" w:line="240" w:lineRule="auto"/>
        <w:jc w:val="both"/>
        <w:rPr>
          <w:sz w:val="20"/>
          <w:szCs w:val="23"/>
        </w:rPr>
      </w:pPr>
    </w:p>
    <w:p w14:paraId="1643BDCF" w14:textId="77777777" w:rsidR="0072794E" w:rsidRPr="002A0EE0" w:rsidRDefault="0072794E" w:rsidP="002A0EE0">
      <w:pPr>
        <w:spacing w:after="0" w:line="240" w:lineRule="auto"/>
        <w:jc w:val="both"/>
        <w:rPr>
          <w:sz w:val="20"/>
          <w:szCs w:val="23"/>
        </w:rPr>
        <w:sectPr w:rsidR="0072794E" w:rsidRPr="002A0EE0" w:rsidSect="007F42EB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8828BE" w14:textId="25071C2B" w:rsidR="00E01323" w:rsidRPr="002A0EE0" w:rsidRDefault="004D4310" w:rsidP="002A0EE0">
      <w:pPr>
        <w:spacing w:after="120" w:line="240" w:lineRule="auto"/>
        <w:jc w:val="both"/>
        <w:outlineLvl w:val="1"/>
        <w:rPr>
          <w:b/>
          <w:bCs/>
          <w:sz w:val="23"/>
          <w:szCs w:val="23"/>
        </w:rPr>
      </w:pPr>
      <w:r w:rsidRPr="002A0EE0">
        <w:rPr>
          <w:b/>
          <w:bCs/>
          <w:sz w:val="23"/>
          <w:szCs w:val="23"/>
        </w:rPr>
        <w:lastRenderedPageBreak/>
        <w:t>SDC</w:t>
      </w:r>
      <w:r w:rsidR="00E01323" w:rsidRPr="002A0EE0">
        <w:rPr>
          <w:b/>
          <w:bCs/>
          <w:sz w:val="23"/>
          <w:szCs w:val="23"/>
        </w:rPr>
        <w:t xml:space="preserve"> Figure 1. Proportion of investigators (95% confidence interval) ranking LIC, mT2*, serum ferritin or other as having most influence on treatment decisions concerning iron chelation</w:t>
      </w:r>
    </w:p>
    <w:p w14:paraId="4A8FFAB5" w14:textId="281F3E16" w:rsidR="00E01323" w:rsidRPr="002A0EE0" w:rsidRDefault="009B6F21" w:rsidP="002A0EE0">
      <w:pPr>
        <w:spacing w:after="120" w:line="240" w:lineRule="auto"/>
        <w:rPr>
          <w:b/>
          <w:bCs/>
          <w:sz w:val="23"/>
          <w:szCs w:val="23"/>
        </w:rPr>
      </w:pPr>
      <w:r w:rsidRPr="009B6F21">
        <w:drawing>
          <wp:inline distT="0" distB="0" distL="0" distR="0" wp14:anchorId="519D9940" wp14:editId="237FA715">
            <wp:extent cx="5727700" cy="351663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91CAFF" w14:textId="73C708DF" w:rsidR="00E01323" w:rsidRPr="002A0EE0" w:rsidRDefault="00E01323" w:rsidP="002A0EE0">
      <w:pPr>
        <w:spacing w:line="240" w:lineRule="auto"/>
        <w:jc w:val="both"/>
        <w:rPr>
          <w:rFonts w:eastAsia="SimSun"/>
          <w:sz w:val="20"/>
          <w:szCs w:val="20"/>
          <w:lang w:eastAsia="zh-CN"/>
        </w:rPr>
      </w:pPr>
      <w:r w:rsidRPr="002A0EE0">
        <w:rPr>
          <w:rFonts w:eastAsiaTheme="minorHAnsi"/>
          <w:bCs/>
          <w:sz w:val="20"/>
          <w:szCs w:val="20"/>
        </w:rPr>
        <w:t xml:space="preserve">LIC, liver iron concentration; MDS, myelodysplastic syndromes; mT2*, </w:t>
      </w:r>
      <w:r w:rsidRPr="002A0EE0">
        <w:rPr>
          <w:sz w:val="20"/>
          <w:szCs w:val="20"/>
        </w:rPr>
        <w:t>myocardial T2*</w:t>
      </w:r>
      <w:r w:rsidRPr="002A0EE0">
        <w:rPr>
          <w:rFonts w:eastAsiaTheme="minorHAnsi"/>
          <w:bCs/>
          <w:sz w:val="20"/>
          <w:szCs w:val="20"/>
        </w:rPr>
        <w:t>;</w:t>
      </w:r>
      <w:r w:rsidRPr="002A0EE0">
        <w:rPr>
          <w:rFonts w:eastAsiaTheme="minorHAnsi"/>
          <w:bCs/>
          <w:sz w:val="16"/>
          <w:szCs w:val="20"/>
        </w:rPr>
        <w:t xml:space="preserve"> </w:t>
      </w:r>
      <w:r w:rsidRPr="002A0EE0">
        <w:rPr>
          <w:rFonts w:eastAsiaTheme="minorHAnsi"/>
          <w:bCs/>
          <w:sz w:val="20"/>
          <w:szCs w:val="20"/>
        </w:rPr>
        <w:t xml:space="preserve">NTDT, </w:t>
      </w:r>
      <w:proofErr w:type="spellStart"/>
      <w:r w:rsidRPr="002A0EE0">
        <w:rPr>
          <w:rFonts w:eastAsiaTheme="minorHAnsi"/>
          <w:bCs/>
          <w:sz w:val="20"/>
          <w:szCs w:val="20"/>
        </w:rPr>
        <w:t>non</w:t>
      </w:r>
      <w:r w:rsidR="00546A79" w:rsidRPr="002A0EE0">
        <w:rPr>
          <w:rFonts w:eastAsiaTheme="minorHAnsi"/>
          <w:bCs/>
          <w:sz w:val="20"/>
          <w:szCs w:val="20"/>
        </w:rPr>
        <w:t>­</w:t>
      </w:r>
      <w:r w:rsidRPr="002A0EE0">
        <w:rPr>
          <w:rFonts w:eastAsiaTheme="minorHAnsi"/>
          <w:bCs/>
          <w:sz w:val="20"/>
          <w:szCs w:val="20"/>
        </w:rPr>
        <w:t>transfusion-dependent</w:t>
      </w:r>
      <w:proofErr w:type="spellEnd"/>
      <w:r w:rsidRPr="002A0EE0">
        <w:rPr>
          <w:rFonts w:eastAsiaTheme="minorHAnsi"/>
          <w:bCs/>
          <w:sz w:val="20"/>
          <w:szCs w:val="20"/>
        </w:rPr>
        <w:t xml:space="preserve"> thalassemia; TM,</w:t>
      </w:r>
      <w:r w:rsidRPr="002A0EE0">
        <w:rPr>
          <w:rFonts w:eastAsia="SimSun"/>
          <w:sz w:val="20"/>
          <w:szCs w:val="20"/>
          <w:lang w:eastAsia="zh-CN"/>
        </w:rPr>
        <w:t xml:space="preserve"> thalassemia major</w:t>
      </w:r>
      <w:r w:rsidR="00E5143D" w:rsidRPr="002A0EE0">
        <w:rPr>
          <w:rFonts w:eastAsia="SimSun"/>
          <w:sz w:val="20"/>
          <w:szCs w:val="20"/>
          <w:lang w:eastAsia="zh-CN"/>
        </w:rPr>
        <w:t>.</w:t>
      </w:r>
    </w:p>
    <w:p w14:paraId="31A38092" w14:textId="77777777" w:rsidR="00FD3B1C" w:rsidRPr="002A0EE0" w:rsidRDefault="00FD3B1C" w:rsidP="002A0EE0">
      <w:pPr>
        <w:spacing w:line="240" w:lineRule="auto"/>
      </w:pPr>
    </w:p>
    <w:sectPr w:rsidR="00FD3B1C" w:rsidRPr="002A0EE0" w:rsidSect="008916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97CB" w14:textId="77777777" w:rsidR="00B82142" w:rsidRDefault="00B82142" w:rsidP="00E5143D">
      <w:pPr>
        <w:spacing w:after="0" w:line="240" w:lineRule="auto"/>
      </w:pPr>
      <w:r>
        <w:separator/>
      </w:r>
    </w:p>
  </w:endnote>
  <w:endnote w:type="continuationSeparator" w:id="0">
    <w:p w14:paraId="6DDB89B4" w14:textId="77777777" w:rsidR="00B82142" w:rsidRDefault="00B82142" w:rsidP="00E5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75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E6839" w14:textId="726CC12B" w:rsidR="00E5143D" w:rsidRDefault="00E5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2B92B" w14:textId="77777777" w:rsidR="00E5143D" w:rsidRDefault="00E51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E7F2" w14:textId="77777777" w:rsidR="00B82142" w:rsidRDefault="00B82142" w:rsidP="00E5143D">
      <w:pPr>
        <w:spacing w:after="0" w:line="240" w:lineRule="auto"/>
      </w:pPr>
      <w:r>
        <w:separator/>
      </w:r>
    </w:p>
  </w:footnote>
  <w:footnote w:type="continuationSeparator" w:id="0">
    <w:p w14:paraId="4AE3F370" w14:textId="77777777" w:rsidR="00B82142" w:rsidRDefault="00B82142" w:rsidP="00E51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12"/>
    <w:multiLevelType w:val="hybridMultilevel"/>
    <w:tmpl w:val="1F70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C74"/>
    <w:multiLevelType w:val="hybridMultilevel"/>
    <w:tmpl w:val="9774B43E"/>
    <w:lvl w:ilvl="0" w:tplc="3B44E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14DA"/>
    <w:multiLevelType w:val="hybridMultilevel"/>
    <w:tmpl w:val="4210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12BF"/>
    <w:multiLevelType w:val="hybridMultilevel"/>
    <w:tmpl w:val="66AEB2FC"/>
    <w:lvl w:ilvl="0" w:tplc="3B44E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D5"/>
    <w:rsid w:val="0008215D"/>
    <w:rsid w:val="000B0D64"/>
    <w:rsid w:val="0013564B"/>
    <w:rsid w:val="00136CB3"/>
    <w:rsid w:val="00143A8A"/>
    <w:rsid w:val="00164761"/>
    <w:rsid w:val="00166853"/>
    <w:rsid w:val="00185ADB"/>
    <w:rsid w:val="001B056A"/>
    <w:rsid w:val="001C2856"/>
    <w:rsid w:val="0027199F"/>
    <w:rsid w:val="00281D99"/>
    <w:rsid w:val="002A0EE0"/>
    <w:rsid w:val="002F56D5"/>
    <w:rsid w:val="00327F21"/>
    <w:rsid w:val="00353793"/>
    <w:rsid w:val="00361908"/>
    <w:rsid w:val="0037095E"/>
    <w:rsid w:val="00394419"/>
    <w:rsid w:val="003A1529"/>
    <w:rsid w:val="003A7D6C"/>
    <w:rsid w:val="003B2BEB"/>
    <w:rsid w:val="003F3578"/>
    <w:rsid w:val="003F5304"/>
    <w:rsid w:val="00400553"/>
    <w:rsid w:val="004040A9"/>
    <w:rsid w:val="004265FD"/>
    <w:rsid w:val="00453175"/>
    <w:rsid w:val="0048638C"/>
    <w:rsid w:val="004978AB"/>
    <w:rsid w:val="004A4641"/>
    <w:rsid w:val="004B73F1"/>
    <w:rsid w:val="004D0C68"/>
    <w:rsid w:val="004D4310"/>
    <w:rsid w:val="004D6AD8"/>
    <w:rsid w:val="004E49D9"/>
    <w:rsid w:val="004F62A9"/>
    <w:rsid w:val="00515D38"/>
    <w:rsid w:val="005324B3"/>
    <w:rsid w:val="005406F4"/>
    <w:rsid w:val="00546A79"/>
    <w:rsid w:val="00561BE6"/>
    <w:rsid w:val="005675D7"/>
    <w:rsid w:val="005940A3"/>
    <w:rsid w:val="005C1F86"/>
    <w:rsid w:val="005E2C31"/>
    <w:rsid w:val="006160DB"/>
    <w:rsid w:val="006416AA"/>
    <w:rsid w:val="00653097"/>
    <w:rsid w:val="00672ADD"/>
    <w:rsid w:val="00690CFB"/>
    <w:rsid w:val="006A6D41"/>
    <w:rsid w:val="00701CDE"/>
    <w:rsid w:val="0072794E"/>
    <w:rsid w:val="007D7B4D"/>
    <w:rsid w:val="007F03D8"/>
    <w:rsid w:val="007F42EB"/>
    <w:rsid w:val="007F7BE4"/>
    <w:rsid w:val="008255FB"/>
    <w:rsid w:val="00880E7B"/>
    <w:rsid w:val="008852FE"/>
    <w:rsid w:val="008916B2"/>
    <w:rsid w:val="008A7C90"/>
    <w:rsid w:val="008C7D20"/>
    <w:rsid w:val="008D7098"/>
    <w:rsid w:val="008F7008"/>
    <w:rsid w:val="00924B33"/>
    <w:rsid w:val="009A16D7"/>
    <w:rsid w:val="009B6F21"/>
    <w:rsid w:val="009F6B3F"/>
    <w:rsid w:val="00A04381"/>
    <w:rsid w:val="00A160F7"/>
    <w:rsid w:val="00A17526"/>
    <w:rsid w:val="00A57AB9"/>
    <w:rsid w:val="00A642EF"/>
    <w:rsid w:val="00AD72FF"/>
    <w:rsid w:val="00B0034A"/>
    <w:rsid w:val="00B0723C"/>
    <w:rsid w:val="00B60D56"/>
    <w:rsid w:val="00B82142"/>
    <w:rsid w:val="00BC0679"/>
    <w:rsid w:val="00C01863"/>
    <w:rsid w:val="00C10CDF"/>
    <w:rsid w:val="00C112EE"/>
    <w:rsid w:val="00C2047A"/>
    <w:rsid w:val="00C3204D"/>
    <w:rsid w:val="00C36929"/>
    <w:rsid w:val="00CA2CF9"/>
    <w:rsid w:val="00D278FC"/>
    <w:rsid w:val="00D32794"/>
    <w:rsid w:val="00D40B16"/>
    <w:rsid w:val="00D4601A"/>
    <w:rsid w:val="00D754C0"/>
    <w:rsid w:val="00D765DB"/>
    <w:rsid w:val="00DA042D"/>
    <w:rsid w:val="00DA7BCB"/>
    <w:rsid w:val="00DE303A"/>
    <w:rsid w:val="00E01323"/>
    <w:rsid w:val="00E305F8"/>
    <w:rsid w:val="00E43E1E"/>
    <w:rsid w:val="00E5143D"/>
    <w:rsid w:val="00EA21B9"/>
    <w:rsid w:val="00EA7999"/>
    <w:rsid w:val="00EB3A82"/>
    <w:rsid w:val="00ED4AC8"/>
    <w:rsid w:val="00F12D47"/>
    <w:rsid w:val="00F17426"/>
    <w:rsid w:val="00F21402"/>
    <w:rsid w:val="00F46BDD"/>
    <w:rsid w:val="00F476AD"/>
    <w:rsid w:val="00F50E2B"/>
    <w:rsid w:val="00F55482"/>
    <w:rsid w:val="00F81AB7"/>
    <w:rsid w:val="00FC136F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0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6D5"/>
    <w:pPr>
      <w:spacing w:after="240" w:line="480" w:lineRule="auto"/>
    </w:pPr>
    <w:rPr>
      <w:rFonts w:ascii="Arial" w:eastAsia="MS Mincho" w:hAnsi="Arial" w:cs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3F5304"/>
    <w:pPr>
      <w:keepNext/>
      <w:keepLines/>
      <w:spacing w:before="120" w:after="120" w:line="360" w:lineRule="auto"/>
      <w:jc w:val="both"/>
      <w:outlineLvl w:val="0"/>
    </w:pPr>
    <w:rPr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F56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6D5"/>
    <w:rPr>
      <w:rFonts w:ascii="Arial" w:eastAsia="MS Mincho" w:hAnsi="Arial" w:cs="Arial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D5"/>
    <w:rPr>
      <w:rFonts w:ascii="Times New Roman" w:eastAsia="MS Mincho" w:hAnsi="Times New Roman" w:cs="Times New Roman"/>
      <w:sz w:val="18"/>
      <w:szCs w:val="1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F5304"/>
    <w:rPr>
      <w:rFonts w:ascii="Arial" w:eastAsia="MS Mincho" w:hAnsi="Arial" w:cs="Arial"/>
      <w:b/>
      <w:sz w:val="28"/>
      <w:szCs w:val="28"/>
      <w:lang w:eastAsia="ja-JP"/>
    </w:rPr>
  </w:style>
  <w:style w:type="paragraph" w:styleId="NormalWeb">
    <w:name w:val="Normal (Web)"/>
    <w:basedOn w:val="Normal"/>
    <w:uiPriority w:val="99"/>
    <w:rsid w:val="003F53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F5304"/>
    <w:pPr>
      <w:spacing w:after="0" w:line="240" w:lineRule="auto"/>
    </w:pPr>
    <w:rPr>
      <w:rFonts w:ascii="Helvetica" w:hAnsi="Helvetica" w:cs="Times New Roman"/>
      <w:sz w:val="23"/>
      <w:szCs w:val="23"/>
      <w:lang w:val="en-GB" w:eastAsia="en-GB"/>
    </w:rPr>
  </w:style>
  <w:style w:type="paragraph" w:customStyle="1" w:styleId="p2">
    <w:name w:val="p2"/>
    <w:basedOn w:val="Normal"/>
    <w:rsid w:val="003F5304"/>
    <w:pPr>
      <w:spacing w:after="0" w:line="240" w:lineRule="auto"/>
    </w:pPr>
    <w:rPr>
      <w:rFonts w:ascii="Helvetica" w:hAnsi="Helvetica" w:cs="Times New Roman"/>
      <w:sz w:val="15"/>
      <w:szCs w:val="15"/>
      <w:lang w:val="en-GB" w:eastAsia="en-GB"/>
    </w:rPr>
  </w:style>
  <w:style w:type="character" w:customStyle="1" w:styleId="s2">
    <w:name w:val="s2"/>
    <w:basedOn w:val="DefaultParagraphFont"/>
    <w:rsid w:val="003F5304"/>
    <w:rPr>
      <w:rFonts w:ascii="Helvetica" w:hAnsi="Helvetica" w:hint="default"/>
      <w:sz w:val="9"/>
      <w:szCs w:val="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A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A3"/>
    <w:rPr>
      <w:rFonts w:ascii="Arial" w:eastAsia="MS Mincho" w:hAnsi="Arial" w:cs="Arial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D278FC"/>
    <w:rPr>
      <w:rFonts w:ascii="Arial" w:eastAsia="MS Mincho" w:hAnsi="Arial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9F6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6B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5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3D"/>
    <w:rPr>
      <w:rFonts w:ascii="Arial" w:eastAsia="MS Mincho" w:hAnsi="Arial" w:cs="Arial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51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3D"/>
    <w:rPr>
      <w:rFonts w:ascii="Arial" w:eastAsia="MS Mincho" w:hAnsi="Arial" w:cs="Arial"/>
      <w:sz w:val="22"/>
      <w:szCs w:val="22"/>
      <w:lang w:val="en-US" w:eastAsia="ja-JP"/>
    </w:rPr>
  </w:style>
  <w:style w:type="table" w:customStyle="1" w:styleId="LightShading1">
    <w:name w:val="Light Shading1"/>
    <w:basedOn w:val="TableNormal"/>
    <w:uiPriority w:val="60"/>
    <w:rsid w:val="00D4601A"/>
    <w:rPr>
      <w:rFonts w:ascii="Calibri" w:eastAsia="Calibri" w:hAnsi="Calibri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</dc:creator>
  <cp:keywords/>
  <dc:description/>
  <cp:lastModifiedBy>Catherine Risebro</cp:lastModifiedBy>
  <cp:revision>2</cp:revision>
  <cp:lastPrinted>2018-05-10T13:39:00Z</cp:lastPrinted>
  <dcterms:created xsi:type="dcterms:W3CDTF">2019-01-30T14:52:00Z</dcterms:created>
  <dcterms:modified xsi:type="dcterms:W3CDTF">2019-01-30T14:52:00Z</dcterms:modified>
</cp:coreProperties>
</file>