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2DCD" w14:textId="572369A8" w:rsidR="00221709" w:rsidRPr="00BA3D3B" w:rsidRDefault="00C64568" w:rsidP="00C64568">
      <w:pPr>
        <w:spacing w:line="480" w:lineRule="auto"/>
        <w:jc w:val="both"/>
        <w:rPr>
          <w:rFonts w:cstheme="minorHAnsi"/>
          <w:b/>
          <w:sz w:val="20"/>
          <w:szCs w:val="20"/>
          <w:lang w:val="en-US"/>
        </w:rPr>
      </w:pPr>
      <w:r w:rsidRPr="00BA3D3B">
        <w:rPr>
          <w:rFonts w:cstheme="minorHAnsi"/>
          <w:b/>
          <w:sz w:val="20"/>
          <w:szCs w:val="20"/>
          <w:lang w:val="en-US"/>
        </w:rPr>
        <w:t>Supplementary material</w:t>
      </w:r>
    </w:p>
    <w:p w14:paraId="049948DF" w14:textId="1B54C11C" w:rsidR="00C64568" w:rsidRPr="00BA3D3B" w:rsidRDefault="00C64568" w:rsidP="00C64568">
      <w:pPr>
        <w:spacing w:line="480" w:lineRule="auto"/>
        <w:jc w:val="both"/>
        <w:rPr>
          <w:rFonts w:cstheme="minorHAnsi"/>
          <w:i/>
          <w:sz w:val="20"/>
          <w:szCs w:val="20"/>
          <w:lang w:val="en-US"/>
        </w:rPr>
      </w:pPr>
      <w:r w:rsidRPr="00BA3D3B">
        <w:rPr>
          <w:rFonts w:cstheme="minorHAnsi"/>
          <w:i/>
          <w:sz w:val="20"/>
          <w:szCs w:val="20"/>
          <w:lang w:val="en-US"/>
        </w:rPr>
        <w:t>Definitions of endpoints</w:t>
      </w:r>
    </w:p>
    <w:p w14:paraId="53CF75BA" w14:textId="77777777" w:rsidR="00C64568" w:rsidRPr="00BA3D3B" w:rsidRDefault="00C64568" w:rsidP="00C64568">
      <w:pPr>
        <w:spacing w:line="480" w:lineRule="auto"/>
        <w:jc w:val="both"/>
        <w:rPr>
          <w:rFonts w:cstheme="minorHAnsi"/>
          <w:sz w:val="20"/>
          <w:szCs w:val="20"/>
          <w:lang w:val="en-US"/>
        </w:rPr>
      </w:pPr>
      <w:r w:rsidRPr="00BA3D3B">
        <w:rPr>
          <w:rFonts w:cstheme="minorHAnsi"/>
          <w:sz w:val="20"/>
          <w:szCs w:val="20"/>
          <w:lang w:val="en-US"/>
        </w:rPr>
        <w:t>Progression-free survival (PFS) was defined as the time from diagnosis until relapse, progression or death as a result of any cause or for patients censored until the date of last follow-up; overall survival (OS) was defined as the time from diagnosis until death as a result of any cause or until the date of last follow-up for patients censored. Duration of complete response was defined as the time from the date of attainment of the first complete response to the date of relapse (then only for patients who achieved complete response and subsequently relapsed). Time to next treatment was defined as time from the end of primary treatment until the institution of the next therapy.</w:t>
      </w:r>
    </w:p>
    <w:p w14:paraId="58E43ADC" w14:textId="77777777" w:rsidR="00C64568" w:rsidRPr="00BA3D3B" w:rsidRDefault="00C64568" w:rsidP="00C64568">
      <w:pPr>
        <w:spacing w:line="480" w:lineRule="auto"/>
        <w:jc w:val="both"/>
        <w:rPr>
          <w:rFonts w:cstheme="minorHAnsi"/>
          <w:sz w:val="20"/>
          <w:szCs w:val="20"/>
          <w:lang w:val="en-US"/>
        </w:rPr>
      </w:pPr>
      <w:r w:rsidRPr="00BA3D3B">
        <w:rPr>
          <w:rFonts w:cstheme="minorHAnsi"/>
          <w:sz w:val="20"/>
          <w:szCs w:val="20"/>
          <w:lang w:val="en-US"/>
        </w:rPr>
        <w:t xml:space="preserve">Early and late progression of disease (POD) was defined as relapse or progression within and after 24 months of lymphoma diagnosis, respectively. </w:t>
      </w:r>
    </w:p>
    <w:p w14:paraId="2F4ECECE" w14:textId="1B56339B" w:rsidR="00C64568" w:rsidRPr="00BA3D3B" w:rsidRDefault="00C64568" w:rsidP="00C64568">
      <w:pPr>
        <w:spacing w:line="480" w:lineRule="auto"/>
        <w:jc w:val="both"/>
        <w:rPr>
          <w:rFonts w:cstheme="minorHAnsi"/>
          <w:sz w:val="20"/>
          <w:szCs w:val="20"/>
          <w:lang w:val="en-US"/>
        </w:rPr>
      </w:pPr>
      <w:r w:rsidRPr="00BA3D3B">
        <w:rPr>
          <w:rFonts w:cstheme="minorHAnsi"/>
          <w:sz w:val="20"/>
          <w:szCs w:val="20"/>
          <w:lang w:val="en-US"/>
        </w:rPr>
        <w:t>OS from relapse/progression (OS-2) was de</w:t>
      </w:r>
      <w:r w:rsidRPr="00BA3D3B">
        <w:rPr>
          <w:rFonts w:cstheme="minorHAnsi"/>
          <w:sz w:val="20"/>
          <w:szCs w:val="20"/>
        </w:rPr>
        <w:t>ﬁ</w:t>
      </w:r>
      <w:proofErr w:type="spellStart"/>
      <w:r w:rsidRPr="00BA3D3B">
        <w:rPr>
          <w:rFonts w:cstheme="minorHAnsi"/>
          <w:sz w:val="20"/>
          <w:szCs w:val="20"/>
          <w:lang w:val="en-US"/>
        </w:rPr>
        <w:t>ned</w:t>
      </w:r>
      <w:proofErr w:type="spellEnd"/>
      <w:r w:rsidRPr="00BA3D3B">
        <w:rPr>
          <w:rFonts w:cstheme="minorHAnsi"/>
          <w:sz w:val="20"/>
          <w:szCs w:val="20"/>
          <w:lang w:val="en-US"/>
        </w:rPr>
        <w:t xml:space="preserve"> as time from POD until death due any cause.</w:t>
      </w:r>
    </w:p>
    <w:p w14:paraId="4EEC083F" w14:textId="77777777" w:rsidR="006361CE" w:rsidRDefault="006361CE">
      <w:pPr>
        <w:rPr>
          <w:rFonts w:cstheme="minorHAnsi"/>
          <w:b/>
          <w:sz w:val="20"/>
          <w:szCs w:val="20"/>
          <w:lang w:val="en-US"/>
        </w:rPr>
      </w:pPr>
      <w:r>
        <w:rPr>
          <w:rFonts w:cstheme="minorHAnsi"/>
          <w:b/>
          <w:sz w:val="20"/>
          <w:szCs w:val="20"/>
          <w:lang w:val="en-US"/>
        </w:rPr>
        <w:br w:type="page"/>
      </w:r>
    </w:p>
    <w:p w14:paraId="7B6388E0" w14:textId="42DDB816" w:rsidR="00BA3D3B" w:rsidRPr="00BA3D3B" w:rsidRDefault="00BA3D3B" w:rsidP="00C64568">
      <w:pPr>
        <w:spacing w:line="480" w:lineRule="auto"/>
        <w:jc w:val="both"/>
        <w:rPr>
          <w:rFonts w:cstheme="minorHAnsi"/>
          <w:b/>
          <w:sz w:val="20"/>
          <w:szCs w:val="20"/>
          <w:lang w:val="en-US"/>
        </w:rPr>
      </w:pPr>
      <w:r w:rsidRPr="00BA3D3B">
        <w:rPr>
          <w:rFonts w:cstheme="minorHAnsi"/>
          <w:b/>
          <w:sz w:val="20"/>
          <w:szCs w:val="20"/>
          <w:lang w:val="en-US"/>
        </w:rPr>
        <w:lastRenderedPageBreak/>
        <w:t>Supplementary figures</w:t>
      </w:r>
    </w:p>
    <w:p w14:paraId="275955B8" w14:textId="50053413" w:rsidR="00BA3D3B" w:rsidRDefault="00BA3D3B" w:rsidP="00BA3D3B">
      <w:pPr>
        <w:spacing w:line="480" w:lineRule="auto"/>
        <w:rPr>
          <w:rFonts w:cstheme="minorHAnsi"/>
          <w:color w:val="000000" w:themeColor="text1"/>
          <w:sz w:val="20"/>
          <w:szCs w:val="20"/>
          <w:lang w:val="en-GB"/>
        </w:rPr>
      </w:pPr>
      <w:r w:rsidRPr="00BA3D3B">
        <w:rPr>
          <w:rFonts w:cstheme="minorHAnsi"/>
          <w:bCs/>
          <w:color w:val="000000" w:themeColor="text1"/>
          <w:sz w:val="20"/>
          <w:szCs w:val="20"/>
          <w:lang w:val="en-GB"/>
        </w:rPr>
        <w:t>Figure S1.</w:t>
      </w:r>
      <w:r w:rsidRPr="00BA3D3B">
        <w:rPr>
          <w:rFonts w:cstheme="minorHAnsi"/>
          <w:color w:val="000000" w:themeColor="text1"/>
          <w:sz w:val="20"/>
          <w:szCs w:val="20"/>
          <w:lang w:val="en-GB"/>
        </w:rPr>
        <w:t xml:space="preserve"> Comparison of progression-free survival of 14 patients with </w:t>
      </w:r>
      <w:proofErr w:type="spellStart"/>
      <w:r w:rsidRPr="00BA3D3B">
        <w:rPr>
          <w:rFonts w:cstheme="minorHAnsi"/>
          <w:color w:val="000000" w:themeColor="text1"/>
          <w:sz w:val="20"/>
          <w:szCs w:val="20"/>
          <w:lang w:val="en-GB"/>
        </w:rPr>
        <w:t>blastoid</w:t>
      </w:r>
      <w:proofErr w:type="spellEnd"/>
      <w:r w:rsidRPr="00BA3D3B">
        <w:rPr>
          <w:rFonts w:cstheme="minorHAnsi"/>
          <w:color w:val="000000" w:themeColor="text1"/>
          <w:sz w:val="20"/>
          <w:szCs w:val="20"/>
          <w:lang w:val="en-GB"/>
        </w:rPr>
        <w:t>/pleomorphic cytology in MALT mantle cell lymphoma and 18 patients in classic mantle cell lymphoma.</w:t>
      </w:r>
    </w:p>
    <w:p w14:paraId="72AB98E9" w14:textId="2D50DFEC" w:rsidR="006361CE" w:rsidRPr="00BA3D3B" w:rsidRDefault="006361CE" w:rsidP="00BA3D3B">
      <w:pPr>
        <w:spacing w:line="480" w:lineRule="auto"/>
        <w:rPr>
          <w:rFonts w:cstheme="minorHAnsi"/>
          <w:b/>
          <w:bCs/>
          <w:color w:val="000000" w:themeColor="text1"/>
          <w:sz w:val="20"/>
          <w:szCs w:val="20"/>
          <w:lang w:val="en-GB"/>
        </w:rPr>
      </w:pPr>
      <w:r>
        <w:rPr>
          <w:rFonts w:cstheme="minorHAnsi"/>
          <w:noProof/>
          <w:color w:val="000000" w:themeColor="text1"/>
          <w:sz w:val="20"/>
          <w:szCs w:val="20"/>
          <w:lang w:val="en-GB"/>
        </w:rPr>
        <w:drawing>
          <wp:inline distT="0" distB="0" distL="0" distR="0" wp14:anchorId="7D4FA167" wp14:editId="7AD08A26">
            <wp:extent cx="5876925" cy="400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4000500"/>
                    </a:xfrm>
                    <a:prstGeom prst="rect">
                      <a:avLst/>
                    </a:prstGeom>
                    <a:noFill/>
                    <a:ln>
                      <a:noFill/>
                    </a:ln>
                  </pic:spPr>
                </pic:pic>
              </a:graphicData>
            </a:graphic>
          </wp:inline>
        </w:drawing>
      </w:r>
    </w:p>
    <w:p w14:paraId="0F73F1E3" w14:textId="12AB2DFD" w:rsidR="006361CE" w:rsidRDefault="006361CE">
      <w:pPr>
        <w:rPr>
          <w:rFonts w:cstheme="minorHAnsi"/>
          <w:bCs/>
          <w:color w:val="000000" w:themeColor="text1"/>
          <w:sz w:val="20"/>
          <w:szCs w:val="20"/>
          <w:lang w:val="en-GB"/>
        </w:rPr>
      </w:pPr>
      <w:r>
        <w:rPr>
          <w:rFonts w:cstheme="minorHAnsi"/>
          <w:bCs/>
          <w:color w:val="000000" w:themeColor="text1"/>
          <w:sz w:val="20"/>
          <w:szCs w:val="20"/>
          <w:lang w:val="en-GB"/>
        </w:rPr>
        <w:br w:type="page"/>
      </w:r>
    </w:p>
    <w:p w14:paraId="4C1000CD" w14:textId="4128CE9D" w:rsidR="00BA3D3B" w:rsidRDefault="006361CE" w:rsidP="00BA3D3B">
      <w:pPr>
        <w:spacing w:line="480" w:lineRule="auto"/>
        <w:jc w:val="both"/>
        <w:rPr>
          <w:rFonts w:cstheme="minorHAnsi"/>
          <w:b/>
          <w:color w:val="000000" w:themeColor="text1"/>
          <w:sz w:val="20"/>
          <w:szCs w:val="20"/>
          <w:lang w:val="en-GB"/>
        </w:rPr>
      </w:pPr>
      <w:r w:rsidRPr="006361CE">
        <w:rPr>
          <w:rFonts w:cstheme="minorHAnsi"/>
          <w:b/>
          <w:color w:val="000000" w:themeColor="text1"/>
          <w:sz w:val="20"/>
          <w:szCs w:val="20"/>
          <w:lang w:val="en-GB"/>
        </w:rPr>
        <w:lastRenderedPageBreak/>
        <w:t>Supplementary Tables</w:t>
      </w:r>
    </w:p>
    <w:p w14:paraId="2E94F818" w14:textId="77777777" w:rsidR="00A23433" w:rsidRPr="00BA3D3B" w:rsidRDefault="00A23433" w:rsidP="00A23433">
      <w:pPr>
        <w:spacing w:line="480" w:lineRule="auto"/>
        <w:rPr>
          <w:rFonts w:cstheme="minorHAnsi"/>
          <w:bCs/>
          <w:color w:val="000000" w:themeColor="text1"/>
          <w:sz w:val="20"/>
          <w:szCs w:val="20"/>
          <w:lang w:val="en-GB"/>
        </w:rPr>
      </w:pPr>
      <w:r w:rsidRPr="00BA3D3B">
        <w:rPr>
          <w:rFonts w:cstheme="minorHAnsi"/>
          <w:bCs/>
          <w:color w:val="000000" w:themeColor="text1"/>
          <w:sz w:val="20"/>
          <w:szCs w:val="20"/>
          <w:lang w:val="en-GB"/>
        </w:rPr>
        <w:t>Table S1.</w:t>
      </w:r>
      <w:r w:rsidRPr="00BA3D3B">
        <w:rPr>
          <w:rFonts w:cstheme="minorHAnsi"/>
          <w:b/>
          <w:bCs/>
          <w:color w:val="000000" w:themeColor="text1"/>
          <w:sz w:val="20"/>
          <w:szCs w:val="20"/>
          <w:lang w:val="en-GB"/>
        </w:rPr>
        <w:t xml:space="preserve"> </w:t>
      </w:r>
      <w:r w:rsidRPr="00BA3D3B">
        <w:rPr>
          <w:rFonts w:cstheme="minorHAnsi"/>
          <w:bCs/>
          <w:color w:val="000000" w:themeColor="text1"/>
          <w:sz w:val="20"/>
          <w:szCs w:val="20"/>
          <w:lang w:val="en-GB"/>
        </w:rPr>
        <w:t>Histological and molecular characteristics of 127 patients with MALT mantle cell lymphoma.</w:t>
      </w:r>
    </w:p>
    <w:tbl>
      <w:tblPr>
        <w:tblStyle w:val="LightGrid"/>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C0" w:firstRow="0" w:lastRow="1" w:firstColumn="1" w:lastColumn="0" w:noHBand="1" w:noVBand="1"/>
      </w:tblPr>
      <w:tblGrid>
        <w:gridCol w:w="2785"/>
        <w:gridCol w:w="2185"/>
        <w:gridCol w:w="1028"/>
        <w:gridCol w:w="915"/>
      </w:tblGrid>
      <w:tr w:rsidR="00A23433" w:rsidRPr="00BA3D3B" w14:paraId="0B372D44"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4970" w:type="dxa"/>
            <w:gridSpan w:val="2"/>
            <w:shd w:val="clear" w:color="auto" w:fill="F2F2F2" w:themeFill="background1" w:themeFillShade="F2"/>
            <w:hideMark/>
          </w:tcPr>
          <w:p w14:paraId="23FE74AE" w14:textId="77777777" w:rsidR="00A23433" w:rsidRPr="00BA3D3B" w:rsidRDefault="00A23433" w:rsidP="00922958">
            <w:pPr>
              <w:spacing w:line="360" w:lineRule="auto"/>
              <w:rPr>
                <w:rFonts w:asciiTheme="minorHAnsi" w:hAnsiTheme="minorHAnsi" w:cstheme="minorHAnsi"/>
                <w:bCs w:val="0"/>
                <w:color w:val="000000" w:themeColor="text1"/>
                <w:sz w:val="20"/>
                <w:szCs w:val="20"/>
                <w:lang w:val="en-GB"/>
              </w:rPr>
            </w:pPr>
            <w:r w:rsidRPr="00BA3D3B">
              <w:rPr>
                <w:rFonts w:asciiTheme="minorHAnsi" w:hAnsiTheme="minorHAnsi" w:cstheme="minorHAnsi"/>
                <w:color w:val="000000" w:themeColor="text1"/>
                <w:sz w:val="20"/>
                <w:szCs w:val="20"/>
                <w:lang w:val="en-GB"/>
              </w:rPr>
              <w:t>Parameter</w:t>
            </w:r>
          </w:p>
        </w:tc>
        <w:tc>
          <w:tcPr>
            <w:tcW w:w="1028" w:type="dxa"/>
            <w:shd w:val="clear" w:color="auto" w:fill="FFFFFF" w:themeFill="background1"/>
            <w:hideMark/>
          </w:tcPr>
          <w:p w14:paraId="73CF0762"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n</w:t>
            </w:r>
          </w:p>
        </w:tc>
        <w:tc>
          <w:tcPr>
            <w:tcW w:w="915" w:type="dxa"/>
            <w:shd w:val="clear" w:color="auto" w:fill="FFFFFF" w:themeFill="background1"/>
            <w:hideMark/>
          </w:tcPr>
          <w:p w14:paraId="685B2213"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sidRPr="00BA3D3B">
              <w:rPr>
                <w:rFonts w:cstheme="minorHAnsi"/>
                <w:b/>
                <w:bCs/>
                <w:color w:val="000000" w:themeColor="text1"/>
                <w:sz w:val="20"/>
                <w:szCs w:val="20"/>
                <w:lang w:val="en-GB"/>
              </w:rPr>
              <w:t>%</w:t>
            </w:r>
          </w:p>
        </w:tc>
      </w:tr>
      <w:tr w:rsidR="00A23433" w:rsidRPr="00BA3D3B" w14:paraId="5135760A"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2785" w:type="dxa"/>
            <w:vMerge w:val="restart"/>
            <w:shd w:val="clear" w:color="auto" w:fill="F2F2F2" w:themeFill="background1" w:themeFillShade="F2"/>
            <w:hideMark/>
          </w:tcPr>
          <w:p w14:paraId="5ED02E91" w14:textId="77777777" w:rsidR="00A23433" w:rsidRPr="00BA3D3B" w:rsidRDefault="00A23433" w:rsidP="00922958">
            <w:pPr>
              <w:spacing w:line="360" w:lineRule="auto"/>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color w:val="000000" w:themeColor="text1"/>
                <w:sz w:val="20"/>
                <w:szCs w:val="20"/>
                <w:lang w:val="en-GB"/>
              </w:rPr>
              <w:t>Cyclin D1</w:t>
            </w:r>
          </w:p>
        </w:tc>
        <w:tc>
          <w:tcPr>
            <w:tcW w:w="2185" w:type="dxa"/>
            <w:shd w:val="clear" w:color="auto" w:fill="F2F2F2" w:themeFill="background1" w:themeFillShade="F2"/>
            <w:vAlign w:val="center"/>
            <w:hideMark/>
          </w:tcPr>
          <w:p w14:paraId="7397589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Negative</w:t>
            </w:r>
          </w:p>
        </w:tc>
        <w:tc>
          <w:tcPr>
            <w:tcW w:w="1028" w:type="dxa"/>
            <w:shd w:val="clear" w:color="auto" w:fill="FFFFFF" w:themeFill="background1"/>
            <w:vAlign w:val="center"/>
            <w:hideMark/>
          </w:tcPr>
          <w:p w14:paraId="102EE351"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4</w:t>
            </w:r>
          </w:p>
        </w:tc>
        <w:tc>
          <w:tcPr>
            <w:tcW w:w="915" w:type="dxa"/>
            <w:shd w:val="clear" w:color="auto" w:fill="FFFFFF" w:themeFill="background1"/>
            <w:vAlign w:val="center"/>
            <w:hideMark/>
          </w:tcPr>
          <w:p w14:paraId="71D3461B"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3</w:t>
            </w:r>
          </w:p>
        </w:tc>
      </w:tr>
      <w:tr w:rsidR="00A23433" w:rsidRPr="00BA3D3B" w14:paraId="1297F27B"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0AFE3DC5"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569463C4"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Positive</w:t>
            </w:r>
          </w:p>
        </w:tc>
        <w:tc>
          <w:tcPr>
            <w:tcW w:w="1028" w:type="dxa"/>
            <w:shd w:val="clear" w:color="auto" w:fill="FFFFFF" w:themeFill="background1"/>
            <w:vAlign w:val="center"/>
            <w:hideMark/>
          </w:tcPr>
          <w:p w14:paraId="15C42EB2"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122</w:t>
            </w:r>
          </w:p>
        </w:tc>
        <w:tc>
          <w:tcPr>
            <w:tcW w:w="915" w:type="dxa"/>
            <w:shd w:val="clear" w:color="auto" w:fill="FFFFFF" w:themeFill="background1"/>
            <w:vAlign w:val="center"/>
            <w:hideMark/>
          </w:tcPr>
          <w:p w14:paraId="224029FF"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97</w:t>
            </w:r>
          </w:p>
        </w:tc>
      </w:tr>
      <w:tr w:rsidR="00A23433" w:rsidRPr="00BA3D3B" w14:paraId="2F415AC5"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6A3E202A"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6C64D00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Missing</w:t>
            </w:r>
          </w:p>
        </w:tc>
        <w:tc>
          <w:tcPr>
            <w:tcW w:w="1028" w:type="dxa"/>
            <w:shd w:val="clear" w:color="auto" w:fill="FFFFFF" w:themeFill="background1"/>
            <w:vAlign w:val="center"/>
            <w:hideMark/>
          </w:tcPr>
          <w:p w14:paraId="728DCEDF"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w:t>
            </w:r>
          </w:p>
        </w:tc>
        <w:tc>
          <w:tcPr>
            <w:tcW w:w="915" w:type="dxa"/>
            <w:shd w:val="clear" w:color="auto" w:fill="FFFFFF" w:themeFill="background1"/>
            <w:vAlign w:val="center"/>
          </w:tcPr>
          <w:p w14:paraId="4546268A"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p>
        </w:tc>
      </w:tr>
      <w:tr w:rsidR="00A23433" w:rsidRPr="00BA3D3B" w14:paraId="48108C6D"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2785" w:type="dxa"/>
            <w:vMerge w:val="restart"/>
            <w:shd w:val="clear" w:color="auto" w:fill="F2F2F2" w:themeFill="background1" w:themeFillShade="F2"/>
            <w:hideMark/>
          </w:tcPr>
          <w:p w14:paraId="7943FAD9" w14:textId="77777777" w:rsidR="00A23433" w:rsidRPr="0085098C" w:rsidRDefault="00A23433" w:rsidP="00922958">
            <w:pPr>
              <w:spacing w:line="360" w:lineRule="auto"/>
              <w:rPr>
                <w:rFonts w:asciiTheme="minorHAnsi" w:hAnsiTheme="minorHAnsi" w:cstheme="minorHAnsi"/>
                <w:b w:val="0"/>
                <w:color w:val="000000" w:themeColor="text1"/>
                <w:sz w:val="20"/>
                <w:szCs w:val="20"/>
                <w:lang w:val="en-GB"/>
              </w:rPr>
            </w:pPr>
            <w:r w:rsidRPr="00BA3D3B">
              <w:rPr>
                <w:rFonts w:asciiTheme="minorHAnsi" w:hAnsiTheme="minorHAnsi" w:cstheme="minorHAnsi"/>
                <w:b w:val="0"/>
                <w:color w:val="000000" w:themeColor="text1"/>
                <w:sz w:val="20"/>
                <w:szCs w:val="20"/>
                <w:lang w:val="en-GB"/>
              </w:rPr>
              <w:t>CD5</w:t>
            </w:r>
          </w:p>
        </w:tc>
        <w:tc>
          <w:tcPr>
            <w:tcW w:w="2185" w:type="dxa"/>
            <w:shd w:val="clear" w:color="auto" w:fill="F2F2F2" w:themeFill="background1" w:themeFillShade="F2"/>
            <w:vAlign w:val="center"/>
            <w:hideMark/>
          </w:tcPr>
          <w:p w14:paraId="3FFB5B61"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Negative</w:t>
            </w:r>
          </w:p>
        </w:tc>
        <w:tc>
          <w:tcPr>
            <w:tcW w:w="1028" w:type="dxa"/>
            <w:shd w:val="clear" w:color="auto" w:fill="FFFFFF" w:themeFill="background1"/>
            <w:vAlign w:val="center"/>
            <w:hideMark/>
          </w:tcPr>
          <w:p w14:paraId="28ED7E84"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14</w:t>
            </w:r>
          </w:p>
        </w:tc>
        <w:tc>
          <w:tcPr>
            <w:tcW w:w="915" w:type="dxa"/>
            <w:shd w:val="clear" w:color="auto" w:fill="FFFFFF" w:themeFill="background1"/>
            <w:vAlign w:val="center"/>
            <w:hideMark/>
          </w:tcPr>
          <w:p w14:paraId="3A1B6578"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11</w:t>
            </w:r>
          </w:p>
        </w:tc>
      </w:tr>
      <w:tr w:rsidR="00A23433" w:rsidRPr="00BA3D3B" w14:paraId="65C8D648"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3DE817A7"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0BE02448"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Positive</w:t>
            </w:r>
          </w:p>
        </w:tc>
        <w:tc>
          <w:tcPr>
            <w:tcW w:w="1028" w:type="dxa"/>
            <w:shd w:val="clear" w:color="auto" w:fill="FFFFFF" w:themeFill="background1"/>
            <w:vAlign w:val="center"/>
            <w:hideMark/>
          </w:tcPr>
          <w:p w14:paraId="30DCA3FE"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112</w:t>
            </w:r>
          </w:p>
        </w:tc>
        <w:tc>
          <w:tcPr>
            <w:tcW w:w="915" w:type="dxa"/>
            <w:shd w:val="clear" w:color="auto" w:fill="FFFFFF" w:themeFill="background1"/>
            <w:vAlign w:val="center"/>
            <w:hideMark/>
          </w:tcPr>
          <w:p w14:paraId="1B8C05D7"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89</w:t>
            </w:r>
          </w:p>
        </w:tc>
      </w:tr>
      <w:tr w:rsidR="00A23433" w:rsidRPr="00BA3D3B" w14:paraId="05F99C02"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64D16571"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502D7F5C"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Missing</w:t>
            </w:r>
          </w:p>
        </w:tc>
        <w:tc>
          <w:tcPr>
            <w:tcW w:w="1028" w:type="dxa"/>
            <w:shd w:val="clear" w:color="auto" w:fill="FFFFFF" w:themeFill="background1"/>
            <w:vAlign w:val="center"/>
            <w:hideMark/>
          </w:tcPr>
          <w:p w14:paraId="7C7BC80E"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w:t>
            </w:r>
          </w:p>
        </w:tc>
        <w:tc>
          <w:tcPr>
            <w:tcW w:w="915" w:type="dxa"/>
            <w:shd w:val="clear" w:color="auto" w:fill="FFFFFF" w:themeFill="background1"/>
            <w:vAlign w:val="center"/>
          </w:tcPr>
          <w:p w14:paraId="33B6C6E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p>
        </w:tc>
      </w:tr>
      <w:tr w:rsidR="00A23433" w:rsidRPr="00BA3D3B" w14:paraId="390AD9DF"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2785" w:type="dxa"/>
            <w:vMerge w:val="restart"/>
            <w:shd w:val="clear" w:color="auto" w:fill="F2F2F2" w:themeFill="background1" w:themeFillShade="F2"/>
            <w:hideMark/>
          </w:tcPr>
          <w:p w14:paraId="53E2B784" w14:textId="77777777" w:rsidR="00A23433" w:rsidRPr="00BA3D3B" w:rsidRDefault="00A23433" w:rsidP="00922958">
            <w:pPr>
              <w:spacing w:line="360" w:lineRule="auto"/>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color w:val="000000" w:themeColor="text1"/>
                <w:sz w:val="20"/>
                <w:szCs w:val="20"/>
                <w:lang w:val="en-GB"/>
              </w:rPr>
              <w:t>SOX11</w:t>
            </w:r>
          </w:p>
        </w:tc>
        <w:tc>
          <w:tcPr>
            <w:tcW w:w="2185" w:type="dxa"/>
            <w:shd w:val="clear" w:color="auto" w:fill="F2F2F2" w:themeFill="background1" w:themeFillShade="F2"/>
            <w:vAlign w:val="center"/>
            <w:hideMark/>
          </w:tcPr>
          <w:p w14:paraId="3BA7250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Negative</w:t>
            </w:r>
          </w:p>
        </w:tc>
        <w:tc>
          <w:tcPr>
            <w:tcW w:w="1028" w:type="dxa"/>
            <w:shd w:val="clear" w:color="auto" w:fill="FFFFFF" w:themeFill="background1"/>
            <w:vAlign w:val="center"/>
            <w:hideMark/>
          </w:tcPr>
          <w:p w14:paraId="16449B32"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0</w:t>
            </w:r>
          </w:p>
        </w:tc>
        <w:tc>
          <w:tcPr>
            <w:tcW w:w="915" w:type="dxa"/>
            <w:shd w:val="clear" w:color="auto" w:fill="FFFFFF" w:themeFill="background1"/>
            <w:vAlign w:val="center"/>
            <w:hideMark/>
          </w:tcPr>
          <w:p w14:paraId="6102873B"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0</w:t>
            </w:r>
          </w:p>
        </w:tc>
      </w:tr>
      <w:tr w:rsidR="00A23433" w:rsidRPr="00BA3D3B" w14:paraId="01ECE5DC"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70550804"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092170A6"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Positive</w:t>
            </w:r>
          </w:p>
        </w:tc>
        <w:tc>
          <w:tcPr>
            <w:tcW w:w="1028" w:type="dxa"/>
            <w:shd w:val="clear" w:color="auto" w:fill="FFFFFF" w:themeFill="background1"/>
            <w:vAlign w:val="center"/>
            <w:hideMark/>
          </w:tcPr>
          <w:p w14:paraId="62EB590F"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21</w:t>
            </w:r>
          </w:p>
        </w:tc>
        <w:tc>
          <w:tcPr>
            <w:tcW w:w="915" w:type="dxa"/>
            <w:shd w:val="clear" w:color="auto" w:fill="FFFFFF" w:themeFill="background1"/>
            <w:vAlign w:val="center"/>
            <w:hideMark/>
          </w:tcPr>
          <w:p w14:paraId="79C47C9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100</w:t>
            </w:r>
          </w:p>
        </w:tc>
      </w:tr>
      <w:tr w:rsidR="00A23433" w:rsidRPr="00BA3D3B" w14:paraId="75E39FAB"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783AC82A"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021DE9A7"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Missing</w:t>
            </w:r>
          </w:p>
        </w:tc>
        <w:tc>
          <w:tcPr>
            <w:tcW w:w="1028" w:type="dxa"/>
            <w:shd w:val="clear" w:color="auto" w:fill="FFFFFF" w:themeFill="background1"/>
            <w:vAlign w:val="center"/>
            <w:hideMark/>
          </w:tcPr>
          <w:p w14:paraId="50994F8F"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106</w:t>
            </w:r>
          </w:p>
        </w:tc>
        <w:tc>
          <w:tcPr>
            <w:tcW w:w="915" w:type="dxa"/>
            <w:shd w:val="clear" w:color="auto" w:fill="FFFFFF" w:themeFill="background1"/>
            <w:vAlign w:val="center"/>
          </w:tcPr>
          <w:p w14:paraId="248DFB04"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strike/>
                <w:color w:val="000000" w:themeColor="text1"/>
                <w:sz w:val="20"/>
                <w:szCs w:val="20"/>
                <w:lang w:val="en-GB"/>
              </w:rPr>
            </w:pPr>
          </w:p>
        </w:tc>
      </w:tr>
      <w:tr w:rsidR="00A23433" w:rsidRPr="00BA3D3B" w14:paraId="239932A9"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2785" w:type="dxa"/>
            <w:vMerge w:val="restart"/>
            <w:shd w:val="clear" w:color="auto" w:fill="F2F2F2" w:themeFill="background1" w:themeFillShade="F2"/>
            <w:hideMark/>
          </w:tcPr>
          <w:p w14:paraId="38714D72" w14:textId="77777777" w:rsidR="00A23433" w:rsidRPr="00BA3D3B" w:rsidRDefault="00A23433" w:rsidP="00922958">
            <w:pPr>
              <w:spacing w:line="360" w:lineRule="auto"/>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color w:val="000000" w:themeColor="text1"/>
                <w:sz w:val="20"/>
                <w:szCs w:val="20"/>
                <w:lang w:val="en-GB"/>
              </w:rPr>
              <w:t>FISH (11,14)</w:t>
            </w:r>
          </w:p>
        </w:tc>
        <w:tc>
          <w:tcPr>
            <w:tcW w:w="2185" w:type="dxa"/>
            <w:shd w:val="clear" w:color="auto" w:fill="F2F2F2" w:themeFill="background1" w:themeFillShade="F2"/>
            <w:vAlign w:val="center"/>
            <w:hideMark/>
          </w:tcPr>
          <w:p w14:paraId="6DB4DEA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Negative</w:t>
            </w:r>
          </w:p>
        </w:tc>
        <w:tc>
          <w:tcPr>
            <w:tcW w:w="1028" w:type="dxa"/>
            <w:shd w:val="clear" w:color="auto" w:fill="FFFFFF" w:themeFill="background1"/>
            <w:vAlign w:val="center"/>
            <w:hideMark/>
          </w:tcPr>
          <w:p w14:paraId="4ECEE7D7"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2</w:t>
            </w:r>
          </w:p>
        </w:tc>
        <w:tc>
          <w:tcPr>
            <w:tcW w:w="915" w:type="dxa"/>
            <w:shd w:val="clear" w:color="auto" w:fill="FFFFFF" w:themeFill="background1"/>
            <w:vAlign w:val="center"/>
            <w:hideMark/>
          </w:tcPr>
          <w:p w14:paraId="72A0F30D"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w:t>
            </w:r>
          </w:p>
        </w:tc>
      </w:tr>
      <w:tr w:rsidR="00A23433" w:rsidRPr="00BA3D3B" w14:paraId="035BD61A"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47393777"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7911A14D"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Positive</w:t>
            </w:r>
          </w:p>
        </w:tc>
        <w:tc>
          <w:tcPr>
            <w:tcW w:w="1028" w:type="dxa"/>
            <w:shd w:val="clear" w:color="auto" w:fill="FFFFFF" w:themeFill="background1"/>
            <w:vAlign w:val="center"/>
            <w:hideMark/>
          </w:tcPr>
          <w:p w14:paraId="3465F558"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20</w:t>
            </w:r>
          </w:p>
        </w:tc>
        <w:tc>
          <w:tcPr>
            <w:tcW w:w="915" w:type="dxa"/>
            <w:shd w:val="clear" w:color="auto" w:fill="FFFFFF" w:themeFill="background1"/>
            <w:vAlign w:val="center"/>
            <w:hideMark/>
          </w:tcPr>
          <w:p w14:paraId="4681F9E0"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99</w:t>
            </w:r>
          </w:p>
        </w:tc>
      </w:tr>
      <w:tr w:rsidR="00A23433" w:rsidRPr="00BA3D3B" w14:paraId="7D148E56"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7531611C"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02675BD2"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color w:val="000000" w:themeColor="text1"/>
                <w:sz w:val="20"/>
                <w:szCs w:val="20"/>
                <w:lang w:val="en-GB"/>
              </w:rPr>
              <w:t>Missing</w:t>
            </w:r>
          </w:p>
        </w:tc>
        <w:tc>
          <w:tcPr>
            <w:tcW w:w="1028" w:type="dxa"/>
            <w:shd w:val="clear" w:color="auto" w:fill="FFFFFF" w:themeFill="background1"/>
            <w:vAlign w:val="center"/>
            <w:hideMark/>
          </w:tcPr>
          <w:p w14:paraId="523A4973"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color w:val="000000" w:themeColor="text1"/>
                <w:sz w:val="20"/>
                <w:szCs w:val="20"/>
                <w:lang w:val="en-GB"/>
              </w:rPr>
              <w:t>105</w:t>
            </w:r>
          </w:p>
        </w:tc>
        <w:tc>
          <w:tcPr>
            <w:tcW w:w="915" w:type="dxa"/>
            <w:shd w:val="clear" w:color="auto" w:fill="FFFFFF" w:themeFill="background1"/>
            <w:vAlign w:val="center"/>
          </w:tcPr>
          <w:p w14:paraId="2120A988"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p>
        </w:tc>
      </w:tr>
      <w:tr w:rsidR="00A23433" w:rsidRPr="00BA3D3B" w14:paraId="24C86CE5"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2785" w:type="dxa"/>
            <w:vMerge w:val="restart"/>
            <w:shd w:val="clear" w:color="auto" w:fill="F2F2F2" w:themeFill="background1" w:themeFillShade="F2"/>
            <w:hideMark/>
          </w:tcPr>
          <w:p w14:paraId="18A56178" w14:textId="77777777" w:rsidR="00A23433" w:rsidRPr="00BA3D3B" w:rsidRDefault="00A23433" w:rsidP="00922958">
            <w:pPr>
              <w:spacing w:line="360" w:lineRule="auto"/>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color w:val="000000" w:themeColor="text1"/>
                <w:sz w:val="20"/>
                <w:szCs w:val="20"/>
                <w:lang w:val="en-GB"/>
              </w:rPr>
              <w:t>Ki-67 proliferation index</w:t>
            </w:r>
          </w:p>
        </w:tc>
        <w:tc>
          <w:tcPr>
            <w:tcW w:w="2185" w:type="dxa"/>
            <w:shd w:val="clear" w:color="auto" w:fill="F2F2F2" w:themeFill="background1" w:themeFillShade="F2"/>
            <w:vAlign w:val="center"/>
            <w:hideMark/>
          </w:tcPr>
          <w:p w14:paraId="1B99058C"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Low (&lt;30%)</w:t>
            </w:r>
          </w:p>
        </w:tc>
        <w:tc>
          <w:tcPr>
            <w:tcW w:w="1028" w:type="dxa"/>
            <w:shd w:val="clear" w:color="auto" w:fill="FFFFFF" w:themeFill="background1"/>
            <w:vAlign w:val="center"/>
            <w:hideMark/>
          </w:tcPr>
          <w:p w14:paraId="5876943D"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45</w:t>
            </w:r>
          </w:p>
        </w:tc>
        <w:tc>
          <w:tcPr>
            <w:tcW w:w="915" w:type="dxa"/>
            <w:shd w:val="clear" w:color="auto" w:fill="FFFFFF" w:themeFill="background1"/>
            <w:vAlign w:val="center"/>
            <w:hideMark/>
          </w:tcPr>
          <w:p w14:paraId="5821D3D5"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63</w:t>
            </w:r>
          </w:p>
        </w:tc>
      </w:tr>
      <w:tr w:rsidR="00A23433" w:rsidRPr="00BA3D3B" w14:paraId="6C099F01"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380650DA"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655895DB"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High (≥30%)</w:t>
            </w:r>
          </w:p>
        </w:tc>
        <w:tc>
          <w:tcPr>
            <w:tcW w:w="1028" w:type="dxa"/>
            <w:shd w:val="clear" w:color="auto" w:fill="FFFFFF" w:themeFill="background1"/>
            <w:vAlign w:val="center"/>
            <w:hideMark/>
          </w:tcPr>
          <w:p w14:paraId="1279EA86"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27</w:t>
            </w:r>
          </w:p>
        </w:tc>
        <w:tc>
          <w:tcPr>
            <w:tcW w:w="915" w:type="dxa"/>
            <w:shd w:val="clear" w:color="auto" w:fill="FFFFFF" w:themeFill="background1"/>
            <w:vAlign w:val="center"/>
            <w:hideMark/>
          </w:tcPr>
          <w:p w14:paraId="6A26C2BC"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37</w:t>
            </w:r>
          </w:p>
        </w:tc>
      </w:tr>
      <w:tr w:rsidR="00A23433" w:rsidRPr="00BA3D3B" w14:paraId="623D5715"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hideMark/>
          </w:tcPr>
          <w:p w14:paraId="4825DB1B"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6F536A74"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Missing</w:t>
            </w:r>
          </w:p>
        </w:tc>
        <w:tc>
          <w:tcPr>
            <w:tcW w:w="1028" w:type="dxa"/>
            <w:shd w:val="clear" w:color="auto" w:fill="FFFFFF" w:themeFill="background1"/>
            <w:vAlign w:val="center"/>
            <w:hideMark/>
          </w:tcPr>
          <w:p w14:paraId="6E27E790"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55</w:t>
            </w:r>
          </w:p>
        </w:tc>
        <w:tc>
          <w:tcPr>
            <w:tcW w:w="915" w:type="dxa"/>
            <w:shd w:val="clear" w:color="auto" w:fill="FFFFFF" w:themeFill="background1"/>
            <w:vAlign w:val="center"/>
            <w:hideMark/>
          </w:tcPr>
          <w:p w14:paraId="0BEB703C"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 </w:t>
            </w:r>
          </w:p>
        </w:tc>
      </w:tr>
      <w:tr w:rsidR="00A23433" w:rsidRPr="00BA3D3B" w14:paraId="50DEDF88"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2785" w:type="dxa"/>
            <w:vMerge w:val="restart"/>
            <w:shd w:val="clear" w:color="auto" w:fill="F2F2F2" w:themeFill="background1" w:themeFillShade="F2"/>
            <w:hideMark/>
          </w:tcPr>
          <w:p w14:paraId="66429DB0" w14:textId="77777777" w:rsidR="00A23433" w:rsidRPr="00BA3D3B" w:rsidRDefault="00A23433" w:rsidP="00922958">
            <w:pPr>
              <w:spacing w:line="360" w:lineRule="auto"/>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color w:val="000000" w:themeColor="text1"/>
                <w:sz w:val="20"/>
                <w:szCs w:val="20"/>
                <w:lang w:val="en-GB"/>
              </w:rPr>
              <w:t>Cytology</w:t>
            </w:r>
          </w:p>
        </w:tc>
        <w:tc>
          <w:tcPr>
            <w:tcW w:w="2185" w:type="dxa"/>
            <w:shd w:val="clear" w:color="auto" w:fill="F2F2F2" w:themeFill="background1" w:themeFillShade="F2"/>
            <w:vAlign w:val="center"/>
            <w:hideMark/>
          </w:tcPr>
          <w:p w14:paraId="24A859B5"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proofErr w:type="spellStart"/>
            <w:r w:rsidRPr="00BA3D3B">
              <w:rPr>
                <w:rFonts w:cstheme="minorHAnsi"/>
                <w:bCs/>
                <w:color w:val="000000" w:themeColor="text1"/>
                <w:sz w:val="20"/>
                <w:szCs w:val="20"/>
                <w:lang w:val="en-GB"/>
              </w:rPr>
              <w:t>Blastoid</w:t>
            </w:r>
            <w:proofErr w:type="spellEnd"/>
            <w:r w:rsidRPr="00BA3D3B">
              <w:rPr>
                <w:rFonts w:cstheme="minorHAnsi"/>
                <w:bCs/>
                <w:color w:val="000000" w:themeColor="text1"/>
                <w:sz w:val="20"/>
                <w:szCs w:val="20"/>
                <w:lang w:val="en-GB"/>
              </w:rPr>
              <w:t xml:space="preserve">/pleomorphic </w:t>
            </w:r>
          </w:p>
        </w:tc>
        <w:tc>
          <w:tcPr>
            <w:tcW w:w="1028" w:type="dxa"/>
            <w:shd w:val="clear" w:color="auto" w:fill="FFFFFF" w:themeFill="background1"/>
            <w:vAlign w:val="center"/>
            <w:hideMark/>
          </w:tcPr>
          <w:p w14:paraId="69863664"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14</w:t>
            </w:r>
          </w:p>
        </w:tc>
        <w:tc>
          <w:tcPr>
            <w:tcW w:w="915" w:type="dxa"/>
            <w:shd w:val="clear" w:color="auto" w:fill="FFFFFF" w:themeFill="background1"/>
            <w:vAlign w:val="center"/>
            <w:hideMark/>
          </w:tcPr>
          <w:p w14:paraId="5CE178A9"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11</w:t>
            </w:r>
          </w:p>
        </w:tc>
      </w:tr>
      <w:tr w:rsidR="00A23433" w:rsidRPr="00BA3D3B" w14:paraId="636E59B6" w14:textId="77777777" w:rsidTr="00922958">
        <w:trPr>
          <w:trHeight w:val="51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1325314"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shd w:val="clear" w:color="auto" w:fill="F2F2F2" w:themeFill="background1" w:themeFillShade="F2"/>
            <w:vAlign w:val="center"/>
            <w:hideMark/>
          </w:tcPr>
          <w:p w14:paraId="52A9E49B"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85098C">
              <w:rPr>
                <w:rFonts w:cstheme="minorHAnsi"/>
                <w:bCs/>
                <w:color w:val="000000" w:themeColor="text1"/>
                <w:sz w:val="20"/>
                <w:szCs w:val="20"/>
                <w:lang w:val="en-GB"/>
              </w:rPr>
              <w:t>Classic</w:t>
            </w:r>
          </w:p>
        </w:tc>
        <w:tc>
          <w:tcPr>
            <w:tcW w:w="1028" w:type="dxa"/>
            <w:shd w:val="clear" w:color="auto" w:fill="FFFFFF" w:themeFill="background1"/>
            <w:vAlign w:val="center"/>
            <w:hideMark/>
          </w:tcPr>
          <w:p w14:paraId="5AB3ECF1"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111</w:t>
            </w:r>
          </w:p>
        </w:tc>
        <w:tc>
          <w:tcPr>
            <w:tcW w:w="915" w:type="dxa"/>
            <w:shd w:val="clear" w:color="auto" w:fill="FFFFFF" w:themeFill="background1"/>
            <w:vAlign w:val="center"/>
            <w:hideMark/>
          </w:tcPr>
          <w:p w14:paraId="4395C333" w14:textId="77777777" w:rsidR="00A23433" w:rsidRPr="00BA3D3B" w:rsidRDefault="00A23433" w:rsidP="00922958">
            <w:pPr>
              <w:spacing w:line="36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lang w:val="en-GB"/>
              </w:rPr>
            </w:pPr>
            <w:r w:rsidRPr="00BA3D3B">
              <w:rPr>
                <w:rFonts w:cstheme="minorHAnsi"/>
                <w:bCs/>
                <w:color w:val="000000" w:themeColor="text1"/>
                <w:sz w:val="20"/>
                <w:szCs w:val="20"/>
                <w:lang w:val="en-GB"/>
              </w:rPr>
              <w:t>89</w:t>
            </w:r>
          </w:p>
        </w:tc>
      </w:tr>
      <w:tr w:rsidR="00A23433" w:rsidRPr="00BA3D3B" w14:paraId="3C412DAD" w14:textId="77777777" w:rsidTr="00922958">
        <w:trPr>
          <w:cnfStyle w:val="010000000000" w:firstRow="0" w:lastRow="1"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vAlign w:val="center"/>
            <w:hideMark/>
          </w:tcPr>
          <w:p w14:paraId="1B748152" w14:textId="77777777" w:rsidR="00A23433" w:rsidRPr="00BA3D3B" w:rsidRDefault="00A23433" w:rsidP="00922958">
            <w:pPr>
              <w:rPr>
                <w:rFonts w:asciiTheme="minorHAnsi" w:hAnsiTheme="minorHAnsi" w:cstheme="minorHAnsi"/>
                <w:b w:val="0"/>
                <w:color w:val="000000" w:themeColor="text1"/>
                <w:sz w:val="20"/>
                <w:szCs w:val="20"/>
                <w:lang w:val="en-GB"/>
              </w:rPr>
            </w:pPr>
          </w:p>
        </w:tc>
        <w:tc>
          <w:tcPr>
            <w:tcW w:w="218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hideMark/>
          </w:tcPr>
          <w:p w14:paraId="5F91F756" w14:textId="77777777" w:rsidR="00A23433" w:rsidRPr="00BA3D3B" w:rsidRDefault="00A23433" w:rsidP="00922958">
            <w:pPr>
              <w:spacing w:line="36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bCs w:val="0"/>
                <w:color w:val="000000" w:themeColor="text1"/>
                <w:sz w:val="20"/>
                <w:szCs w:val="20"/>
                <w:lang w:val="en-GB"/>
              </w:rPr>
              <w:t>Missing</w:t>
            </w:r>
          </w:p>
        </w:tc>
        <w:tc>
          <w:tcPr>
            <w:tcW w:w="1028"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DCA8231" w14:textId="77777777" w:rsidR="00A23433" w:rsidRPr="00BA3D3B" w:rsidRDefault="00A23433" w:rsidP="00922958">
            <w:pPr>
              <w:spacing w:line="36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color w:val="000000" w:themeColor="text1"/>
                <w:sz w:val="20"/>
                <w:szCs w:val="20"/>
                <w:lang w:val="en-GB"/>
              </w:rPr>
            </w:pPr>
            <w:r w:rsidRPr="00BA3D3B">
              <w:rPr>
                <w:rFonts w:asciiTheme="minorHAnsi" w:hAnsiTheme="minorHAnsi" w:cstheme="minorHAnsi"/>
                <w:b w:val="0"/>
                <w:bCs w:val="0"/>
                <w:color w:val="000000" w:themeColor="text1"/>
                <w:sz w:val="20"/>
                <w:szCs w:val="20"/>
                <w:lang w:val="en-GB"/>
              </w:rPr>
              <w:t>2</w:t>
            </w:r>
          </w:p>
        </w:tc>
        <w:tc>
          <w:tcPr>
            <w:tcW w:w="91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F19DD7" w14:textId="77777777" w:rsidR="00A23433" w:rsidRPr="00BA3D3B" w:rsidRDefault="00A23433" w:rsidP="00922958">
            <w:pPr>
              <w:spacing w:line="36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0"/>
                <w:szCs w:val="20"/>
                <w:lang w:val="en-GB"/>
              </w:rPr>
            </w:pPr>
          </w:p>
        </w:tc>
      </w:tr>
    </w:tbl>
    <w:p w14:paraId="2B822742" w14:textId="77777777" w:rsidR="00A23433" w:rsidRPr="00BA3D3B" w:rsidRDefault="00A23433" w:rsidP="00A23433">
      <w:pPr>
        <w:spacing w:before="120" w:line="240" w:lineRule="auto"/>
        <w:jc w:val="both"/>
        <w:rPr>
          <w:rFonts w:cstheme="minorHAnsi"/>
          <w:color w:val="000000" w:themeColor="text1"/>
          <w:sz w:val="20"/>
          <w:szCs w:val="20"/>
          <w:lang w:val="en-GB"/>
        </w:rPr>
      </w:pPr>
      <w:r w:rsidRPr="00BA3D3B">
        <w:rPr>
          <w:rFonts w:cstheme="minorHAnsi"/>
          <w:color w:val="000000" w:themeColor="text1"/>
          <w:sz w:val="20"/>
          <w:szCs w:val="20"/>
          <w:lang w:val="en-GB"/>
        </w:rPr>
        <w:t xml:space="preserve">In </w:t>
      </w:r>
      <w:r>
        <w:rPr>
          <w:rFonts w:cstheme="minorHAnsi"/>
          <w:color w:val="000000" w:themeColor="text1"/>
          <w:sz w:val="20"/>
          <w:szCs w:val="20"/>
          <w:lang w:val="en-GB"/>
        </w:rPr>
        <w:t>four</w:t>
      </w:r>
      <w:r w:rsidRPr="00BA3D3B">
        <w:rPr>
          <w:rFonts w:cstheme="minorHAnsi"/>
          <w:color w:val="000000" w:themeColor="text1"/>
          <w:sz w:val="20"/>
          <w:szCs w:val="20"/>
          <w:lang w:val="en-GB"/>
        </w:rPr>
        <w:t xml:space="preserve"> cyclin D1-negative p</w:t>
      </w:r>
      <w:r>
        <w:rPr>
          <w:rFonts w:cstheme="minorHAnsi"/>
          <w:color w:val="000000" w:themeColor="text1"/>
          <w:sz w:val="20"/>
          <w:szCs w:val="20"/>
          <w:lang w:val="en-GB"/>
        </w:rPr>
        <w:t>a</w:t>
      </w:r>
      <w:r w:rsidRPr="00BA3D3B">
        <w:rPr>
          <w:rFonts w:cstheme="minorHAnsi"/>
          <w:color w:val="000000" w:themeColor="text1"/>
          <w:sz w:val="20"/>
          <w:szCs w:val="20"/>
          <w:lang w:val="en-GB"/>
        </w:rPr>
        <w:t>t</w:t>
      </w:r>
      <w:r>
        <w:rPr>
          <w:rFonts w:cstheme="minorHAnsi"/>
          <w:color w:val="000000" w:themeColor="text1"/>
          <w:sz w:val="20"/>
          <w:szCs w:val="20"/>
          <w:lang w:val="en-GB"/>
        </w:rPr>
        <w:t>ient</w:t>
      </w:r>
      <w:r w:rsidRPr="00BA3D3B">
        <w:rPr>
          <w:rFonts w:cstheme="minorHAnsi"/>
          <w:color w:val="000000" w:themeColor="text1"/>
          <w:sz w:val="20"/>
          <w:szCs w:val="20"/>
          <w:lang w:val="en-GB"/>
        </w:rPr>
        <w:t xml:space="preserve">s, </w:t>
      </w:r>
      <w:r>
        <w:rPr>
          <w:rFonts w:cstheme="minorHAnsi"/>
          <w:color w:val="000000" w:themeColor="text1"/>
          <w:sz w:val="20"/>
          <w:szCs w:val="20"/>
          <w:lang w:val="en-GB"/>
        </w:rPr>
        <w:t>two</w:t>
      </w:r>
      <w:r w:rsidRPr="00BA3D3B">
        <w:rPr>
          <w:rFonts w:cstheme="minorHAnsi"/>
          <w:color w:val="000000" w:themeColor="text1"/>
          <w:sz w:val="20"/>
          <w:szCs w:val="20"/>
          <w:lang w:val="en-GB"/>
        </w:rPr>
        <w:t xml:space="preserve"> showed </w:t>
      </w:r>
      <w:proofErr w:type="gramStart"/>
      <w:r w:rsidRPr="00BA3D3B">
        <w:rPr>
          <w:rFonts w:cstheme="minorHAnsi"/>
          <w:color w:val="000000" w:themeColor="text1"/>
          <w:sz w:val="20"/>
          <w:szCs w:val="20"/>
          <w:lang w:val="en-GB"/>
        </w:rPr>
        <w:t>t(</w:t>
      </w:r>
      <w:proofErr w:type="gramEnd"/>
      <w:r w:rsidRPr="00BA3D3B">
        <w:rPr>
          <w:rFonts w:cstheme="minorHAnsi"/>
          <w:color w:val="000000" w:themeColor="text1"/>
          <w:sz w:val="20"/>
          <w:szCs w:val="20"/>
          <w:lang w:val="en-GB"/>
        </w:rPr>
        <w:t>11,14) with FISH, one had a negative FISH with CD5 and SOX11 expression and one had CD5 expression without the available data of FISH and SOX11.</w:t>
      </w:r>
    </w:p>
    <w:p w14:paraId="3B28C78C" w14:textId="77777777" w:rsidR="00A23433" w:rsidRDefault="00A23433" w:rsidP="00A23433">
      <w:pPr>
        <w:spacing w:before="120" w:line="240" w:lineRule="auto"/>
        <w:jc w:val="both"/>
      </w:pPr>
      <w:r w:rsidRPr="00BA3D3B">
        <w:rPr>
          <w:rFonts w:cstheme="minorHAnsi"/>
          <w:color w:val="000000" w:themeColor="text1"/>
          <w:sz w:val="20"/>
          <w:szCs w:val="20"/>
          <w:lang w:val="en-GB"/>
        </w:rPr>
        <w:t xml:space="preserve">In </w:t>
      </w:r>
      <w:r>
        <w:rPr>
          <w:rFonts w:cstheme="minorHAnsi"/>
          <w:color w:val="000000" w:themeColor="text1"/>
          <w:sz w:val="20"/>
          <w:szCs w:val="20"/>
          <w:lang w:val="en-GB"/>
        </w:rPr>
        <w:t>two</w:t>
      </w:r>
      <w:r w:rsidRPr="00BA3D3B">
        <w:rPr>
          <w:rFonts w:cstheme="minorHAnsi"/>
          <w:color w:val="000000" w:themeColor="text1"/>
          <w:sz w:val="20"/>
          <w:szCs w:val="20"/>
          <w:lang w:val="en-GB"/>
        </w:rPr>
        <w:t xml:space="preserve"> FISH-negative </w:t>
      </w:r>
      <w:r>
        <w:rPr>
          <w:rFonts w:cstheme="minorHAnsi"/>
          <w:color w:val="000000" w:themeColor="text1"/>
          <w:sz w:val="20"/>
          <w:szCs w:val="20"/>
          <w:lang w:val="en-GB"/>
        </w:rPr>
        <w:t>patients</w:t>
      </w:r>
      <w:r w:rsidRPr="00BA3D3B">
        <w:rPr>
          <w:rFonts w:cstheme="minorHAnsi"/>
          <w:color w:val="000000" w:themeColor="text1"/>
          <w:sz w:val="20"/>
          <w:szCs w:val="20"/>
          <w:lang w:val="en-GB"/>
        </w:rPr>
        <w:t>, one was cyclin D1-negative with CD5 and SOX11 expression, in the other one cyclin D1 and SOX11 were expressed.</w:t>
      </w:r>
    </w:p>
    <w:p w14:paraId="558B239E" w14:textId="267C2505" w:rsidR="00A23433" w:rsidRDefault="00A23433">
      <w:pPr>
        <w:rPr>
          <w:rFonts w:cstheme="minorHAnsi"/>
          <w:bCs/>
          <w:color w:val="000000" w:themeColor="text1"/>
          <w:sz w:val="20"/>
          <w:szCs w:val="20"/>
          <w:lang w:val="en-GB"/>
        </w:rPr>
      </w:pPr>
      <w:r>
        <w:rPr>
          <w:rFonts w:cstheme="minorHAnsi"/>
          <w:bCs/>
          <w:color w:val="000000" w:themeColor="text1"/>
          <w:sz w:val="20"/>
          <w:szCs w:val="20"/>
          <w:lang w:val="en-GB"/>
        </w:rPr>
        <w:br w:type="page"/>
      </w:r>
    </w:p>
    <w:p w14:paraId="0FEBEAB8" w14:textId="77777777" w:rsidR="00E63895" w:rsidRPr="00BA3D3B" w:rsidRDefault="00E63895" w:rsidP="00E63895">
      <w:pPr>
        <w:spacing w:line="480" w:lineRule="auto"/>
        <w:jc w:val="both"/>
        <w:rPr>
          <w:rFonts w:cstheme="minorHAnsi"/>
          <w:b/>
          <w:bCs/>
          <w:color w:val="000000" w:themeColor="text1"/>
          <w:sz w:val="20"/>
          <w:szCs w:val="20"/>
          <w:lang w:val="en-GB"/>
        </w:rPr>
      </w:pPr>
      <w:r w:rsidRPr="00BA3D3B">
        <w:rPr>
          <w:rFonts w:cstheme="minorHAnsi"/>
          <w:bCs/>
          <w:color w:val="000000" w:themeColor="text1"/>
          <w:sz w:val="20"/>
          <w:szCs w:val="20"/>
          <w:lang w:val="en-GB"/>
        </w:rPr>
        <w:lastRenderedPageBreak/>
        <w:t xml:space="preserve">Table S2. </w:t>
      </w:r>
      <w:r w:rsidRPr="00BA3D3B">
        <w:rPr>
          <w:rFonts w:cstheme="minorHAnsi"/>
          <w:color w:val="000000" w:themeColor="text1"/>
          <w:sz w:val="20"/>
          <w:szCs w:val="20"/>
          <w:lang w:val="en-GB"/>
        </w:rPr>
        <w:t>Univariable analysis for progression-free survival and overall survival in 128 patients with nodal classic mantle cell lymphoma.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1901"/>
        <w:gridCol w:w="1470"/>
        <w:gridCol w:w="960"/>
        <w:gridCol w:w="1470"/>
        <w:gridCol w:w="960"/>
      </w:tblGrid>
      <w:tr w:rsidR="00E63895" w:rsidRPr="00BA3D3B" w14:paraId="2B4AE9F1" w14:textId="77777777" w:rsidTr="00922958">
        <w:trPr>
          <w:trHeight w:val="300"/>
        </w:trPr>
        <w:tc>
          <w:tcPr>
            <w:tcW w:w="2417" w:type="pct"/>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14:paraId="689861B8" w14:textId="77777777" w:rsidR="00E63895" w:rsidRPr="00BA3D3B" w:rsidRDefault="00E63895" w:rsidP="00922958">
            <w:pPr>
              <w:rPr>
                <w:rFonts w:eastAsia="Times New Roman" w:cstheme="minorHAnsi"/>
                <w:b/>
                <w:bCs/>
                <w:color w:val="000000" w:themeColor="text1"/>
                <w:sz w:val="20"/>
                <w:szCs w:val="20"/>
              </w:rPr>
            </w:pPr>
            <w:r w:rsidRPr="00BA3D3B">
              <w:rPr>
                <w:rFonts w:eastAsia="Times New Roman" w:cstheme="minorHAnsi"/>
                <w:b/>
                <w:bCs/>
                <w:color w:val="000000" w:themeColor="text1"/>
                <w:sz w:val="20"/>
                <w:szCs w:val="20"/>
              </w:rPr>
              <w:t>Factor</w:t>
            </w:r>
          </w:p>
        </w:tc>
        <w:tc>
          <w:tcPr>
            <w:tcW w:w="12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E9B79F" w14:textId="77777777" w:rsidR="00E63895" w:rsidRPr="00BA3D3B" w:rsidRDefault="00E63895" w:rsidP="00922958">
            <w:pPr>
              <w:jc w:val="center"/>
              <w:rPr>
                <w:rFonts w:eastAsia="Times New Roman" w:cstheme="minorHAnsi"/>
                <w:b/>
                <w:bCs/>
                <w:color w:val="000000" w:themeColor="text1"/>
                <w:sz w:val="20"/>
                <w:szCs w:val="20"/>
              </w:rPr>
            </w:pPr>
            <w:r w:rsidRPr="00BA3D3B">
              <w:rPr>
                <w:rFonts w:eastAsia="Times New Roman" w:cstheme="minorHAnsi"/>
                <w:b/>
                <w:bCs/>
                <w:color w:val="000000" w:themeColor="text1"/>
                <w:sz w:val="20"/>
                <w:szCs w:val="20"/>
              </w:rPr>
              <w:t>PFS</w:t>
            </w:r>
          </w:p>
        </w:tc>
        <w:tc>
          <w:tcPr>
            <w:tcW w:w="1291"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361830" w14:textId="77777777" w:rsidR="00E63895" w:rsidRPr="00BA3D3B" w:rsidRDefault="00E63895" w:rsidP="00922958">
            <w:pPr>
              <w:jc w:val="center"/>
              <w:rPr>
                <w:rFonts w:eastAsia="Times New Roman" w:cstheme="minorHAnsi"/>
                <w:b/>
                <w:bCs/>
                <w:color w:val="000000" w:themeColor="text1"/>
                <w:sz w:val="20"/>
                <w:szCs w:val="20"/>
              </w:rPr>
            </w:pPr>
            <w:r w:rsidRPr="00BA3D3B">
              <w:rPr>
                <w:rFonts w:eastAsia="Times New Roman" w:cstheme="minorHAnsi"/>
                <w:b/>
                <w:bCs/>
                <w:color w:val="000000" w:themeColor="text1"/>
                <w:sz w:val="20"/>
                <w:szCs w:val="20"/>
              </w:rPr>
              <w:t>OS</w:t>
            </w:r>
          </w:p>
        </w:tc>
      </w:tr>
      <w:tr w:rsidR="00E63895" w:rsidRPr="00BA3D3B" w14:paraId="1184BCEF" w14:textId="77777777" w:rsidTr="00922958">
        <w:trPr>
          <w:trHeight w:val="300"/>
        </w:trPr>
        <w:tc>
          <w:tcPr>
            <w:tcW w:w="2417" w:type="pct"/>
            <w:gridSpan w:val="2"/>
            <w:vMerge/>
            <w:tcBorders>
              <w:top w:val="single" w:sz="4" w:space="0" w:color="auto"/>
              <w:left w:val="single" w:sz="4" w:space="0" w:color="auto"/>
              <w:bottom w:val="single" w:sz="4" w:space="0" w:color="auto"/>
              <w:right w:val="single" w:sz="4" w:space="0" w:color="auto"/>
            </w:tcBorders>
            <w:vAlign w:val="center"/>
            <w:hideMark/>
          </w:tcPr>
          <w:p w14:paraId="73FD89CE" w14:textId="77777777" w:rsidR="00E63895" w:rsidRPr="00BA3D3B" w:rsidRDefault="00E63895" w:rsidP="00922958">
            <w:pPr>
              <w:rPr>
                <w:rFonts w:eastAsia="Times New Roman" w:cstheme="minorHAnsi"/>
                <w:b/>
                <w:bCs/>
                <w:color w:val="000000" w:themeColor="text1"/>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C9A12" w14:textId="77777777" w:rsidR="00E63895" w:rsidRPr="00541309" w:rsidRDefault="00E63895" w:rsidP="00922958">
            <w:pPr>
              <w:jc w:val="center"/>
              <w:rPr>
                <w:rFonts w:eastAsia="Times New Roman" w:cstheme="minorHAnsi"/>
                <w:b/>
                <w:bCs/>
                <w:i/>
                <w:iCs/>
                <w:color w:val="000000" w:themeColor="text1"/>
                <w:sz w:val="20"/>
                <w:szCs w:val="20"/>
              </w:rPr>
            </w:pPr>
            <w:r w:rsidRPr="00541309">
              <w:rPr>
                <w:rFonts w:eastAsia="Times New Roman" w:cstheme="minorHAnsi"/>
                <w:b/>
                <w:bCs/>
                <w:i/>
                <w:iCs/>
                <w:color w:val="000000" w:themeColor="text1"/>
                <w:sz w:val="20"/>
                <w:szCs w:val="20"/>
              </w:rPr>
              <w:t>5-year (%)</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F96A7" w14:textId="77777777" w:rsidR="00E63895" w:rsidRPr="00541309" w:rsidRDefault="00E63895" w:rsidP="00922958">
            <w:pPr>
              <w:jc w:val="center"/>
              <w:rPr>
                <w:rFonts w:eastAsia="Times New Roman" w:cstheme="minorHAnsi"/>
                <w:b/>
                <w:bCs/>
                <w:i/>
                <w:iCs/>
                <w:color w:val="000000" w:themeColor="text1"/>
                <w:sz w:val="20"/>
                <w:szCs w:val="20"/>
              </w:rPr>
            </w:pPr>
            <w:r w:rsidRPr="00541309">
              <w:rPr>
                <w:rFonts w:eastAsia="Times New Roman" w:cstheme="minorHAnsi"/>
                <w:b/>
                <w:bCs/>
                <w:i/>
                <w:iCs/>
                <w:color w:val="000000" w:themeColor="text1"/>
                <w:sz w:val="20"/>
                <w:szCs w:val="20"/>
              </w:rPr>
              <w:t>p-value</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D37703" w14:textId="77777777" w:rsidR="00E63895" w:rsidRPr="00541309" w:rsidRDefault="00E63895" w:rsidP="00922958">
            <w:pPr>
              <w:jc w:val="center"/>
              <w:rPr>
                <w:rFonts w:eastAsia="Times New Roman" w:cstheme="minorHAnsi"/>
                <w:b/>
                <w:bCs/>
                <w:i/>
                <w:iCs/>
                <w:color w:val="000000" w:themeColor="text1"/>
                <w:sz w:val="20"/>
                <w:szCs w:val="20"/>
              </w:rPr>
            </w:pPr>
            <w:r w:rsidRPr="00541309">
              <w:rPr>
                <w:rFonts w:eastAsia="Times New Roman" w:cstheme="minorHAnsi"/>
                <w:b/>
                <w:bCs/>
                <w:i/>
                <w:iCs/>
                <w:color w:val="000000" w:themeColor="text1"/>
                <w:sz w:val="20"/>
                <w:szCs w:val="20"/>
              </w:rPr>
              <w:t>5-year (%)</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8968C2" w14:textId="77777777" w:rsidR="00E63895" w:rsidRPr="00541309" w:rsidRDefault="00E63895" w:rsidP="00922958">
            <w:pPr>
              <w:jc w:val="center"/>
              <w:rPr>
                <w:rFonts w:eastAsia="Times New Roman" w:cstheme="minorHAnsi"/>
                <w:b/>
                <w:bCs/>
                <w:i/>
                <w:iCs/>
                <w:color w:val="000000" w:themeColor="text1"/>
                <w:sz w:val="20"/>
                <w:szCs w:val="20"/>
              </w:rPr>
            </w:pPr>
            <w:r w:rsidRPr="00541309">
              <w:rPr>
                <w:rFonts w:eastAsia="Times New Roman" w:cstheme="minorHAnsi"/>
                <w:b/>
                <w:bCs/>
                <w:i/>
                <w:iCs/>
                <w:color w:val="000000" w:themeColor="text1"/>
                <w:sz w:val="20"/>
                <w:szCs w:val="20"/>
              </w:rPr>
              <w:t>p-value</w:t>
            </w:r>
          </w:p>
        </w:tc>
      </w:tr>
      <w:tr w:rsidR="00E63895" w:rsidRPr="00BA3D3B" w14:paraId="497E4BBB" w14:textId="77777777" w:rsidTr="00922958">
        <w:trPr>
          <w:trHeight w:val="386"/>
        </w:trPr>
        <w:tc>
          <w:tcPr>
            <w:tcW w:w="2417"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2C50EA60"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bCs/>
                <w:color w:val="000000" w:themeColor="text1"/>
                <w:sz w:val="20"/>
                <w:szCs w:val="20"/>
              </w:rPr>
              <w:t>All</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C3EA4"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27.9</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BE44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B17BAB"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62.9</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E21CF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5B98C7AF"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0D2C2585"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Sex</w:t>
            </w: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71A817F6"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Male</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C1E7E"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30.5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AB7CA"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0.819</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09AF6D"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68.5</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9BC9C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0.075</w:t>
            </w:r>
          </w:p>
        </w:tc>
      </w:tr>
      <w:tr w:rsidR="00E63895" w:rsidRPr="00BA3D3B" w14:paraId="43DAD554"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0F31701A"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76A63BA8"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Female</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B8E4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19.9</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9ED39A"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3287430"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46.8</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1FE4CF2"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189D9D4D"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3D36C345"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Age</w:t>
            </w: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78EDFA0A"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≤65 years</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E58E1"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39.3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C4845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158D7E"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81.3</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E1E1BA"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E63895" w:rsidRPr="00BA3D3B" w14:paraId="2C180D28"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71A848D8"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5FFF774F"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&gt;65 years</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9100D1"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17</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D93A1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95D72D"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45.6</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6C9EE1"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4CF0B266"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31BD9531"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sMIPI</w:t>
            </w: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51115496"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Low</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E6EBE4"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46.1</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F444C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001E14"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91.1</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8EA22E"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E63895" w:rsidRPr="00BA3D3B" w14:paraId="6C603E71"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48F8DE47"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0E7420DD"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Intermediate</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D7450"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21.1</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3D31D"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C6E64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60.9</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7C734E"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635B4436"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43485D5A"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4A32198A"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High</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AA6C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11.4</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AD5D30"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DCD121"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22.2</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94FBEE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003F571F"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3F54B079"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Ann Arbor stage</w:t>
            </w: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2F02D82B"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I/II</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BA4AB"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27.3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58ECB0"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0.992</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7D2176"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72.7</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7979B7"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0.768</w:t>
            </w:r>
          </w:p>
        </w:tc>
      </w:tr>
      <w:tr w:rsidR="00E63895" w:rsidRPr="00BA3D3B" w14:paraId="4CF258A9"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18FDFA7C"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627F1FB1"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III/IV</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FBDC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28</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5107C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0A396B6"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61.8</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ED999EA"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53C25A6C"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hideMark/>
          </w:tcPr>
          <w:p w14:paraId="08401D25"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Bone marrow involvement</w:t>
            </w: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1EAACE70"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Negative</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E68CB"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23.4</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6FFE0"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0.834</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52FCD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77.3</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BBA43A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0.248</w:t>
            </w:r>
          </w:p>
        </w:tc>
      </w:tr>
      <w:tr w:rsidR="00E63895" w:rsidRPr="00BA3D3B" w14:paraId="5D889F3C"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6213CBA1"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2C77DCFF"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Positive</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65DFA2"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31.2</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40F7C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6E9AC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60.5</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133DBE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20CA33D6"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noWrap/>
            <w:hideMark/>
          </w:tcPr>
          <w:p w14:paraId="5D51AAF8"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ECOG PS</w:t>
            </w:r>
          </w:p>
        </w:tc>
        <w:tc>
          <w:tcPr>
            <w:tcW w:w="859" w:type="pct"/>
            <w:tcBorders>
              <w:top w:val="single" w:sz="4" w:space="0" w:color="auto"/>
              <w:left w:val="single" w:sz="4" w:space="0" w:color="auto"/>
              <w:bottom w:val="single" w:sz="4" w:space="0" w:color="auto"/>
              <w:right w:val="single" w:sz="4" w:space="0" w:color="auto"/>
            </w:tcBorders>
            <w:shd w:val="clear" w:color="auto" w:fill="F2F2F2"/>
            <w:noWrap/>
            <w:hideMark/>
          </w:tcPr>
          <w:p w14:paraId="2118D4B2"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A47A0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32.6</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E9E4F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8028937"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72.7</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456CB8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E63895" w:rsidRPr="00BA3D3B" w14:paraId="7A2B7945"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08336B04"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noWrap/>
            <w:hideMark/>
          </w:tcPr>
          <w:p w14:paraId="379D3CDD"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34BDE8"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7.3</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663C08"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D19D512"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21</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100F6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7781F2EE"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noWrap/>
            <w:hideMark/>
          </w:tcPr>
          <w:p w14:paraId="70D83543"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Ki-67 proliferation index</w:t>
            </w: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31804C71" w14:textId="77777777" w:rsidR="00E63895" w:rsidRPr="00BA3D3B" w:rsidRDefault="00E63895" w:rsidP="00922958">
            <w:pPr>
              <w:rPr>
                <w:rFonts w:eastAsia="Times New Roman" w:cstheme="minorHAnsi"/>
                <w:color w:val="000000" w:themeColor="text1"/>
                <w:sz w:val="20"/>
                <w:szCs w:val="20"/>
              </w:rPr>
            </w:pPr>
            <w:r w:rsidRPr="00BA3D3B">
              <w:rPr>
                <w:rFonts w:cstheme="minorHAnsi"/>
                <w:bCs/>
                <w:color w:val="000000" w:themeColor="text1"/>
                <w:sz w:val="20"/>
                <w:szCs w:val="20"/>
                <w:lang w:val="en-GB"/>
              </w:rPr>
              <w:t>Low (&lt;30%)</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0163B1"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46.9</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5A5292"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61E79A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79.2</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2D50CF"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0.003</w:t>
            </w:r>
          </w:p>
        </w:tc>
      </w:tr>
      <w:tr w:rsidR="00E63895" w:rsidRPr="00BA3D3B" w14:paraId="2F58850B"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4F519D94"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hideMark/>
          </w:tcPr>
          <w:p w14:paraId="09172032" w14:textId="77777777" w:rsidR="00E63895" w:rsidRPr="00BA3D3B" w:rsidRDefault="00E63895" w:rsidP="00922958">
            <w:pPr>
              <w:rPr>
                <w:rFonts w:eastAsia="Times New Roman" w:cstheme="minorHAnsi"/>
                <w:color w:val="000000" w:themeColor="text1"/>
                <w:sz w:val="20"/>
                <w:szCs w:val="20"/>
              </w:rPr>
            </w:pPr>
            <w:r w:rsidRPr="00BA3D3B">
              <w:rPr>
                <w:rFonts w:cstheme="minorHAnsi"/>
                <w:bCs/>
                <w:color w:val="000000" w:themeColor="text1"/>
                <w:sz w:val="20"/>
                <w:szCs w:val="20"/>
                <w:lang w:val="en-GB"/>
              </w:rPr>
              <w:t>High (≥30%)</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3AC114"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10.6</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0E0ED6"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A5BD0CE"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52.6</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F6636FF"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18BE6CDF"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noWrap/>
            <w:hideMark/>
          </w:tcPr>
          <w:p w14:paraId="71F4B782"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Cytology</w:t>
            </w:r>
          </w:p>
        </w:tc>
        <w:tc>
          <w:tcPr>
            <w:tcW w:w="859" w:type="pct"/>
            <w:tcBorders>
              <w:top w:val="single" w:sz="4" w:space="0" w:color="auto"/>
              <w:left w:val="single" w:sz="4" w:space="0" w:color="auto"/>
              <w:right w:val="single" w:sz="4" w:space="0" w:color="auto"/>
            </w:tcBorders>
            <w:shd w:val="clear" w:color="auto" w:fill="F2F2F2"/>
            <w:noWrap/>
            <w:hideMark/>
          </w:tcPr>
          <w:p w14:paraId="5430DF20"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Blastoid/pleomorphic</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CB3DA"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7.5</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C9B3F"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0.004</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E9C8CD6"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27.1</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6D3DC7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0.002</w:t>
            </w:r>
          </w:p>
        </w:tc>
      </w:tr>
      <w:tr w:rsidR="00E63895" w:rsidRPr="00BA3D3B" w14:paraId="4ACBCC92"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5C636919"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noWrap/>
            <w:hideMark/>
          </w:tcPr>
          <w:p w14:paraId="6CC3C5DC"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Classic</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A8AB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30.7</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7BF9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7D86B4"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70.9</w:t>
            </w:r>
          </w:p>
        </w:tc>
        <w:tc>
          <w:tcPr>
            <w:tcW w:w="5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A57D7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6A88FC2D" w14:textId="77777777" w:rsidTr="00922958">
        <w:trPr>
          <w:trHeight w:val="386"/>
        </w:trPr>
        <w:tc>
          <w:tcPr>
            <w:tcW w:w="1558" w:type="pct"/>
            <w:vMerge w:val="restart"/>
            <w:tcBorders>
              <w:top w:val="single" w:sz="4" w:space="0" w:color="auto"/>
              <w:left w:val="single" w:sz="4" w:space="0" w:color="auto"/>
              <w:bottom w:val="single" w:sz="4" w:space="0" w:color="auto"/>
              <w:right w:val="single" w:sz="4" w:space="0" w:color="auto"/>
            </w:tcBorders>
            <w:shd w:val="clear" w:color="auto" w:fill="F2F2F2"/>
            <w:noWrap/>
            <w:hideMark/>
          </w:tcPr>
          <w:p w14:paraId="0773E4AB" w14:textId="77777777" w:rsidR="00E63895" w:rsidRPr="00BA3D3B" w:rsidRDefault="00E63895" w:rsidP="00922958">
            <w:pPr>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B symptoms</w:t>
            </w:r>
          </w:p>
        </w:tc>
        <w:tc>
          <w:tcPr>
            <w:tcW w:w="859" w:type="pct"/>
            <w:tcBorders>
              <w:top w:val="single" w:sz="4" w:space="0" w:color="auto"/>
              <w:left w:val="single" w:sz="4" w:space="0" w:color="auto"/>
              <w:bottom w:val="single" w:sz="4" w:space="0" w:color="auto"/>
              <w:right w:val="single" w:sz="4" w:space="0" w:color="auto"/>
            </w:tcBorders>
            <w:shd w:val="clear" w:color="auto" w:fill="F2F2F2"/>
            <w:noWrap/>
            <w:hideMark/>
          </w:tcPr>
          <w:p w14:paraId="04182F9E"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No</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E77C6B"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28.4</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9CDB4F"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0.352</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9960F48"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65.8</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D53618"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0.009</w:t>
            </w:r>
          </w:p>
        </w:tc>
      </w:tr>
      <w:tr w:rsidR="00E63895" w:rsidRPr="00BA3D3B" w14:paraId="5128AECB" w14:textId="77777777" w:rsidTr="00922958">
        <w:trPr>
          <w:trHeight w:val="386"/>
        </w:trPr>
        <w:tc>
          <w:tcPr>
            <w:tcW w:w="1558" w:type="pct"/>
            <w:vMerge/>
            <w:tcBorders>
              <w:top w:val="single" w:sz="4" w:space="0" w:color="auto"/>
              <w:left w:val="single" w:sz="4" w:space="0" w:color="auto"/>
              <w:bottom w:val="single" w:sz="4" w:space="0" w:color="auto"/>
              <w:right w:val="single" w:sz="4" w:space="0" w:color="auto"/>
            </w:tcBorders>
            <w:hideMark/>
          </w:tcPr>
          <w:p w14:paraId="243F32CD" w14:textId="77777777" w:rsidR="00E63895" w:rsidRPr="00BA3D3B" w:rsidRDefault="00E63895" w:rsidP="00922958">
            <w:pPr>
              <w:rPr>
                <w:rFonts w:eastAsia="Times New Roman" w:cstheme="minorHAnsi"/>
                <w:bCs/>
                <w:color w:val="000000" w:themeColor="text1"/>
                <w:sz w:val="20"/>
                <w:szCs w:val="20"/>
              </w:rPr>
            </w:pPr>
          </w:p>
        </w:tc>
        <w:tc>
          <w:tcPr>
            <w:tcW w:w="859" w:type="pct"/>
            <w:tcBorders>
              <w:top w:val="single" w:sz="4" w:space="0" w:color="auto"/>
              <w:left w:val="single" w:sz="4" w:space="0" w:color="auto"/>
              <w:bottom w:val="single" w:sz="4" w:space="0" w:color="auto"/>
              <w:right w:val="single" w:sz="4" w:space="0" w:color="auto"/>
            </w:tcBorders>
            <w:shd w:val="clear" w:color="auto" w:fill="F2F2F2"/>
            <w:noWrap/>
            <w:hideMark/>
          </w:tcPr>
          <w:p w14:paraId="278C9DE5" w14:textId="77777777" w:rsidR="00E63895" w:rsidRPr="00BA3D3B" w:rsidRDefault="00E63895" w:rsidP="00922958">
            <w:pPr>
              <w:rPr>
                <w:rFonts w:eastAsia="Times New Roman" w:cstheme="minorHAnsi"/>
                <w:color w:val="000000" w:themeColor="text1"/>
                <w:sz w:val="20"/>
                <w:szCs w:val="20"/>
              </w:rPr>
            </w:pPr>
            <w:r w:rsidRPr="00BA3D3B">
              <w:rPr>
                <w:rFonts w:eastAsia="Times New Roman" w:cstheme="minorHAnsi"/>
                <w:color w:val="000000" w:themeColor="text1"/>
                <w:sz w:val="20"/>
                <w:szCs w:val="20"/>
              </w:rPr>
              <w:t>Yes</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920F3D"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30.2</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5F8813"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9F436D7"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51.3</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8E8AC59"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E63895" w:rsidRPr="00BA3D3B" w14:paraId="77D8D599" w14:textId="77777777" w:rsidTr="00922958">
        <w:trPr>
          <w:trHeight w:val="386"/>
        </w:trPr>
        <w:tc>
          <w:tcPr>
            <w:tcW w:w="1558" w:type="pct"/>
            <w:tcBorders>
              <w:top w:val="single" w:sz="4" w:space="0" w:color="auto"/>
              <w:left w:val="single" w:sz="4" w:space="0" w:color="auto"/>
              <w:bottom w:val="single" w:sz="4" w:space="0" w:color="auto"/>
              <w:right w:val="single" w:sz="4" w:space="0" w:color="auto"/>
            </w:tcBorders>
            <w:shd w:val="clear" w:color="auto" w:fill="F2F2F2"/>
            <w:noWrap/>
            <w:hideMark/>
          </w:tcPr>
          <w:p w14:paraId="20C68122" w14:textId="77777777" w:rsidR="00E63895" w:rsidRPr="00BA3D3B" w:rsidRDefault="00E63895" w:rsidP="00922958">
            <w:pPr>
              <w:rPr>
                <w:rFonts w:eastAsia="Times New Roman" w:cstheme="minorHAnsi"/>
                <w:bCs/>
                <w:color w:val="000000" w:themeColor="text1"/>
                <w:sz w:val="20"/>
                <w:szCs w:val="20"/>
                <w:vertAlign w:val="superscript"/>
              </w:rPr>
            </w:pPr>
            <w:r w:rsidRPr="00BA3D3B">
              <w:rPr>
                <w:rFonts w:eastAsia="Times New Roman" w:cstheme="minorHAnsi"/>
                <w:bCs/>
                <w:color w:val="000000" w:themeColor="text1"/>
                <w:sz w:val="20"/>
                <w:szCs w:val="20"/>
              </w:rPr>
              <w:t>ASCT</w:t>
            </w:r>
            <w:r w:rsidRPr="00BA3D3B">
              <w:rPr>
                <w:rFonts w:eastAsia="Times New Roman" w:cstheme="minorHAnsi"/>
                <w:bCs/>
                <w:color w:val="000000" w:themeColor="text1"/>
                <w:sz w:val="20"/>
                <w:szCs w:val="20"/>
                <w:vertAlign w:val="superscript"/>
              </w:rPr>
              <w:t>§</w:t>
            </w:r>
          </w:p>
        </w:tc>
        <w:tc>
          <w:tcPr>
            <w:tcW w:w="859" w:type="pct"/>
            <w:tcBorders>
              <w:top w:val="single" w:sz="4" w:space="0" w:color="auto"/>
              <w:left w:val="single" w:sz="4" w:space="0" w:color="auto"/>
              <w:bottom w:val="single" w:sz="4" w:space="0" w:color="auto"/>
              <w:right w:val="single" w:sz="4" w:space="0" w:color="auto"/>
            </w:tcBorders>
            <w:shd w:val="clear" w:color="auto" w:fill="F2F2F2"/>
            <w:noWrap/>
            <w:hideMark/>
          </w:tcPr>
          <w:p w14:paraId="7A54B197" w14:textId="77777777" w:rsidR="00E63895" w:rsidRPr="00BA3D3B" w:rsidRDefault="00E63895" w:rsidP="00922958">
            <w:pPr>
              <w:rPr>
                <w:rFonts w:eastAsia="Times New Roman" w:cstheme="minorHAnsi"/>
                <w:color w:val="000000" w:themeColor="text1"/>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2DEF8F"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0.50</w:t>
            </w:r>
            <w:r>
              <w:rPr>
                <w:rFonts w:eastAsia="Times New Roman" w:cstheme="minorHAnsi"/>
                <w:color w:val="000000" w:themeColor="text1"/>
                <w:sz w:val="20"/>
                <w:szCs w:val="20"/>
              </w:rPr>
              <w:t xml:space="preserve"> </w:t>
            </w:r>
            <w:r w:rsidRPr="00BA3D3B">
              <w:rPr>
                <w:rFonts w:eastAsia="Times New Roman" w:cstheme="minorHAnsi"/>
                <w:color w:val="000000" w:themeColor="text1"/>
                <w:sz w:val="20"/>
                <w:szCs w:val="20"/>
              </w:rPr>
              <w:t>(0.32–0.80)</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4C049C"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0.004</w:t>
            </w:r>
          </w:p>
        </w:tc>
        <w:tc>
          <w:tcPr>
            <w:tcW w:w="72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659AF55"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0.36</w:t>
            </w:r>
            <w:r>
              <w:rPr>
                <w:rFonts w:eastAsia="Times New Roman" w:cstheme="minorHAnsi"/>
                <w:color w:val="000000" w:themeColor="text1"/>
                <w:sz w:val="20"/>
                <w:szCs w:val="20"/>
              </w:rPr>
              <w:t xml:space="preserve"> </w:t>
            </w:r>
            <w:r w:rsidRPr="00BA3D3B">
              <w:rPr>
                <w:rFonts w:eastAsia="Times New Roman" w:cstheme="minorHAnsi"/>
                <w:color w:val="000000" w:themeColor="text1"/>
                <w:sz w:val="20"/>
                <w:szCs w:val="20"/>
              </w:rPr>
              <w:t>(0.20–0.65)</w:t>
            </w:r>
          </w:p>
        </w:tc>
        <w:tc>
          <w:tcPr>
            <w:tcW w:w="567"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9A847D6" w14:textId="77777777" w:rsidR="00E63895" w:rsidRPr="00BA3D3B" w:rsidRDefault="00E63895" w:rsidP="00922958">
            <w:pPr>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bl>
    <w:p w14:paraId="54874E42" w14:textId="77777777" w:rsidR="00E63895" w:rsidRPr="00BA3D3B" w:rsidRDefault="00E63895" w:rsidP="00E63895">
      <w:pPr>
        <w:spacing w:before="120" w:line="240" w:lineRule="auto"/>
        <w:jc w:val="both"/>
        <w:rPr>
          <w:rFonts w:cstheme="minorHAnsi"/>
          <w:color w:val="000000" w:themeColor="text1"/>
          <w:sz w:val="20"/>
          <w:szCs w:val="20"/>
          <w:lang w:val="en-GB"/>
        </w:rPr>
      </w:pPr>
      <w:r w:rsidRPr="00BA3D3B">
        <w:rPr>
          <w:rFonts w:cstheme="minorHAnsi"/>
          <w:color w:val="000000" w:themeColor="text1"/>
          <w:sz w:val="20"/>
          <w:szCs w:val="20"/>
          <w:lang w:val="en-GB"/>
        </w:rPr>
        <w:t>MALT: mucosa-associated lymphoid tissue; MCL: mantle cell lymphoma; PFS: progression-free survival; MIPI: Mantle Cell Lymphoma International Prognostic Index; ECOG:</w:t>
      </w:r>
      <w:r w:rsidRPr="00BA3D3B">
        <w:rPr>
          <w:rStyle w:val="st"/>
          <w:rFonts w:eastAsia="Times New Roman" w:cstheme="minorHAnsi"/>
          <w:color w:val="000000" w:themeColor="text1"/>
          <w:sz w:val="20"/>
          <w:szCs w:val="20"/>
          <w:lang w:val="en-US"/>
        </w:rPr>
        <w:t xml:space="preserve"> </w:t>
      </w:r>
      <w:r w:rsidRPr="00BA3D3B">
        <w:rPr>
          <w:rFonts w:eastAsia="Times New Roman" w:cstheme="minorHAnsi"/>
          <w:color w:val="000000" w:themeColor="text1"/>
          <w:sz w:val="20"/>
          <w:szCs w:val="20"/>
          <w:lang w:val="en-US"/>
        </w:rPr>
        <w:t xml:space="preserve">Eastern Cooperative Oncology Group; </w:t>
      </w:r>
      <w:r w:rsidRPr="00BA3D3B">
        <w:rPr>
          <w:rFonts w:cstheme="minorHAnsi"/>
          <w:color w:val="000000" w:themeColor="text1"/>
          <w:sz w:val="20"/>
          <w:szCs w:val="20"/>
          <w:lang w:val="en-GB"/>
        </w:rPr>
        <w:t>PS: performance status; ASCT: autologous stem cell transplantation</w:t>
      </w:r>
    </w:p>
    <w:p w14:paraId="65D22798" w14:textId="77777777" w:rsidR="00E63895" w:rsidRPr="00BA3D3B" w:rsidRDefault="00E63895" w:rsidP="00E63895">
      <w:pPr>
        <w:spacing w:before="120" w:line="240" w:lineRule="auto"/>
        <w:jc w:val="both"/>
        <w:rPr>
          <w:rFonts w:cstheme="minorHAnsi"/>
          <w:color w:val="000000" w:themeColor="text1"/>
          <w:sz w:val="20"/>
          <w:szCs w:val="20"/>
          <w:lang w:val="en-GB"/>
        </w:rPr>
      </w:pPr>
      <w:r w:rsidRPr="00BA3D3B">
        <w:rPr>
          <w:rFonts w:cstheme="minorHAnsi"/>
          <w:color w:val="000000" w:themeColor="text1"/>
          <w:sz w:val="20"/>
          <w:szCs w:val="20"/>
          <w:lang w:val="en-GB"/>
        </w:rPr>
        <w:t>*Trend test</w:t>
      </w:r>
      <w:r>
        <w:rPr>
          <w:rFonts w:cstheme="minorHAnsi"/>
          <w:color w:val="000000" w:themeColor="text1"/>
          <w:sz w:val="20"/>
          <w:szCs w:val="20"/>
          <w:lang w:val="en-GB"/>
        </w:rPr>
        <w:t>.</w:t>
      </w:r>
    </w:p>
    <w:p w14:paraId="4A45E875" w14:textId="77777777" w:rsidR="00E63895" w:rsidRDefault="00E63895" w:rsidP="00E63895">
      <w:pPr>
        <w:spacing w:before="120" w:line="240" w:lineRule="auto"/>
        <w:jc w:val="both"/>
      </w:pPr>
      <w:r w:rsidRPr="00541309">
        <w:rPr>
          <w:rFonts w:cstheme="minorHAnsi"/>
          <w:color w:val="000000" w:themeColor="text1"/>
          <w:sz w:val="20"/>
          <w:szCs w:val="20"/>
          <w:vertAlign w:val="superscript"/>
          <w:lang w:val="en-GB"/>
        </w:rPr>
        <w:t>§</w:t>
      </w:r>
      <w:r w:rsidRPr="00BA3D3B">
        <w:rPr>
          <w:rFonts w:cstheme="minorHAnsi"/>
          <w:color w:val="000000" w:themeColor="text1"/>
          <w:sz w:val="20"/>
          <w:szCs w:val="20"/>
          <w:lang w:val="en-GB"/>
        </w:rPr>
        <w:t>HR (95% CI)</w:t>
      </w:r>
      <w:r>
        <w:rPr>
          <w:rFonts w:cstheme="minorHAnsi"/>
          <w:color w:val="000000" w:themeColor="text1"/>
          <w:sz w:val="20"/>
          <w:szCs w:val="20"/>
          <w:lang w:val="en-GB"/>
        </w:rPr>
        <w:t>.</w:t>
      </w:r>
    </w:p>
    <w:p w14:paraId="03A4FE85" w14:textId="76F39C1B" w:rsidR="00E63895" w:rsidRDefault="00E63895">
      <w:pPr>
        <w:rPr>
          <w:rFonts w:cstheme="minorHAnsi"/>
          <w:bCs/>
          <w:color w:val="000000" w:themeColor="text1"/>
          <w:sz w:val="20"/>
          <w:szCs w:val="20"/>
          <w:lang w:val="en-GB"/>
        </w:rPr>
      </w:pPr>
      <w:r>
        <w:rPr>
          <w:rFonts w:cstheme="minorHAnsi"/>
          <w:bCs/>
          <w:color w:val="000000" w:themeColor="text1"/>
          <w:sz w:val="20"/>
          <w:szCs w:val="20"/>
          <w:lang w:val="en-GB"/>
        </w:rPr>
        <w:br w:type="page"/>
      </w:r>
    </w:p>
    <w:p w14:paraId="55A66FF6" w14:textId="77777777" w:rsidR="006E4039" w:rsidRPr="00BA3D3B" w:rsidRDefault="006E4039" w:rsidP="006E4039">
      <w:pPr>
        <w:spacing w:line="480" w:lineRule="auto"/>
        <w:jc w:val="both"/>
        <w:rPr>
          <w:rFonts w:cstheme="minorHAnsi"/>
          <w:color w:val="000000" w:themeColor="text1"/>
          <w:sz w:val="20"/>
          <w:szCs w:val="20"/>
          <w:lang w:val="en-GB"/>
        </w:rPr>
      </w:pPr>
      <w:r>
        <w:rPr>
          <w:rFonts w:cstheme="minorHAnsi"/>
          <w:b/>
          <w:bCs/>
          <w:color w:val="000000" w:themeColor="text1"/>
          <w:sz w:val="20"/>
          <w:szCs w:val="20"/>
          <w:lang w:val="en-US"/>
        </w:rPr>
        <w:lastRenderedPageBreak/>
        <w:t>T</w:t>
      </w:r>
      <w:r w:rsidRPr="00BA3D3B">
        <w:rPr>
          <w:rFonts w:cstheme="minorHAnsi"/>
          <w:b/>
          <w:bCs/>
          <w:color w:val="000000" w:themeColor="text1"/>
          <w:sz w:val="20"/>
          <w:szCs w:val="20"/>
          <w:lang w:val="en-US"/>
        </w:rPr>
        <w:t xml:space="preserve">able S3. </w:t>
      </w:r>
      <w:r w:rsidRPr="00BA3D3B">
        <w:rPr>
          <w:rFonts w:cstheme="minorHAnsi"/>
          <w:color w:val="000000" w:themeColor="text1"/>
          <w:sz w:val="20"/>
          <w:szCs w:val="20"/>
          <w:lang w:val="en-GB"/>
        </w:rPr>
        <w:t>Univariable analysis for progression-free survival and overall survival in the whole mantle cell lymphoma population (127 patients with MALT mantle cell lymphoma and in 128 patients with nodal classic mantle cell lymphoma).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1901"/>
        <w:gridCol w:w="1415"/>
        <w:gridCol w:w="1320"/>
        <w:gridCol w:w="1416"/>
        <w:gridCol w:w="1319"/>
      </w:tblGrid>
      <w:tr w:rsidR="006E4039" w:rsidRPr="00BA3D3B" w14:paraId="26FB698D" w14:textId="77777777" w:rsidTr="00922958">
        <w:trPr>
          <w:trHeight w:val="335"/>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20B54" w14:textId="77777777" w:rsidR="006E4039" w:rsidRPr="00BA3D3B" w:rsidRDefault="006E4039" w:rsidP="00922958">
            <w:pPr>
              <w:spacing w:line="240" w:lineRule="auto"/>
              <w:rPr>
                <w:rFonts w:eastAsia="Times New Roman" w:cstheme="minorHAnsi"/>
                <w:b/>
                <w:bCs/>
                <w:color w:val="000000" w:themeColor="text1"/>
                <w:sz w:val="20"/>
                <w:szCs w:val="20"/>
              </w:rPr>
            </w:pPr>
            <w:r w:rsidRPr="00BA3D3B">
              <w:rPr>
                <w:rFonts w:eastAsia="Times New Roman" w:cstheme="minorHAnsi"/>
                <w:b/>
                <w:bCs/>
                <w:color w:val="000000" w:themeColor="text1"/>
                <w:sz w:val="20"/>
                <w:szCs w:val="20"/>
              </w:rPr>
              <w:t>Parameter</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E1982FC" w14:textId="77777777" w:rsidR="006E4039" w:rsidRPr="00BA3D3B" w:rsidRDefault="006E4039" w:rsidP="00922958">
            <w:pPr>
              <w:spacing w:line="240" w:lineRule="auto"/>
              <w:jc w:val="center"/>
              <w:rPr>
                <w:rFonts w:eastAsia="Times New Roman" w:cstheme="minorHAnsi"/>
                <w:b/>
                <w:bCs/>
                <w:color w:val="000000" w:themeColor="text1"/>
                <w:sz w:val="20"/>
                <w:szCs w:val="20"/>
              </w:rPr>
            </w:pPr>
            <w:r w:rsidRPr="00BA3D3B">
              <w:rPr>
                <w:rFonts w:eastAsia="Times New Roman" w:cstheme="minorHAnsi"/>
                <w:b/>
                <w:bCs/>
                <w:color w:val="000000" w:themeColor="text1"/>
                <w:sz w:val="20"/>
                <w:szCs w:val="20"/>
              </w:rPr>
              <w:t>PFS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C2E5EC" w14:textId="77777777" w:rsidR="006E4039" w:rsidRPr="00BA3D3B" w:rsidRDefault="006E4039" w:rsidP="00922958">
            <w:pPr>
              <w:spacing w:line="240" w:lineRule="auto"/>
              <w:jc w:val="center"/>
              <w:rPr>
                <w:rFonts w:eastAsia="Times New Roman" w:cstheme="minorHAnsi"/>
                <w:b/>
                <w:bCs/>
                <w:color w:val="000000" w:themeColor="text1"/>
                <w:sz w:val="20"/>
                <w:szCs w:val="20"/>
              </w:rPr>
            </w:pPr>
            <w:r w:rsidRPr="00BA3D3B">
              <w:rPr>
                <w:rFonts w:eastAsia="Times New Roman" w:cstheme="minorHAnsi"/>
                <w:b/>
                <w:bCs/>
                <w:color w:val="000000" w:themeColor="text1"/>
                <w:sz w:val="20"/>
                <w:szCs w:val="20"/>
              </w:rPr>
              <w:t>OS</w:t>
            </w:r>
          </w:p>
        </w:tc>
      </w:tr>
      <w:tr w:rsidR="006E4039" w:rsidRPr="00BA3D3B" w14:paraId="77C4709B" w14:textId="77777777" w:rsidTr="00922958">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0CFF65" w14:textId="77777777" w:rsidR="006E4039" w:rsidRPr="00BA3D3B" w:rsidRDefault="006E4039" w:rsidP="00922958">
            <w:pPr>
              <w:spacing w:line="240" w:lineRule="auto"/>
              <w:rPr>
                <w:rFonts w:eastAsia="Times New Roman" w:cstheme="minorHAnsi"/>
                <w:b/>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BAE8FE0" w14:textId="77777777" w:rsidR="006E4039" w:rsidRPr="00000F34" w:rsidRDefault="006E4039" w:rsidP="00922958">
            <w:pPr>
              <w:spacing w:line="240" w:lineRule="auto"/>
              <w:jc w:val="center"/>
              <w:rPr>
                <w:rFonts w:eastAsia="Times New Roman" w:cstheme="minorHAnsi"/>
                <w:b/>
                <w:bCs/>
                <w:i/>
                <w:iCs/>
                <w:color w:val="000000" w:themeColor="text1"/>
                <w:sz w:val="20"/>
                <w:szCs w:val="20"/>
              </w:rPr>
            </w:pPr>
            <w:r w:rsidRPr="00000F34">
              <w:rPr>
                <w:rFonts w:eastAsia="Times New Roman" w:cstheme="minorHAnsi"/>
                <w:b/>
                <w:bCs/>
                <w:i/>
                <w:iCs/>
                <w:color w:val="000000" w:themeColor="text1"/>
                <w:sz w:val="20"/>
                <w:szCs w:val="20"/>
              </w:rPr>
              <w:t>5-y</w:t>
            </w:r>
            <w:r>
              <w:rPr>
                <w:rFonts w:eastAsia="Times New Roman" w:cstheme="minorHAnsi"/>
                <w:b/>
                <w:bCs/>
                <w:i/>
                <w:iCs/>
                <w:color w:val="000000" w:themeColor="text1"/>
                <w:sz w:val="20"/>
                <w:szCs w:val="20"/>
              </w:rPr>
              <w:t>ea</w:t>
            </w:r>
            <w:r w:rsidRPr="00000F34">
              <w:rPr>
                <w:rFonts w:eastAsia="Times New Roman" w:cstheme="minorHAnsi"/>
                <w:b/>
                <w:bCs/>
                <w:i/>
                <w:iCs/>
                <w:color w:val="000000" w:themeColor="text1"/>
                <w:sz w:val="20"/>
                <w:szCs w:val="20"/>
              </w:rPr>
              <w:t xml:space="preserve">r </w:t>
            </w:r>
            <w:r>
              <w:rPr>
                <w:rFonts w:eastAsia="Times New Roman" w:cstheme="minorHAnsi"/>
                <w:b/>
                <w:bCs/>
                <w:i/>
                <w:iCs/>
                <w:color w:val="000000" w:themeColor="text1"/>
                <w:sz w:val="20"/>
                <w:szCs w:val="20"/>
              </w:rPr>
              <w:t>(</w:t>
            </w:r>
            <w:r w:rsidRPr="00000F34">
              <w:rPr>
                <w:rFonts w:eastAsia="Times New Roman" w:cstheme="minorHAnsi"/>
                <w:b/>
                <w:bCs/>
                <w:i/>
                <w:iCs/>
                <w:color w:val="000000" w:themeColor="text1"/>
                <w:sz w:val="20"/>
                <w:szCs w:val="20"/>
              </w:rPr>
              <w:t>%</w:t>
            </w:r>
            <w:r>
              <w:rPr>
                <w:rFonts w:eastAsia="Times New Roman" w:cstheme="minorHAnsi"/>
                <w:b/>
                <w:bCs/>
                <w:i/>
                <w:iCs/>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D2311B" w14:textId="77777777" w:rsidR="006E4039" w:rsidRPr="00000F34" w:rsidRDefault="006E4039" w:rsidP="00922958">
            <w:pPr>
              <w:spacing w:line="240" w:lineRule="auto"/>
              <w:jc w:val="center"/>
              <w:rPr>
                <w:rFonts w:eastAsia="Times New Roman" w:cstheme="minorHAnsi"/>
                <w:b/>
                <w:bCs/>
                <w:i/>
                <w:iCs/>
                <w:color w:val="000000" w:themeColor="text1"/>
                <w:sz w:val="20"/>
                <w:szCs w:val="20"/>
              </w:rPr>
            </w:pPr>
            <w:r w:rsidRPr="00000F34">
              <w:rPr>
                <w:rFonts w:eastAsia="Times New Roman" w:cstheme="minorHAnsi"/>
                <w:b/>
                <w:bCs/>
                <w:i/>
                <w:iCs/>
                <w:color w:val="000000" w:themeColor="text1"/>
                <w:sz w:val="20"/>
                <w:szCs w:val="20"/>
              </w:rPr>
              <w:t>p</w:t>
            </w:r>
            <w:r>
              <w:rPr>
                <w:rFonts w:eastAsia="Times New Roman" w:cstheme="minorHAnsi"/>
                <w:b/>
                <w:bCs/>
                <w:i/>
                <w:iCs/>
                <w:color w:val="000000" w:themeColor="text1"/>
                <w:sz w:val="20"/>
                <w:szCs w:val="20"/>
              </w:rPr>
              <w:t>-</w:t>
            </w:r>
            <w:r w:rsidRPr="00000F34">
              <w:rPr>
                <w:rFonts w:eastAsia="Times New Roman" w:cstheme="minorHAnsi"/>
                <w:b/>
                <w:bCs/>
                <w:i/>
                <w:iCs/>
                <w:color w:val="000000" w:themeColor="text1"/>
                <w:sz w:val="20"/>
                <w:szCs w:val="20"/>
              </w:rPr>
              <w:t>value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B2C382" w14:textId="77777777" w:rsidR="006E4039" w:rsidRPr="00000F34" w:rsidRDefault="006E4039" w:rsidP="00922958">
            <w:pPr>
              <w:spacing w:line="240" w:lineRule="auto"/>
              <w:jc w:val="center"/>
              <w:rPr>
                <w:rFonts w:eastAsia="Times New Roman" w:cstheme="minorHAnsi"/>
                <w:b/>
                <w:bCs/>
                <w:i/>
                <w:iCs/>
                <w:color w:val="000000" w:themeColor="text1"/>
                <w:sz w:val="20"/>
                <w:szCs w:val="20"/>
              </w:rPr>
            </w:pPr>
            <w:r w:rsidRPr="00000F34">
              <w:rPr>
                <w:rFonts w:eastAsia="Times New Roman" w:cstheme="minorHAnsi"/>
                <w:b/>
                <w:bCs/>
                <w:i/>
                <w:iCs/>
                <w:color w:val="000000" w:themeColor="text1"/>
                <w:sz w:val="20"/>
                <w:szCs w:val="20"/>
              </w:rPr>
              <w:t>5-y</w:t>
            </w:r>
            <w:r>
              <w:rPr>
                <w:rFonts w:eastAsia="Times New Roman" w:cstheme="minorHAnsi"/>
                <w:b/>
                <w:bCs/>
                <w:i/>
                <w:iCs/>
                <w:color w:val="000000" w:themeColor="text1"/>
                <w:sz w:val="20"/>
                <w:szCs w:val="20"/>
              </w:rPr>
              <w:t>ea</w:t>
            </w:r>
            <w:r w:rsidRPr="00000F34">
              <w:rPr>
                <w:rFonts w:eastAsia="Times New Roman" w:cstheme="minorHAnsi"/>
                <w:b/>
                <w:bCs/>
                <w:i/>
                <w:iCs/>
                <w:color w:val="000000" w:themeColor="text1"/>
                <w:sz w:val="20"/>
                <w:szCs w:val="20"/>
              </w:rPr>
              <w:t xml:space="preserve">r </w:t>
            </w:r>
            <w:r>
              <w:rPr>
                <w:rFonts w:eastAsia="Times New Roman" w:cstheme="minorHAnsi"/>
                <w:b/>
                <w:bCs/>
                <w:i/>
                <w:iCs/>
                <w:color w:val="000000" w:themeColor="text1"/>
                <w:sz w:val="20"/>
                <w:szCs w:val="20"/>
              </w:rPr>
              <w:t>(</w:t>
            </w:r>
            <w:r w:rsidRPr="00000F34">
              <w:rPr>
                <w:rFonts w:eastAsia="Times New Roman" w:cstheme="minorHAnsi"/>
                <w:b/>
                <w:bCs/>
                <w:i/>
                <w:iCs/>
                <w:color w:val="000000" w:themeColor="text1"/>
                <w:sz w:val="20"/>
                <w:szCs w:val="20"/>
              </w:rPr>
              <w:t>%</w:t>
            </w:r>
            <w:r>
              <w:rPr>
                <w:rFonts w:eastAsia="Times New Roman" w:cstheme="minorHAnsi"/>
                <w:b/>
                <w:bCs/>
                <w:i/>
                <w:iCs/>
                <w:color w:val="000000" w:themeColor="text1"/>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31EE1" w14:textId="77777777" w:rsidR="006E4039" w:rsidRPr="00000F34" w:rsidRDefault="006E4039" w:rsidP="00922958">
            <w:pPr>
              <w:spacing w:line="240" w:lineRule="auto"/>
              <w:jc w:val="center"/>
              <w:rPr>
                <w:rFonts w:eastAsia="Times New Roman" w:cstheme="minorHAnsi"/>
                <w:b/>
                <w:bCs/>
                <w:i/>
                <w:iCs/>
                <w:color w:val="000000" w:themeColor="text1"/>
                <w:sz w:val="20"/>
                <w:szCs w:val="20"/>
              </w:rPr>
            </w:pPr>
            <w:r w:rsidRPr="00000F34">
              <w:rPr>
                <w:rFonts w:eastAsia="Times New Roman" w:cstheme="minorHAnsi"/>
                <w:b/>
                <w:bCs/>
                <w:i/>
                <w:iCs/>
                <w:color w:val="000000" w:themeColor="text1"/>
                <w:sz w:val="20"/>
                <w:szCs w:val="20"/>
              </w:rPr>
              <w:t>p</w:t>
            </w:r>
            <w:r>
              <w:rPr>
                <w:rFonts w:eastAsia="Times New Roman" w:cstheme="minorHAnsi"/>
                <w:b/>
                <w:bCs/>
                <w:i/>
                <w:iCs/>
                <w:color w:val="000000" w:themeColor="text1"/>
                <w:sz w:val="20"/>
                <w:szCs w:val="20"/>
              </w:rPr>
              <w:t>-</w:t>
            </w:r>
            <w:r w:rsidRPr="00000F34">
              <w:rPr>
                <w:rFonts w:eastAsia="Times New Roman" w:cstheme="minorHAnsi"/>
                <w:b/>
                <w:bCs/>
                <w:i/>
                <w:iCs/>
                <w:color w:val="000000" w:themeColor="text1"/>
                <w:sz w:val="20"/>
                <w:szCs w:val="20"/>
              </w:rPr>
              <w:t>value</w:t>
            </w:r>
          </w:p>
        </w:tc>
      </w:tr>
      <w:tr w:rsidR="006E4039" w:rsidRPr="00BA3D3B" w14:paraId="5F28DE93" w14:textId="77777777" w:rsidTr="00922958">
        <w:trPr>
          <w:trHeight w:val="384"/>
        </w:trPr>
        <w:tc>
          <w:tcPr>
            <w:tcW w:w="3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20E677" w14:textId="77777777" w:rsidR="006E4039" w:rsidRPr="00000F34"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All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363C5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36.1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B4EE80" w14:textId="77777777" w:rsidR="006E4039" w:rsidRPr="00BA3D3B" w:rsidRDefault="006E4039" w:rsidP="00922958">
            <w:pPr>
              <w:spacing w:line="240" w:lineRule="auto"/>
              <w:rPr>
                <w:rFonts w:eastAsia="Times New Roman" w:cstheme="minorHAns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EA71A"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66.9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CD5B00" w14:textId="77777777" w:rsidR="006E4039" w:rsidRPr="00BA3D3B" w:rsidRDefault="006E4039" w:rsidP="00922958">
            <w:pPr>
              <w:spacing w:line="240" w:lineRule="auto"/>
              <w:rPr>
                <w:rFonts w:eastAsia="Times New Roman" w:cstheme="minorHAnsi"/>
                <w:color w:val="000000" w:themeColor="text1"/>
                <w:sz w:val="20"/>
                <w:szCs w:val="20"/>
              </w:rPr>
            </w:pPr>
          </w:p>
        </w:tc>
      </w:tr>
      <w:tr w:rsidR="006E4039" w:rsidRPr="00BA3D3B" w14:paraId="77421593"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EF837F"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Clinical MCL variant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46DAA"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MALT MCL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3FD40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44.8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B5A5AC"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A199D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71.1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98A01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0.019</w:t>
            </w:r>
          </w:p>
        </w:tc>
      </w:tr>
      <w:tr w:rsidR="006E4039" w:rsidRPr="00BA3D3B" w14:paraId="5ACA2636"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3D42A156"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440AD"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Nodal cMCL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A1FDEC"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27.9</w:t>
            </w:r>
          </w:p>
        </w:tc>
        <w:tc>
          <w:tcPr>
            <w:tcW w:w="1418" w:type="dxa"/>
            <w:tcBorders>
              <w:top w:val="single" w:sz="4" w:space="0" w:color="auto"/>
              <w:left w:val="single" w:sz="4" w:space="0" w:color="auto"/>
              <w:bottom w:val="single" w:sz="4" w:space="0" w:color="auto"/>
              <w:right w:val="single" w:sz="4" w:space="0" w:color="auto"/>
            </w:tcBorders>
            <w:vAlign w:val="center"/>
          </w:tcPr>
          <w:p w14:paraId="74970EBD" w14:textId="77777777" w:rsidR="006E4039" w:rsidRPr="00BA3D3B" w:rsidRDefault="006E4039" w:rsidP="00922958">
            <w:pPr>
              <w:spacing w:line="240" w:lineRule="auto"/>
              <w:jc w:val="center"/>
              <w:rPr>
                <w:rFonts w:eastAsia="Times New Roman" w:cstheme="minorHAns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1D57DA"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62.9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03551" w14:textId="77777777" w:rsidR="006E4039" w:rsidRPr="00BA3D3B" w:rsidRDefault="006E4039" w:rsidP="00922958">
            <w:pPr>
              <w:spacing w:line="240" w:lineRule="auto"/>
              <w:jc w:val="center"/>
              <w:rPr>
                <w:rFonts w:eastAsia="Times New Roman" w:cstheme="minorHAnsi"/>
                <w:color w:val="000000" w:themeColor="text1"/>
                <w:sz w:val="20"/>
                <w:szCs w:val="20"/>
              </w:rPr>
            </w:pPr>
          </w:p>
        </w:tc>
      </w:tr>
      <w:tr w:rsidR="006E4039" w:rsidRPr="00BA3D3B" w14:paraId="0EA92AC4"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28D1E4"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Sex</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08DD5C"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Male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2101D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5072D8"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0.855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5284F0"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68.9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C2B510"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0.268</w:t>
            </w:r>
          </w:p>
        </w:tc>
      </w:tr>
      <w:tr w:rsidR="006E4039" w:rsidRPr="00BA3D3B" w14:paraId="0E4B7340"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0ADA4FBD"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31B16A"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Female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7032B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5625B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F0CC4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62.6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94C28"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602CE74B"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1141F"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Age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BDDA1A"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≤65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65069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48.9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B9AA89"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03D02"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85</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C15D8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6E4039" w:rsidRPr="00BA3D3B" w14:paraId="15A81D04"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35B20263"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125727"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&gt;65 years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A615B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9BB6D7"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C23A23"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49.8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3D16F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2129AE86"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6DD6FA"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sMIPI</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DD1B53"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Low</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6E053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CABC1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E7F2C"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91.4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1731C"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6E4039" w:rsidRPr="00BA3D3B" w14:paraId="1DBD2E32"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57190ABE"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BE0079"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Intermediate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51FE9"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31.7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46148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8E1B4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59.1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B9D21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747A339B"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7DA20156"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1A43E4"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High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AB613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13.6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BD3739"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C610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29.1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23CCF2"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5E44158B"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1ABD65"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Ann Arbor stage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E07761"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I/II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5073B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75200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9BA5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72.7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EEF6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0.095</w:t>
            </w:r>
          </w:p>
        </w:tc>
      </w:tr>
      <w:tr w:rsidR="006E4039" w:rsidRPr="00BA3D3B" w14:paraId="7EE22FFB"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74FB5361"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BAA0EE"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III/IV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BCAB7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29.4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0BE33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191BD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63.9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4DAC92"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22187DC1"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57B34F"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Bone marrow involvement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86B2BF"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Negative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84031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43.1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77113A"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DC945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76.1</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32D4B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0.006</w:t>
            </w:r>
          </w:p>
        </w:tc>
      </w:tr>
      <w:tr w:rsidR="006E4039" w:rsidRPr="00BA3D3B" w14:paraId="1F2E93F0"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209D0AFD"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BB5664"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Positive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EE02F0"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29.4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F3650A"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77FEC8"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59.9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7629C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38F5AF98"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8EE1855"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ECOG PS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284CEB"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1BBD9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43.5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4645F8"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F70054"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76.5</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46A0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6E4039" w:rsidRPr="00BA3D3B" w14:paraId="48EBDEA8"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445E3482"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113458"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11FAF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10.7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D6D92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6C407"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34.3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B265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70D224D8"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C9AC33"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Ki-67 proliferation index</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DFD9D9"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Low (&lt;30%)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531F4"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45.4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4A0222"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409770"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79.6</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FE74C3"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&lt;0.001</w:t>
            </w:r>
          </w:p>
        </w:tc>
      </w:tr>
      <w:tr w:rsidR="006E4039" w:rsidRPr="00BA3D3B" w14:paraId="54C201DF"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48DC61AA"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9B7F83"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High (≥30%)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77ACBD"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2ABAE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2286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53.4</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E5FA5A"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22473B53"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CEA42D"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Cytology</w:t>
            </w:r>
          </w:p>
        </w:tc>
        <w:tc>
          <w:tcPr>
            <w:tcW w:w="1418" w:type="dxa"/>
            <w:tcBorders>
              <w:top w:val="single" w:sz="4" w:space="0" w:color="auto"/>
              <w:left w:val="single" w:sz="4" w:space="0" w:color="auto"/>
              <w:right w:val="single" w:sz="4" w:space="0" w:color="auto"/>
            </w:tcBorders>
            <w:shd w:val="clear" w:color="auto" w:fill="F2F2F2" w:themeFill="background1" w:themeFillShade="F2"/>
            <w:noWrap/>
            <w:hideMark/>
          </w:tcPr>
          <w:p w14:paraId="5F7D15DB"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Blastoid/pleomorphic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BC65A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25.8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946B25"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0.048</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DF3C1D"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39</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1FDEC"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0.004</w:t>
            </w:r>
          </w:p>
        </w:tc>
      </w:tr>
      <w:tr w:rsidR="006E4039" w:rsidRPr="00BA3D3B" w14:paraId="1E2F5C04"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21BBAAE8"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985242"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Classic</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988ED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37.4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AD6272"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A65EB2"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71.8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8B9DB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5ACB5A62" w14:textId="77777777" w:rsidTr="00922958">
        <w:trPr>
          <w:trHeight w:val="384"/>
        </w:trPr>
        <w:tc>
          <w:tcPr>
            <w:tcW w:w="2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E9BEB3"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B symptoms</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745AA2D"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9E4F53"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55E7DE"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0.745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ACD26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69.8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111123"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0.059</w:t>
            </w:r>
          </w:p>
        </w:tc>
      </w:tr>
      <w:tr w:rsidR="006E4039" w:rsidRPr="00BA3D3B" w14:paraId="7D5FE690" w14:textId="77777777" w:rsidTr="00922958">
        <w:trPr>
          <w:trHeight w:val="384"/>
        </w:trPr>
        <w:tc>
          <w:tcPr>
            <w:tcW w:w="0" w:type="auto"/>
            <w:vMerge/>
            <w:tcBorders>
              <w:top w:val="single" w:sz="4" w:space="0" w:color="auto"/>
              <w:left w:val="single" w:sz="4" w:space="0" w:color="auto"/>
              <w:bottom w:val="single" w:sz="4" w:space="0" w:color="auto"/>
              <w:right w:val="single" w:sz="4" w:space="0" w:color="auto"/>
            </w:tcBorders>
            <w:hideMark/>
          </w:tcPr>
          <w:p w14:paraId="4657464E" w14:textId="77777777" w:rsidR="006E4039" w:rsidRPr="00BA3D3B" w:rsidRDefault="006E4039" w:rsidP="00922958">
            <w:pPr>
              <w:spacing w:line="240" w:lineRule="auto"/>
              <w:rPr>
                <w:rFonts w:eastAsia="Times New Roman" w:cstheme="minorHAnsi"/>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30FCF9" w14:textId="77777777" w:rsidR="006E4039" w:rsidRPr="00BA3D3B" w:rsidRDefault="006E4039" w:rsidP="00922958">
            <w:pPr>
              <w:spacing w:line="240" w:lineRule="auto"/>
              <w:rPr>
                <w:rFonts w:eastAsia="Times New Roman" w:cstheme="minorHAnsi"/>
                <w:color w:val="000000" w:themeColor="text1"/>
                <w:sz w:val="20"/>
                <w:szCs w:val="20"/>
              </w:rPr>
            </w:pPr>
            <w:r w:rsidRPr="00BA3D3B">
              <w:rPr>
                <w:rFonts w:eastAsia="Times New Roman" w:cstheme="minorHAnsi"/>
                <w:color w:val="000000" w:themeColor="text1"/>
                <w:sz w:val="20"/>
                <w:szCs w:val="20"/>
              </w:rPr>
              <w:t>Yes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659FBD"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39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AE1A36"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304988"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57.7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81BDED"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 </w:t>
            </w:r>
          </w:p>
        </w:tc>
      </w:tr>
      <w:tr w:rsidR="006E4039" w:rsidRPr="00BA3D3B" w14:paraId="19E6269C" w14:textId="77777777" w:rsidTr="00922958">
        <w:trPr>
          <w:trHeight w:val="384"/>
        </w:trPr>
        <w:tc>
          <w:tcPr>
            <w:tcW w:w="2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1D2EBA" w14:textId="77777777" w:rsidR="006E4039" w:rsidRPr="00BA3D3B" w:rsidRDefault="006E4039" w:rsidP="00922958">
            <w:pPr>
              <w:spacing w:line="240" w:lineRule="auto"/>
              <w:rPr>
                <w:rFonts w:eastAsia="Times New Roman" w:cstheme="minorHAnsi"/>
                <w:bCs/>
                <w:color w:val="000000" w:themeColor="text1"/>
                <w:sz w:val="20"/>
                <w:szCs w:val="20"/>
              </w:rPr>
            </w:pPr>
            <w:r w:rsidRPr="00BA3D3B">
              <w:rPr>
                <w:rFonts w:eastAsia="Times New Roman" w:cstheme="minorHAnsi"/>
                <w:bCs/>
                <w:color w:val="000000" w:themeColor="text1"/>
                <w:sz w:val="20"/>
                <w:szCs w:val="20"/>
              </w:rPr>
              <w:t>ASCT</w:t>
            </w:r>
            <w:r w:rsidRPr="00BA3D3B">
              <w:rPr>
                <w:rFonts w:eastAsia="Times New Roman" w:cstheme="minorHAnsi"/>
                <w:bCs/>
                <w:color w:val="000000" w:themeColor="text1"/>
                <w:sz w:val="20"/>
                <w:szCs w:val="20"/>
                <w:vertAlign w:val="superscript"/>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967EB1" w14:textId="77777777" w:rsidR="006E4039" w:rsidRPr="00BA3D3B" w:rsidRDefault="006E4039" w:rsidP="00922958">
            <w:pPr>
              <w:spacing w:line="240" w:lineRule="auto"/>
              <w:rPr>
                <w:rFonts w:eastAsia="Times New Roman" w:cstheme="minorHAnsi"/>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87466F"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0.64 (0.44–0.94)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A5ED2A"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0.022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819C1"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0.52 (0.32–0.83)</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0F57B" w14:textId="77777777" w:rsidR="006E4039" w:rsidRPr="00BA3D3B" w:rsidRDefault="006E4039" w:rsidP="00922958">
            <w:pPr>
              <w:spacing w:line="240" w:lineRule="auto"/>
              <w:jc w:val="center"/>
              <w:rPr>
                <w:rFonts w:eastAsia="Times New Roman" w:cstheme="minorHAnsi"/>
                <w:color w:val="000000" w:themeColor="text1"/>
                <w:sz w:val="20"/>
                <w:szCs w:val="20"/>
              </w:rPr>
            </w:pPr>
            <w:r w:rsidRPr="00BA3D3B">
              <w:rPr>
                <w:rFonts w:eastAsia="Times New Roman" w:cstheme="minorHAnsi"/>
                <w:color w:val="000000" w:themeColor="text1"/>
                <w:sz w:val="20"/>
                <w:szCs w:val="20"/>
              </w:rPr>
              <w:t>&lt;0.006</w:t>
            </w:r>
          </w:p>
        </w:tc>
      </w:tr>
    </w:tbl>
    <w:p w14:paraId="2D63E79F" w14:textId="77777777" w:rsidR="006E4039" w:rsidRPr="00BA3D3B" w:rsidRDefault="006E4039" w:rsidP="006E4039">
      <w:pPr>
        <w:spacing w:before="120" w:line="240" w:lineRule="auto"/>
        <w:jc w:val="both"/>
        <w:rPr>
          <w:rFonts w:cstheme="minorHAnsi"/>
          <w:color w:val="000000" w:themeColor="text1"/>
          <w:sz w:val="20"/>
          <w:szCs w:val="20"/>
          <w:lang w:val="en-GB"/>
        </w:rPr>
      </w:pPr>
      <w:r w:rsidRPr="00BA3D3B">
        <w:rPr>
          <w:rFonts w:cstheme="minorHAnsi"/>
          <w:color w:val="000000" w:themeColor="text1"/>
          <w:sz w:val="20"/>
          <w:szCs w:val="20"/>
          <w:lang w:val="en-GB"/>
        </w:rPr>
        <w:t>MALT: mucosa-associated lymphoid tissue; MCL: mantle cell lymphoma; PFS: progression-free survival; MIPI: Mantle Cell Lymphoma International Prognostic Index; ECOG:</w:t>
      </w:r>
      <w:r w:rsidRPr="00BA3D3B">
        <w:rPr>
          <w:rStyle w:val="st"/>
          <w:rFonts w:eastAsia="Times New Roman" w:cstheme="minorHAnsi"/>
          <w:color w:val="000000" w:themeColor="text1"/>
          <w:sz w:val="20"/>
          <w:szCs w:val="20"/>
          <w:lang w:val="en-US"/>
        </w:rPr>
        <w:t xml:space="preserve"> </w:t>
      </w:r>
      <w:r w:rsidRPr="00BA3D3B">
        <w:rPr>
          <w:rFonts w:eastAsia="Times New Roman" w:cstheme="minorHAnsi"/>
          <w:color w:val="000000" w:themeColor="text1"/>
          <w:sz w:val="20"/>
          <w:szCs w:val="20"/>
          <w:lang w:val="en-US"/>
        </w:rPr>
        <w:t xml:space="preserve">Eastern Cooperative Oncology Group; </w:t>
      </w:r>
      <w:r w:rsidRPr="00BA3D3B">
        <w:rPr>
          <w:rFonts w:cstheme="minorHAnsi"/>
          <w:color w:val="000000" w:themeColor="text1"/>
          <w:sz w:val="20"/>
          <w:szCs w:val="20"/>
          <w:lang w:val="en-GB"/>
        </w:rPr>
        <w:t>PS: performance status; ASCT: autologous stem cell transplantation</w:t>
      </w:r>
    </w:p>
    <w:p w14:paraId="6CB97F89" w14:textId="77777777" w:rsidR="006E4039" w:rsidRDefault="006E4039" w:rsidP="006E4039">
      <w:pPr>
        <w:spacing w:before="120" w:line="480" w:lineRule="auto"/>
        <w:jc w:val="both"/>
        <w:rPr>
          <w:rFonts w:cstheme="minorHAnsi"/>
          <w:color w:val="000000" w:themeColor="text1"/>
          <w:sz w:val="20"/>
          <w:szCs w:val="20"/>
          <w:lang w:val="en-GB"/>
        </w:rPr>
      </w:pPr>
      <w:r w:rsidRPr="00BA3D3B">
        <w:rPr>
          <w:rFonts w:cstheme="minorHAnsi"/>
          <w:color w:val="000000" w:themeColor="text1"/>
          <w:sz w:val="20"/>
          <w:szCs w:val="20"/>
          <w:lang w:val="en-GB"/>
        </w:rPr>
        <w:t>*Trend test</w:t>
      </w:r>
      <w:r>
        <w:rPr>
          <w:rFonts w:cstheme="minorHAnsi"/>
          <w:color w:val="000000" w:themeColor="text1"/>
          <w:sz w:val="20"/>
          <w:szCs w:val="20"/>
          <w:lang w:val="en-GB"/>
        </w:rPr>
        <w:t>.</w:t>
      </w:r>
    </w:p>
    <w:p w14:paraId="235E98E1" w14:textId="77777777" w:rsidR="006E4039" w:rsidRDefault="006E4039" w:rsidP="006E4039">
      <w:pPr>
        <w:spacing w:before="120" w:line="480" w:lineRule="auto"/>
        <w:jc w:val="both"/>
      </w:pPr>
      <w:r w:rsidRPr="00000F34">
        <w:rPr>
          <w:rFonts w:cstheme="minorHAnsi"/>
          <w:color w:val="000000" w:themeColor="text1"/>
          <w:sz w:val="20"/>
          <w:szCs w:val="20"/>
          <w:vertAlign w:val="superscript"/>
          <w:lang w:val="en-GB"/>
        </w:rPr>
        <w:t>§</w:t>
      </w:r>
      <w:r w:rsidRPr="00BA3D3B">
        <w:rPr>
          <w:rFonts w:cstheme="minorHAnsi"/>
          <w:color w:val="000000" w:themeColor="text1"/>
          <w:sz w:val="20"/>
          <w:szCs w:val="20"/>
          <w:lang w:val="en-GB"/>
        </w:rPr>
        <w:t>HR (95% CI)</w:t>
      </w:r>
      <w:r>
        <w:rPr>
          <w:rFonts w:cstheme="minorHAnsi"/>
          <w:color w:val="000000" w:themeColor="text1"/>
          <w:sz w:val="20"/>
          <w:szCs w:val="20"/>
          <w:lang w:val="en-GB"/>
        </w:rPr>
        <w:t>.</w:t>
      </w:r>
    </w:p>
    <w:p w14:paraId="7AB89C36" w14:textId="77777777" w:rsidR="006361CE" w:rsidRPr="006361CE" w:rsidRDefault="006361CE" w:rsidP="00A23433">
      <w:pPr>
        <w:spacing w:line="480" w:lineRule="auto"/>
        <w:jc w:val="both"/>
        <w:rPr>
          <w:rFonts w:cstheme="minorHAnsi"/>
          <w:bCs/>
          <w:color w:val="000000" w:themeColor="text1"/>
          <w:sz w:val="20"/>
          <w:szCs w:val="20"/>
          <w:lang w:val="en-GB"/>
        </w:rPr>
      </w:pPr>
      <w:bookmarkStart w:id="0" w:name="_GoBack"/>
      <w:bookmarkEnd w:id="0"/>
    </w:p>
    <w:sectPr w:rsidR="006361CE" w:rsidRPr="006361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09"/>
    <w:rsid w:val="00221709"/>
    <w:rsid w:val="0052768A"/>
    <w:rsid w:val="006361CE"/>
    <w:rsid w:val="006E4039"/>
    <w:rsid w:val="00A23433"/>
    <w:rsid w:val="00BA3D3B"/>
    <w:rsid w:val="00C64568"/>
    <w:rsid w:val="00E63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9E81"/>
  <w15:chartTrackingRefBased/>
  <w15:docId w15:val="{80066197-7728-4CE2-BBF4-3E159B72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D3B"/>
    <w:rPr>
      <w:rFonts w:ascii="Segoe UI" w:hAnsi="Segoe UI" w:cs="Segoe UI"/>
      <w:sz w:val="18"/>
      <w:szCs w:val="18"/>
    </w:rPr>
  </w:style>
  <w:style w:type="table" w:styleId="LightGrid">
    <w:name w:val="Light Grid"/>
    <w:basedOn w:val="TableNormal"/>
    <w:uiPriority w:val="62"/>
    <w:semiHidden/>
    <w:unhideWhenUsed/>
    <w:rsid w:val="00BA3D3B"/>
    <w:pPr>
      <w:spacing w:after="0" w:line="240" w:lineRule="auto"/>
    </w:pPr>
    <w:rPr>
      <w:rFonts w:eastAsiaTheme="minorEastAsia"/>
      <w:sz w:val="24"/>
      <w:szCs w:val="24"/>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BA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Giacomelli</dc:creator>
  <cp:keywords/>
  <dc:description/>
  <cp:lastModifiedBy>Justin Peeples</cp:lastModifiedBy>
  <cp:revision>8</cp:revision>
  <dcterms:created xsi:type="dcterms:W3CDTF">2019-04-18T15:03:00Z</dcterms:created>
  <dcterms:modified xsi:type="dcterms:W3CDTF">2019-09-20T21:24:00Z</dcterms:modified>
</cp:coreProperties>
</file>