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4CBE6" w14:textId="75E80075" w:rsidR="001855B2" w:rsidRPr="00002E9A" w:rsidRDefault="00002E9A">
      <w:pPr>
        <w:rPr>
          <w:b/>
          <w:bCs/>
        </w:rPr>
      </w:pPr>
      <w:r w:rsidRPr="00002E9A">
        <w:rPr>
          <w:b/>
          <w:bCs/>
        </w:rPr>
        <w:t>Supplementary Figure 1</w:t>
      </w:r>
    </w:p>
    <w:p w14:paraId="36A8ECBB" w14:textId="7DFB8B7F" w:rsidR="00002E9A" w:rsidRPr="00002E9A" w:rsidRDefault="00002E9A">
      <w:r w:rsidRPr="00002E9A">
        <w:rPr>
          <w:noProof/>
        </w:rPr>
        <w:drawing>
          <wp:inline distT="0" distB="0" distL="0" distR="0" wp14:anchorId="6469DAED" wp14:editId="6CAAC862">
            <wp:extent cx="6054039" cy="33432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23" cy="33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720A" w14:textId="6ED63FC0" w:rsidR="00002E9A" w:rsidRPr="00002E9A" w:rsidRDefault="00002E9A">
      <w:r w:rsidRPr="00002E9A">
        <w:br w:type="page"/>
      </w:r>
    </w:p>
    <w:p w14:paraId="2C58952C" w14:textId="77777777" w:rsidR="00002E9A" w:rsidRPr="00002E9A" w:rsidRDefault="00002E9A"/>
    <w:p w14:paraId="62D20142" w14:textId="77777777" w:rsidR="00002E9A" w:rsidRPr="00002E9A" w:rsidRDefault="00002E9A"/>
    <w:p w14:paraId="64E7BC1B" w14:textId="77777777" w:rsidR="00002E9A" w:rsidRPr="00002E9A" w:rsidRDefault="00002E9A" w:rsidP="00002E9A">
      <w:r w:rsidRPr="00002E9A">
        <w:rPr>
          <w:b/>
          <w:bCs/>
        </w:rPr>
        <w:t>Supplementary Figure 2:</w:t>
      </w:r>
      <w:r w:rsidRPr="00002E9A">
        <w:t xml:space="preserve"> Analytical phenotype of the 4 </w:t>
      </w:r>
      <w:proofErr w:type="spellStart"/>
      <w:r w:rsidRPr="00002E9A">
        <w:t>biphenotypic</w:t>
      </w:r>
      <w:proofErr w:type="spellEnd"/>
      <w:r w:rsidRPr="00002E9A">
        <w:t xml:space="preserve"> MRD+ cases shown in Figure 4. First row: The two MRD subsets show different expression levels of CD56 and have kappa light chain restriction. Second row: </w:t>
      </w:r>
      <w:proofErr w:type="spellStart"/>
      <w:r w:rsidRPr="00002E9A">
        <w:t>Biphenotypic</w:t>
      </w:r>
      <w:proofErr w:type="spellEnd"/>
      <w:r w:rsidRPr="00002E9A">
        <w:t xml:space="preserve"> MRD+ case with a distinct CD56 phenotype but with lambda</w:t>
      </w:r>
      <w:r w:rsidRPr="00002E9A">
        <w:rPr>
          <w:lang w:val="el-GR"/>
        </w:rPr>
        <w:t xml:space="preserve"> </w:t>
      </w:r>
      <w:r w:rsidRPr="00002E9A">
        <w:t xml:space="preserve">light chain restriction. Third row: Two different kappa clonal subsets with a distinct CD19 expression. Bottom row: The two clones show different levels of CD117 and CD27 and are both kappa light chain restricted. </w:t>
      </w:r>
    </w:p>
    <w:p w14:paraId="731EB3DD" w14:textId="0BD13C13" w:rsidR="00002E9A" w:rsidRDefault="00002E9A" w:rsidP="00002E9A">
      <w:r w:rsidRPr="00002E9A">
        <w:drawing>
          <wp:anchor distT="0" distB="0" distL="114300" distR="114300" simplePos="0" relativeHeight="251658240" behindDoc="0" locked="0" layoutInCell="1" allowOverlap="1" wp14:anchorId="74FA500F" wp14:editId="3D6E84D2">
            <wp:simplePos x="914400" y="2505075"/>
            <wp:positionH relativeFrom="column">
              <wp:align>center</wp:align>
            </wp:positionH>
            <wp:positionV relativeFrom="paragraph">
              <wp:posOffset>0</wp:posOffset>
            </wp:positionV>
            <wp:extent cx="4983480" cy="6373368"/>
            <wp:effectExtent l="0" t="0" r="762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FCA2" w14:textId="5885D1B8" w:rsidR="00002E9A" w:rsidRPr="008750D8" w:rsidRDefault="00002E9A" w:rsidP="00002E9A">
      <w:r w:rsidRPr="00002E9A">
        <w:rPr>
          <w:b/>
          <w:bCs/>
        </w:rPr>
        <w:lastRenderedPageBreak/>
        <w:t>Supplementary Table 1.</w:t>
      </w:r>
      <w:r>
        <w:t xml:space="preserve">  BM subset analysis in four patients turned MRD</w:t>
      </w:r>
      <w:r w:rsidRPr="00256DE4">
        <w:t>+</w:t>
      </w:r>
      <w:r>
        <w:rPr>
          <w:vertAlign w:val="superscript"/>
        </w:rPr>
        <w:t xml:space="preserve"> </w:t>
      </w:r>
      <w:r>
        <w:t>from initial MRD- status in sequential MRD testing</w:t>
      </w:r>
    </w:p>
    <w:tbl>
      <w:tblPr>
        <w:tblStyle w:val="TableGrid"/>
        <w:tblW w:w="5518" w:type="pct"/>
        <w:tblInd w:w="-455" w:type="dxa"/>
        <w:tblLook w:val="04A0" w:firstRow="1" w:lastRow="0" w:firstColumn="1" w:lastColumn="0" w:noHBand="0" w:noVBand="1"/>
      </w:tblPr>
      <w:tblGrid>
        <w:gridCol w:w="1741"/>
        <w:gridCol w:w="1072"/>
        <w:gridCol w:w="1072"/>
        <w:gridCol w:w="1072"/>
        <w:gridCol w:w="1072"/>
        <w:gridCol w:w="1072"/>
        <w:gridCol w:w="1073"/>
        <w:gridCol w:w="1072"/>
        <w:gridCol w:w="1073"/>
      </w:tblGrid>
      <w:tr w:rsidR="00002E9A" w:rsidRPr="00002E9A" w14:paraId="6E25A061" w14:textId="77777777" w:rsidTr="00002E9A">
        <w:trPr>
          <w:trHeight w:val="306"/>
        </w:trPr>
        <w:tc>
          <w:tcPr>
            <w:tcW w:w="844" w:type="pct"/>
            <w:vMerge w:val="restart"/>
            <w:vAlign w:val="center"/>
          </w:tcPr>
          <w:p w14:paraId="00F9DB2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Bone Marrow subset</w:t>
            </w:r>
          </w:p>
        </w:tc>
        <w:tc>
          <w:tcPr>
            <w:tcW w:w="1039" w:type="pct"/>
            <w:gridSpan w:val="2"/>
            <w:tcBorders>
              <w:right w:val="triple" w:sz="4" w:space="0" w:color="auto"/>
            </w:tcBorders>
          </w:tcPr>
          <w:p w14:paraId="0C5903DE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Patient #8</w:t>
            </w:r>
          </w:p>
        </w:tc>
        <w:tc>
          <w:tcPr>
            <w:tcW w:w="1039" w:type="pct"/>
            <w:gridSpan w:val="2"/>
            <w:tcBorders>
              <w:left w:val="triple" w:sz="4" w:space="0" w:color="auto"/>
              <w:right w:val="triple" w:sz="4" w:space="0" w:color="auto"/>
            </w:tcBorders>
          </w:tcPr>
          <w:p w14:paraId="4DF624EE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Patient #32</w:t>
            </w:r>
          </w:p>
        </w:tc>
        <w:tc>
          <w:tcPr>
            <w:tcW w:w="1039" w:type="pct"/>
            <w:gridSpan w:val="2"/>
            <w:tcBorders>
              <w:left w:val="triple" w:sz="4" w:space="0" w:color="auto"/>
              <w:right w:val="triple" w:sz="4" w:space="0" w:color="auto"/>
            </w:tcBorders>
          </w:tcPr>
          <w:p w14:paraId="76F3962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Patient #46</w:t>
            </w:r>
          </w:p>
        </w:tc>
        <w:tc>
          <w:tcPr>
            <w:tcW w:w="1039" w:type="pct"/>
            <w:gridSpan w:val="2"/>
            <w:tcBorders>
              <w:left w:val="triple" w:sz="4" w:space="0" w:color="auto"/>
            </w:tcBorders>
          </w:tcPr>
          <w:p w14:paraId="79D4A75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Patient #47</w:t>
            </w:r>
          </w:p>
        </w:tc>
      </w:tr>
      <w:tr w:rsidR="00002E9A" w:rsidRPr="00002E9A" w14:paraId="7E164AC0" w14:textId="77777777" w:rsidTr="00002E9A">
        <w:trPr>
          <w:trHeight w:val="324"/>
        </w:trPr>
        <w:tc>
          <w:tcPr>
            <w:tcW w:w="844" w:type="pct"/>
            <w:vMerge/>
          </w:tcPr>
          <w:p w14:paraId="3486A459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19" w:type="pct"/>
          </w:tcPr>
          <w:p w14:paraId="2C5BAE98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MRD-</w:t>
            </w:r>
          </w:p>
          <w:p w14:paraId="5445C2E7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002E9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 xml:space="preserve"> evaluation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352EEEA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MRD+</w:t>
            </w:r>
          </w:p>
          <w:p w14:paraId="6FA4360F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Re-evaluation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9BAE05A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MRD-</w:t>
            </w:r>
          </w:p>
          <w:p w14:paraId="613D9CC2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002E9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 xml:space="preserve"> evaluation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3B3A3EF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MRD+</w:t>
            </w:r>
          </w:p>
          <w:p w14:paraId="6DA4B90D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Re-evaluation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35C0E86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MRD-</w:t>
            </w:r>
          </w:p>
          <w:p w14:paraId="5DA60C9C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002E9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 xml:space="preserve"> evaluation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463EA605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MRD+</w:t>
            </w:r>
          </w:p>
          <w:p w14:paraId="6C73F67D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Re-evaluation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37C41019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MRD-</w:t>
            </w:r>
          </w:p>
          <w:p w14:paraId="77AA5E21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002E9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 xml:space="preserve"> evaluation</w:t>
            </w:r>
          </w:p>
        </w:tc>
        <w:tc>
          <w:tcPr>
            <w:tcW w:w="519" w:type="pct"/>
          </w:tcPr>
          <w:p w14:paraId="5DEA0A07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MRD+</w:t>
            </w:r>
          </w:p>
          <w:p w14:paraId="768F9A10" w14:textId="77777777" w:rsidR="00002E9A" w:rsidRPr="00002E9A" w:rsidRDefault="00002E9A" w:rsidP="005E359E">
            <w:pPr>
              <w:spacing w:after="200" w:line="276" w:lineRule="auto"/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02E9A">
              <w:rPr>
                <w:color w:val="000000" w:themeColor="text1"/>
                <w:sz w:val="20"/>
                <w:szCs w:val="20"/>
                <w:lang w:val="en-US"/>
              </w:rPr>
              <w:t>Re-evaluation</w:t>
            </w:r>
          </w:p>
        </w:tc>
      </w:tr>
      <w:tr w:rsidR="00002E9A" w:rsidRPr="00002E9A" w14:paraId="2D4D2524" w14:textId="77777777" w:rsidTr="00002E9A">
        <w:trPr>
          <w:trHeight w:val="324"/>
        </w:trPr>
        <w:tc>
          <w:tcPr>
            <w:tcW w:w="844" w:type="pct"/>
          </w:tcPr>
          <w:p w14:paraId="383E9A2B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Erythroblasts</w:t>
            </w:r>
          </w:p>
        </w:tc>
        <w:tc>
          <w:tcPr>
            <w:tcW w:w="519" w:type="pct"/>
          </w:tcPr>
          <w:p w14:paraId="54AD252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 xml:space="preserve">   0.97</w:t>
            </w:r>
            <w:r w:rsidRPr="00002E9A">
              <w:rPr>
                <w:rFonts w:cstheme="minorHAnsi"/>
                <w:sz w:val="20"/>
                <w:szCs w:val="20"/>
                <w:lang w:val="en-US"/>
              </w:rPr>
              <w:t>†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178537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2.21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5025E7F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1.24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9401D3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3.34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BAD627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3.14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5A7D59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4.97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2B8B6B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2.87</w:t>
            </w:r>
          </w:p>
        </w:tc>
        <w:tc>
          <w:tcPr>
            <w:tcW w:w="519" w:type="pct"/>
          </w:tcPr>
          <w:p w14:paraId="6346C70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2.94</w:t>
            </w:r>
          </w:p>
        </w:tc>
      </w:tr>
      <w:tr w:rsidR="00002E9A" w:rsidRPr="00002E9A" w14:paraId="27BBFA52" w14:textId="77777777" w:rsidTr="00002E9A">
        <w:trPr>
          <w:trHeight w:val="324"/>
        </w:trPr>
        <w:tc>
          <w:tcPr>
            <w:tcW w:w="844" w:type="pct"/>
          </w:tcPr>
          <w:p w14:paraId="03969D44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Erythroid progenitors</w:t>
            </w:r>
          </w:p>
        </w:tc>
        <w:tc>
          <w:tcPr>
            <w:tcW w:w="519" w:type="pct"/>
          </w:tcPr>
          <w:p w14:paraId="441BDC3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BDD2C9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F0540B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0.08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78FFFC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2A5331C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0.16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4AA897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0.15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2D69A8E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9" w:type="pct"/>
          </w:tcPr>
          <w:p w14:paraId="4982532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0.05</w:t>
            </w:r>
          </w:p>
        </w:tc>
      </w:tr>
      <w:tr w:rsidR="00002E9A" w:rsidRPr="00002E9A" w14:paraId="48653C7A" w14:textId="77777777" w:rsidTr="00002E9A">
        <w:trPr>
          <w:trHeight w:val="324"/>
        </w:trPr>
        <w:tc>
          <w:tcPr>
            <w:tcW w:w="844" w:type="pct"/>
          </w:tcPr>
          <w:p w14:paraId="717EF3C1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T cells</w:t>
            </w:r>
          </w:p>
        </w:tc>
        <w:tc>
          <w:tcPr>
            <w:tcW w:w="519" w:type="pct"/>
          </w:tcPr>
          <w:p w14:paraId="2E5A166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1.73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119EE1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2.06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ACFDA8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3.61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42FFFFCE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0.94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2055EA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11.87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30DC85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8.92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52CBCC7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3.80</w:t>
            </w:r>
          </w:p>
        </w:tc>
        <w:tc>
          <w:tcPr>
            <w:tcW w:w="519" w:type="pct"/>
          </w:tcPr>
          <w:p w14:paraId="6F7075D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5.42</w:t>
            </w:r>
          </w:p>
        </w:tc>
      </w:tr>
      <w:tr w:rsidR="00002E9A" w:rsidRPr="00002E9A" w14:paraId="233DE9D7" w14:textId="77777777" w:rsidTr="00002E9A">
        <w:trPr>
          <w:trHeight w:val="324"/>
        </w:trPr>
        <w:tc>
          <w:tcPr>
            <w:tcW w:w="844" w:type="pct"/>
          </w:tcPr>
          <w:p w14:paraId="6ECDF4E6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NK cells</w:t>
            </w:r>
          </w:p>
        </w:tc>
        <w:tc>
          <w:tcPr>
            <w:tcW w:w="519" w:type="pct"/>
          </w:tcPr>
          <w:p w14:paraId="6E3920E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20B10A3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0.44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42E21CB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1.46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774D43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57FF7C6E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4.64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F55786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2.53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CF9E01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2.07</w:t>
            </w:r>
          </w:p>
        </w:tc>
        <w:tc>
          <w:tcPr>
            <w:tcW w:w="519" w:type="pct"/>
          </w:tcPr>
          <w:p w14:paraId="69169AC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2.04</w:t>
            </w:r>
          </w:p>
        </w:tc>
      </w:tr>
      <w:tr w:rsidR="00002E9A" w:rsidRPr="00002E9A" w14:paraId="78625235" w14:textId="77777777" w:rsidTr="00002E9A">
        <w:trPr>
          <w:trHeight w:val="324"/>
        </w:trPr>
        <w:tc>
          <w:tcPr>
            <w:tcW w:w="844" w:type="pct"/>
          </w:tcPr>
          <w:p w14:paraId="1940B380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B cells (total)</w:t>
            </w:r>
          </w:p>
        </w:tc>
        <w:tc>
          <w:tcPr>
            <w:tcW w:w="519" w:type="pct"/>
          </w:tcPr>
          <w:p w14:paraId="6232F98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3.80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89BD3E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2.13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D1D74F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0.15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E1E554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CBB056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2.52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DCBDEA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2.24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112934B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0.81</w:t>
            </w:r>
          </w:p>
        </w:tc>
        <w:tc>
          <w:tcPr>
            <w:tcW w:w="519" w:type="pct"/>
          </w:tcPr>
          <w:p w14:paraId="74D7083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0.65</w:t>
            </w:r>
          </w:p>
        </w:tc>
      </w:tr>
      <w:tr w:rsidR="00002E9A" w:rsidRPr="00002E9A" w14:paraId="182A266A" w14:textId="77777777" w:rsidTr="00002E9A">
        <w:trPr>
          <w:trHeight w:val="324"/>
        </w:trPr>
        <w:tc>
          <w:tcPr>
            <w:tcW w:w="844" w:type="pct"/>
          </w:tcPr>
          <w:p w14:paraId="6EF8B8C2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Naïve B cells</w:t>
            </w:r>
          </w:p>
        </w:tc>
        <w:tc>
          <w:tcPr>
            <w:tcW w:w="519" w:type="pct"/>
          </w:tcPr>
          <w:p w14:paraId="56D4CDE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2.79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CEC189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1.74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48794F5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0E5DD0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3D5D2B4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1.90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A517B6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1.47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2F75AD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0.38</w:t>
            </w:r>
          </w:p>
        </w:tc>
        <w:tc>
          <w:tcPr>
            <w:tcW w:w="519" w:type="pct"/>
          </w:tcPr>
          <w:p w14:paraId="46647D5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0.29</w:t>
            </w:r>
          </w:p>
        </w:tc>
      </w:tr>
      <w:tr w:rsidR="00002E9A" w:rsidRPr="00002E9A" w14:paraId="4D4E5019" w14:textId="77777777" w:rsidTr="00002E9A">
        <w:trPr>
          <w:trHeight w:val="324"/>
        </w:trPr>
        <w:tc>
          <w:tcPr>
            <w:tcW w:w="844" w:type="pct"/>
          </w:tcPr>
          <w:p w14:paraId="24106AE1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Memory B cells</w:t>
            </w:r>
          </w:p>
        </w:tc>
        <w:tc>
          <w:tcPr>
            <w:tcW w:w="519" w:type="pct"/>
          </w:tcPr>
          <w:p w14:paraId="24E1005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0.89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66D627A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0.86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40BCE22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0.09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293DB96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3FFDA0B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0.53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000A9A1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0.54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31C54A0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519" w:type="pct"/>
          </w:tcPr>
          <w:p w14:paraId="78B4DB4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0.26</w:t>
            </w:r>
          </w:p>
        </w:tc>
      </w:tr>
      <w:tr w:rsidR="00002E9A" w:rsidRPr="00002E9A" w14:paraId="0F4F45CD" w14:textId="77777777" w:rsidTr="00002E9A">
        <w:trPr>
          <w:trHeight w:val="324"/>
        </w:trPr>
        <w:tc>
          <w:tcPr>
            <w:tcW w:w="844" w:type="pct"/>
          </w:tcPr>
          <w:p w14:paraId="5063A639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B-cell precursors</w:t>
            </w:r>
          </w:p>
        </w:tc>
        <w:tc>
          <w:tcPr>
            <w:tcW w:w="519" w:type="pct"/>
          </w:tcPr>
          <w:p w14:paraId="19ECBC1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29F7861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17E0A0E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0.002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F89E21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0.13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7B33ED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027F41B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7098B8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19" w:type="pct"/>
          </w:tcPr>
          <w:p w14:paraId="743AD02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0.05</w:t>
            </w:r>
          </w:p>
        </w:tc>
      </w:tr>
      <w:tr w:rsidR="00002E9A" w:rsidRPr="00002E9A" w14:paraId="277ED5E5" w14:textId="77777777" w:rsidTr="00002E9A">
        <w:trPr>
          <w:trHeight w:val="324"/>
        </w:trPr>
        <w:tc>
          <w:tcPr>
            <w:tcW w:w="844" w:type="pct"/>
          </w:tcPr>
          <w:p w14:paraId="6F358BC8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Myeloid precursors</w:t>
            </w:r>
          </w:p>
        </w:tc>
        <w:tc>
          <w:tcPr>
            <w:tcW w:w="519" w:type="pct"/>
          </w:tcPr>
          <w:p w14:paraId="74406E5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66D5F50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39258C92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0.15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08E890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0.11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272B3F5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41299AD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0.62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425E05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0.85</w:t>
            </w:r>
          </w:p>
        </w:tc>
        <w:tc>
          <w:tcPr>
            <w:tcW w:w="519" w:type="pct"/>
          </w:tcPr>
          <w:p w14:paraId="6C1CCA0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0.23</w:t>
            </w:r>
          </w:p>
        </w:tc>
      </w:tr>
      <w:tr w:rsidR="00002E9A" w:rsidRPr="00002E9A" w14:paraId="19BE637F" w14:textId="77777777" w:rsidTr="00002E9A">
        <w:trPr>
          <w:trHeight w:val="324"/>
        </w:trPr>
        <w:tc>
          <w:tcPr>
            <w:tcW w:w="844" w:type="pct"/>
          </w:tcPr>
          <w:p w14:paraId="47E06EF5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Monocytes</w:t>
            </w:r>
          </w:p>
        </w:tc>
        <w:tc>
          <w:tcPr>
            <w:tcW w:w="519" w:type="pct"/>
          </w:tcPr>
          <w:p w14:paraId="080D92C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3.64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0BC3E99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7.34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5E4A91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6.02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60376E0F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1.90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498610C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4.08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73ED8F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7.85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11675C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5.84</w:t>
            </w:r>
          </w:p>
        </w:tc>
        <w:tc>
          <w:tcPr>
            <w:tcW w:w="519" w:type="pct"/>
          </w:tcPr>
          <w:p w14:paraId="55B19C1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7.98</w:t>
            </w:r>
          </w:p>
        </w:tc>
      </w:tr>
      <w:tr w:rsidR="00002E9A" w:rsidRPr="00002E9A" w14:paraId="160D7A40" w14:textId="77777777" w:rsidTr="00002E9A">
        <w:trPr>
          <w:trHeight w:val="324"/>
        </w:trPr>
        <w:tc>
          <w:tcPr>
            <w:tcW w:w="844" w:type="pct"/>
          </w:tcPr>
          <w:p w14:paraId="37FBBA1B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Neutrophils</w:t>
            </w:r>
          </w:p>
        </w:tc>
        <w:tc>
          <w:tcPr>
            <w:tcW w:w="519" w:type="pct"/>
          </w:tcPr>
          <w:p w14:paraId="4F1F75C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77.5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04F6103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77.9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ED8B4F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74.46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0AA26CC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85.77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1433BF13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56.81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2035F8E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59.16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519A3D7C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73.94</w:t>
            </w:r>
          </w:p>
        </w:tc>
        <w:tc>
          <w:tcPr>
            <w:tcW w:w="519" w:type="pct"/>
          </w:tcPr>
          <w:p w14:paraId="2535A526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70.69</w:t>
            </w:r>
          </w:p>
        </w:tc>
      </w:tr>
      <w:tr w:rsidR="00002E9A" w:rsidRPr="00002E9A" w14:paraId="4408E977" w14:textId="77777777" w:rsidTr="00002E9A">
        <w:trPr>
          <w:trHeight w:val="324"/>
        </w:trPr>
        <w:tc>
          <w:tcPr>
            <w:tcW w:w="844" w:type="pct"/>
          </w:tcPr>
          <w:p w14:paraId="1E179BC1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Basophils</w:t>
            </w:r>
          </w:p>
        </w:tc>
        <w:tc>
          <w:tcPr>
            <w:tcW w:w="519" w:type="pct"/>
          </w:tcPr>
          <w:p w14:paraId="0ABEFEE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C468C5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1982889A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0.16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FBF28C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238B3F6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300CB46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271A6A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0.34</w:t>
            </w:r>
          </w:p>
        </w:tc>
        <w:tc>
          <w:tcPr>
            <w:tcW w:w="519" w:type="pct"/>
          </w:tcPr>
          <w:p w14:paraId="0D139A0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0.14</w:t>
            </w:r>
          </w:p>
        </w:tc>
      </w:tr>
      <w:tr w:rsidR="00002E9A" w:rsidRPr="00002E9A" w14:paraId="63FA9969" w14:textId="77777777" w:rsidTr="00002E9A">
        <w:trPr>
          <w:trHeight w:val="324"/>
        </w:trPr>
        <w:tc>
          <w:tcPr>
            <w:tcW w:w="844" w:type="pct"/>
          </w:tcPr>
          <w:p w14:paraId="24F15BCA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Eosinophils</w:t>
            </w:r>
          </w:p>
        </w:tc>
        <w:tc>
          <w:tcPr>
            <w:tcW w:w="519" w:type="pct"/>
          </w:tcPr>
          <w:p w14:paraId="5A5B1AE4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42373BE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0F1C34D7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4823D67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0.005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21E7CCE8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54AC97C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0.08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C48842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519" w:type="pct"/>
          </w:tcPr>
          <w:p w14:paraId="0503204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0.23</w:t>
            </w:r>
          </w:p>
        </w:tc>
      </w:tr>
      <w:tr w:rsidR="00002E9A" w:rsidRPr="00002E9A" w14:paraId="6E4AD968" w14:textId="77777777" w:rsidTr="00002E9A">
        <w:trPr>
          <w:trHeight w:val="324"/>
        </w:trPr>
        <w:tc>
          <w:tcPr>
            <w:tcW w:w="844" w:type="pct"/>
          </w:tcPr>
          <w:p w14:paraId="1FDC4BE1" w14:textId="77777777" w:rsidR="00002E9A" w:rsidRPr="00002E9A" w:rsidRDefault="00002E9A" w:rsidP="005E359E">
            <w:pPr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Mast cells</w:t>
            </w:r>
          </w:p>
        </w:tc>
        <w:tc>
          <w:tcPr>
            <w:tcW w:w="519" w:type="pct"/>
          </w:tcPr>
          <w:p w14:paraId="6157BE71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0.002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7E31EEBB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0.006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5CA07B8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0.005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13B01D80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0.014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66686C19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519" w:type="pct"/>
            <w:tcBorders>
              <w:right w:val="triple" w:sz="4" w:space="0" w:color="auto"/>
            </w:tcBorders>
          </w:tcPr>
          <w:p w14:paraId="4F07E88D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519" w:type="pct"/>
            <w:tcBorders>
              <w:left w:val="triple" w:sz="4" w:space="0" w:color="auto"/>
            </w:tcBorders>
          </w:tcPr>
          <w:p w14:paraId="7D71518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519" w:type="pct"/>
          </w:tcPr>
          <w:p w14:paraId="7F515585" w14:textId="77777777" w:rsidR="00002E9A" w:rsidRPr="00002E9A" w:rsidRDefault="00002E9A" w:rsidP="005E359E">
            <w:pPr>
              <w:jc w:val="center"/>
              <w:rPr>
                <w:sz w:val="20"/>
                <w:szCs w:val="20"/>
                <w:lang w:val="en-US"/>
              </w:rPr>
            </w:pPr>
            <w:r w:rsidRPr="00002E9A">
              <w:rPr>
                <w:sz w:val="20"/>
                <w:szCs w:val="20"/>
                <w:lang w:val="en-US"/>
              </w:rPr>
              <w:t>0.01</w:t>
            </w:r>
          </w:p>
        </w:tc>
      </w:tr>
    </w:tbl>
    <w:p w14:paraId="488361FE" w14:textId="77777777" w:rsidR="00002E9A" w:rsidRPr="00321E70" w:rsidRDefault="00002E9A" w:rsidP="00002E9A">
      <w:pPr>
        <w:ind w:left="-1134" w:firstLine="1134"/>
      </w:pPr>
      <w:r>
        <w:rPr>
          <w:rFonts w:cstheme="minorHAnsi"/>
        </w:rPr>
        <w:t>†</w:t>
      </w:r>
      <w:r>
        <w:t>All values in the table show percentages (%) of total bone marrow nucleated cells</w:t>
      </w:r>
    </w:p>
    <w:p w14:paraId="5B91A3CE" w14:textId="77777777" w:rsidR="00002E9A" w:rsidRDefault="00002E9A" w:rsidP="00002E9A"/>
    <w:p w14:paraId="249363E0" w14:textId="5FB87603" w:rsidR="00002E9A" w:rsidRDefault="00002E9A">
      <w:r>
        <w:br w:type="page"/>
      </w:r>
    </w:p>
    <w:p w14:paraId="486CCAC8" w14:textId="77777777" w:rsidR="00002E9A" w:rsidRPr="001C5367" w:rsidRDefault="00002E9A" w:rsidP="00002E9A">
      <w:pPr>
        <w:spacing w:after="0"/>
      </w:pPr>
      <w:bookmarkStart w:id="0" w:name="_GoBack"/>
      <w:r w:rsidRPr="00002E9A">
        <w:rPr>
          <w:b/>
          <w:bCs/>
        </w:rPr>
        <w:lastRenderedPageBreak/>
        <w:t>Supplementary Table 2.</w:t>
      </w:r>
      <w:r>
        <w:t xml:space="preserve"> </w:t>
      </w:r>
      <w:bookmarkEnd w:id="0"/>
      <w:r>
        <w:t xml:space="preserve">Most significant reports evaluating MRD frequencies in independent MM patient cohorts </w:t>
      </w:r>
    </w:p>
    <w:tbl>
      <w:tblPr>
        <w:tblStyle w:val="TableGrid"/>
        <w:tblpPr w:leftFromText="180" w:rightFromText="180" w:vertAnchor="text" w:horzAnchor="page" w:tblpXSpec="center" w:tblpY="50"/>
        <w:tblW w:w="11905" w:type="dxa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1530"/>
        <w:gridCol w:w="1983"/>
        <w:gridCol w:w="992"/>
        <w:gridCol w:w="1275"/>
        <w:gridCol w:w="1985"/>
        <w:gridCol w:w="1985"/>
      </w:tblGrid>
      <w:tr w:rsidR="00002E9A" w:rsidRPr="00002E9A" w14:paraId="47D9A747" w14:textId="77777777" w:rsidTr="00002E9A">
        <w:trPr>
          <w:jc w:val="center"/>
        </w:trPr>
        <w:tc>
          <w:tcPr>
            <w:tcW w:w="2155" w:type="dxa"/>
            <w:vAlign w:val="center"/>
          </w:tcPr>
          <w:p w14:paraId="4D37E9F3" w14:textId="77777777" w:rsidR="00002E9A" w:rsidRPr="00002E9A" w:rsidRDefault="00002E9A" w:rsidP="00002E9A">
            <w:pPr>
              <w:spacing w:line="360" w:lineRule="auto"/>
              <w:ind w:firstLine="176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Study</w:t>
            </w:r>
          </w:p>
        </w:tc>
        <w:tc>
          <w:tcPr>
            <w:tcW w:w="1530" w:type="dxa"/>
            <w:vAlign w:val="center"/>
          </w:tcPr>
          <w:p w14:paraId="7516DB67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Setting</w:t>
            </w:r>
          </w:p>
        </w:tc>
        <w:tc>
          <w:tcPr>
            <w:tcW w:w="1983" w:type="dxa"/>
            <w:vAlign w:val="center"/>
          </w:tcPr>
          <w:p w14:paraId="08EBED3E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Method</w:t>
            </w:r>
          </w:p>
        </w:tc>
        <w:tc>
          <w:tcPr>
            <w:tcW w:w="992" w:type="dxa"/>
            <w:vAlign w:val="center"/>
          </w:tcPr>
          <w:p w14:paraId="5DF90983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LOD</w:t>
            </w:r>
          </w:p>
        </w:tc>
        <w:tc>
          <w:tcPr>
            <w:tcW w:w="1275" w:type="dxa"/>
            <w:vAlign w:val="center"/>
          </w:tcPr>
          <w:p w14:paraId="35EEC3F4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Frequency of CR</w:t>
            </w:r>
          </w:p>
        </w:tc>
        <w:tc>
          <w:tcPr>
            <w:tcW w:w="1985" w:type="dxa"/>
            <w:vAlign w:val="center"/>
          </w:tcPr>
          <w:p w14:paraId="23E0278E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MRD+ in total patients (%)</w:t>
            </w:r>
          </w:p>
        </w:tc>
        <w:tc>
          <w:tcPr>
            <w:tcW w:w="1985" w:type="dxa"/>
            <w:vAlign w:val="center"/>
          </w:tcPr>
          <w:p w14:paraId="695A4A1A" w14:textId="77777777" w:rsidR="00002E9A" w:rsidRPr="00002E9A" w:rsidRDefault="00002E9A" w:rsidP="00002E9A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 w:rsidRPr="00002E9A">
              <w:rPr>
                <w:sz w:val="18"/>
                <w:szCs w:val="18"/>
                <w:lang w:val="en-US"/>
              </w:rPr>
              <w:t>MRD+/patients in CR (%)</w:t>
            </w:r>
          </w:p>
        </w:tc>
      </w:tr>
      <w:tr w:rsidR="00002E9A" w:rsidRPr="00002E9A" w14:paraId="446A7B1B" w14:textId="77777777" w:rsidTr="00002E9A">
        <w:trPr>
          <w:jc w:val="center"/>
        </w:trPr>
        <w:tc>
          <w:tcPr>
            <w:tcW w:w="2155" w:type="dxa"/>
            <w:vAlign w:val="center"/>
          </w:tcPr>
          <w:p w14:paraId="03F334D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San Miguel et al, 2002</w:t>
            </w:r>
          </w:p>
        </w:tc>
        <w:tc>
          <w:tcPr>
            <w:tcW w:w="1530" w:type="dxa"/>
            <w:vAlign w:val="center"/>
          </w:tcPr>
          <w:p w14:paraId="243F2B72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CT vs ASCT</w:t>
            </w:r>
          </w:p>
        </w:tc>
        <w:tc>
          <w:tcPr>
            <w:tcW w:w="1983" w:type="dxa"/>
            <w:vAlign w:val="center"/>
          </w:tcPr>
          <w:p w14:paraId="26727A4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4-color MFC</w:t>
            </w:r>
          </w:p>
        </w:tc>
        <w:tc>
          <w:tcPr>
            <w:tcW w:w="992" w:type="dxa"/>
            <w:vAlign w:val="center"/>
          </w:tcPr>
          <w:p w14:paraId="10C8A7D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7CDACA1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39/87</w:t>
            </w:r>
          </w:p>
        </w:tc>
        <w:tc>
          <w:tcPr>
            <w:tcW w:w="1985" w:type="dxa"/>
            <w:vAlign w:val="center"/>
          </w:tcPr>
          <w:p w14:paraId="708824B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64/87 (73.6%)</w:t>
            </w:r>
          </w:p>
        </w:tc>
        <w:tc>
          <w:tcPr>
            <w:tcW w:w="1985" w:type="dxa"/>
            <w:vAlign w:val="center"/>
          </w:tcPr>
          <w:p w14:paraId="31F5F952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20/39 (51.3%)</w:t>
            </w:r>
          </w:p>
        </w:tc>
      </w:tr>
      <w:tr w:rsidR="00002E9A" w:rsidRPr="00002E9A" w14:paraId="75DBED55" w14:textId="77777777" w:rsidTr="00002E9A">
        <w:trPr>
          <w:jc w:val="center"/>
        </w:trPr>
        <w:tc>
          <w:tcPr>
            <w:tcW w:w="2155" w:type="dxa"/>
            <w:vAlign w:val="center"/>
          </w:tcPr>
          <w:p w14:paraId="44019D1D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Rawstron</w:t>
            </w:r>
            <w:proofErr w:type="spellEnd"/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et al, 2002</w:t>
            </w:r>
          </w:p>
        </w:tc>
        <w:tc>
          <w:tcPr>
            <w:tcW w:w="1530" w:type="dxa"/>
            <w:vAlign w:val="center"/>
          </w:tcPr>
          <w:p w14:paraId="0CF5475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ASCT</w:t>
            </w:r>
          </w:p>
        </w:tc>
        <w:tc>
          <w:tcPr>
            <w:tcW w:w="1983" w:type="dxa"/>
            <w:vAlign w:val="center"/>
          </w:tcPr>
          <w:p w14:paraId="38BF8ED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3-color MFC</w:t>
            </w:r>
          </w:p>
        </w:tc>
        <w:tc>
          <w:tcPr>
            <w:tcW w:w="992" w:type="dxa"/>
            <w:vAlign w:val="center"/>
          </w:tcPr>
          <w:p w14:paraId="27D839C2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2D2C84E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33/45</w:t>
            </w:r>
          </w:p>
        </w:tc>
        <w:tc>
          <w:tcPr>
            <w:tcW w:w="1985" w:type="dxa"/>
            <w:vAlign w:val="center"/>
          </w:tcPr>
          <w:p w14:paraId="1FF4031D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19/45 (42.2%)</w:t>
            </w:r>
          </w:p>
        </w:tc>
        <w:tc>
          <w:tcPr>
            <w:tcW w:w="1985" w:type="dxa"/>
            <w:vAlign w:val="center"/>
          </w:tcPr>
          <w:p w14:paraId="6F283DE8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9/33 (27.3%)</w:t>
            </w:r>
          </w:p>
        </w:tc>
      </w:tr>
      <w:tr w:rsidR="00002E9A" w:rsidRPr="00002E9A" w14:paraId="474260E4" w14:textId="77777777" w:rsidTr="00002E9A">
        <w:trPr>
          <w:jc w:val="center"/>
        </w:trPr>
        <w:tc>
          <w:tcPr>
            <w:tcW w:w="2155" w:type="dxa"/>
            <w:vAlign w:val="center"/>
          </w:tcPr>
          <w:p w14:paraId="112CC00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Paiva et al, 2008</w:t>
            </w:r>
          </w:p>
        </w:tc>
        <w:tc>
          <w:tcPr>
            <w:tcW w:w="1530" w:type="dxa"/>
            <w:vAlign w:val="center"/>
          </w:tcPr>
          <w:p w14:paraId="7CD09B65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ASCT</w:t>
            </w:r>
          </w:p>
        </w:tc>
        <w:tc>
          <w:tcPr>
            <w:tcW w:w="1983" w:type="dxa"/>
            <w:vAlign w:val="center"/>
          </w:tcPr>
          <w:p w14:paraId="69E6686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4-color MFC</w:t>
            </w:r>
          </w:p>
        </w:tc>
        <w:tc>
          <w:tcPr>
            <w:tcW w:w="992" w:type="dxa"/>
            <w:vAlign w:val="center"/>
          </w:tcPr>
          <w:p w14:paraId="473F204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5BC6828F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147/295</w:t>
            </w:r>
          </w:p>
        </w:tc>
        <w:tc>
          <w:tcPr>
            <w:tcW w:w="1985" w:type="dxa"/>
            <w:vAlign w:val="center"/>
          </w:tcPr>
          <w:p w14:paraId="698B9352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170/295 (57.6%)</w:t>
            </w:r>
          </w:p>
        </w:tc>
        <w:tc>
          <w:tcPr>
            <w:tcW w:w="1985" w:type="dxa"/>
            <w:vAlign w:val="center"/>
          </w:tcPr>
          <w:p w14:paraId="2A9F95C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53/147 (36.1%)</w:t>
            </w:r>
          </w:p>
        </w:tc>
      </w:tr>
      <w:tr w:rsidR="00002E9A" w:rsidRPr="00002E9A" w14:paraId="5DEDA020" w14:textId="77777777" w:rsidTr="00002E9A">
        <w:trPr>
          <w:jc w:val="center"/>
        </w:trPr>
        <w:tc>
          <w:tcPr>
            <w:tcW w:w="2155" w:type="dxa"/>
            <w:vAlign w:val="center"/>
          </w:tcPr>
          <w:p w14:paraId="588BE3F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Roussel et al, 2014</w:t>
            </w:r>
          </w:p>
        </w:tc>
        <w:tc>
          <w:tcPr>
            <w:tcW w:w="1530" w:type="dxa"/>
            <w:vAlign w:val="center"/>
          </w:tcPr>
          <w:p w14:paraId="09B666F6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ASCT</w:t>
            </w:r>
          </w:p>
        </w:tc>
        <w:tc>
          <w:tcPr>
            <w:tcW w:w="1983" w:type="dxa"/>
            <w:vAlign w:val="center"/>
          </w:tcPr>
          <w:p w14:paraId="35989D1F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7-color MFC</w:t>
            </w:r>
          </w:p>
        </w:tc>
        <w:tc>
          <w:tcPr>
            <w:tcW w:w="992" w:type="dxa"/>
            <w:vAlign w:val="center"/>
          </w:tcPr>
          <w:p w14:paraId="3AD0791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-5</w:t>
            </w:r>
          </w:p>
        </w:tc>
        <w:tc>
          <w:tcPr>
            <w:tcW w:w="1275" w:type="dxa"/>
            <w:vAlign w:val="center"/>
          </w:tcPr>
          <w:p w14:paraId="6AC338F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18/31</w:t>
            </w:r>
          </w:p>
        </w:tc>
        <w:tc>
          <w:tcPr>
            <w:tcW w:w="1985" w:type="dxa"/>
            <w:vAlign w:val="center"/>
          </w:tcPr>
          <w:p w14:paraId="5E6DE127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10/31 (32.3%)</w:t>
            </w:r>
          </w:p>
        </w:tc>
        <w:tc>
          <w:tcPr>
            <w:tcW w:w="1985" w:type="dxa"/>
            <w:vAlign w:val="center"/>
          </w:tcPr>
          <w:p w14:paraId="38638B8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</w:p>
        </w:tc>
      </w:tr>
      <w:tr w:rsidR="00002E9A" w:rsidRPr="00002E9A" w14:paraId="0FEE7081" w14:textId="77777777" w:rsidTr="00002E9A">
        <w:trPr>
          <w:jc w:val="center"/>
        </w:trPr>
        <w:tc>
          <w:tcPr>
            <w:tcW w:w="2155" w:type="dxa"/>
            <w:vAlign w:val="center"/>
          </w:tcPr>
          <w:p w14:paraId="0024C7C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Rawstron</w:t>
            </w:r>
            <w:proofErr w:type="spellEnd"/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et al, 2015</w:t>
            </w:r>
          </w:p>
        </w:tc>
        <w:tc>
          <w:tcPr>
            <w:tcW w:w="1530" w:type="dxa"/>
            <w:vAlign w:val="center"/>
          </w:tcPr>
          <w:p w14:paraId="1E1153E5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ASCT</w:t>
            </w:r>
          </w:p>
        </w:tc>
        <w:tc>
          <w:tcPr>
            <w:tcW w:w="1983" w:type="dxa"/>
            <w:vAlign w:val="center"/>
          </w:tcPr>
          <w:p w14:paraId="19CC44EC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6-color MFC</w:t>
            </w:r>
          </w:p>
        </w:tc>
        <w:tc>
          <w:tcPr>
            <w:tcW w:w="992" w:type="dxa"/>
            <w:vAlign w:val="center"/>
          </w:tcPr>
          <w:p w14:paraId="4C7CD39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6BCE6175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214/394</w:t>
            </w:r>
          </w:p>
        </w:tc>
        <w:tc>
          <w:tcPr>
            <w:tcW w:w="1985" w:type="dxa"/>
            <w:vAlign w:val="center"/>
          </w:tcPr>
          <w:p w14:paraId="677DAD47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148/394 (37.6%)</w:t>
            </w:r>
          </w:p>
        </w:tc>
        <w:tc>
          <w:tcPr>
            <w:tcW w:w="1985" w:type="dxa"/>
            <w:vAlign w:val="center"/>
          </w:tcPr>
          <w:p w14:paraId="5B6D6CA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31/214 (14.5%)</w:t>
            </w:r>
          </w:p>
        </w:tc>
      </w:tr>
      <w:tr w:rsidR="00002E9A" w:rsidRPr="00002E9A" w14:paraId="1F1B0F71" w14:textId="77777777" w:rsidTr="00002E9A">
        <w:trPr>
          <w:jc w:val="center"/>
        </w:trPr>
        <w:tc>
          <w:tcPr>
            <w:tcW w:w="2155" w:type="dxa"/>
            <w:vAlign w:val="center"/>
          </w:tcPr>
          <w:p w14:paraId="495EC7ED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Paiva et al, 2016</w:t>
            </w:r>
          </w:p>
        </w:tc>
        <w:tc>
          <w:tcPr>
            <w:tcW w:w="1530" w:type="dxa"/>
            <w:vAlign w:val="center"/>
          </w:tcPr>
          <w:p w14:paraId="5428986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Elderly</w:t>
            </w:r>
          </w:p>
        </w:tc>
        <w:tc>
          <w:tcPr>
            <w:tcW w:w="1983" w:type="dxa"/>
            <w:vAlign w:val="center"/>
          </w:tcPr>
          <w:p w14:paraId="346A8D7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4-color &amp; 8-color MFC</w:t>
            </w:r>
          </w:p>
        </w:tc>
        <w:tc>
          <w:tcPr>
            <w:tcW w:w="992" w:type="dxa"/>
            <w:vAlign w:val="center"/>
          </w:tcPr>
          <w:p w14:paraId="76C0F77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-5</w:t>
            </w:r>
          </w:p>
        </w:tc>
        <w:tc>
          <w:tcPr>
            <w:tcW w:w="1275" w:type="dxa"/>
            <w:vAlign w:val="center"/>
          </w:tcPr>
          <w:p w14:paraId="63E2CB7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81/162</w:t>
            </w:r>
          </w:p>
        </w:tc>
        <w:tc>
          <w:tcPr>
            <w:tcW w:w="1985" w:type="dxa"/>
            <w:vAlign w:val="center"/>
          </w:tcPr>
          <w:p w14:paraId="0EA4DE2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108/162 (66.7%)</w:t>
            </w:r>
          </w:p>
        </w:tc>
        <w:tc>
          <w:tcPr>
            <w:tcW w:w="1985" w:type="dxa"/>
            <w:vAlign w:val="center"/>
          </w:tcPr>
          <w:p w14:paraId="65EBB8BD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</w:p>
        </w:tc>
      </w:tr>
      <w:tr w:rsidR="00002E9A" w:rsidRPr="00002E9A" w14:paraId="6AE39576" w14:textId="77777777" w:rsidTr="00002E9A">
        <w:trPr>
          <w:jc w:val="center"/>
        </w:trPr>
        <w:tc>
          <w:tcPr>
            <w:tcW w:w="2155" w:type="dxa"/>
            <w:vMerge w:val="restart"/>
            <w:vAlign w:val="center"/>
          </w:tcPr>
          <w:p w14:paraId="6C2C214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Attal et al, 2017</w:t>
            </w:r>
          </w:p>
        </w:tc>
        <w:tc>
          <w:tcPr>
            <w:tcW w:w="1530" w:type="dxa"/>
            <w:vAlign w:val="center"/>
          </w:tcPr>
          <w:p w14:paraId="7405F968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RVD</w:t>
            </w:r>
          </w:p>
        </w:tc>
        <w:tc>
          <w:tcPr>
            <w:tcW w:w="1983" w:type="dxa"/>
            <w:vMerge w:val="restart"/>
            <w:vAlign w:val="center"/>
          </w:tcPr>
          <w:p w14:paraId="243E0FC8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7-color MFC</w:t>
            </w:r>
          </w:p>
        </w:tc>
        <w:tc>
          <w:tcPr>
            <w:tcW w:w="992" w:type="dxa"/>
            <w:vMerge w:val="restart"/>
            <w:vAlign w:val="center"/>
          </w:tcPr>
          <w:p w14:paraId="7BF02F03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4848919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169/350</w:t>
            </w:r>
          </w:p>
        </w:tc>
        <w:tc>
          <w:tcPr>
            <w:tcW w:w="1985" w:type="dxa"/>
            <w:vMerge w:val="restart"/>
            <w:vAlign w:val="center"/>
          </w:tcPr>
          <w:p w14:paraId="2306C98B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1985" w:type="dxa"/>
            <w:vAlign w:val="center"/>
          </w:tcPr>
          <w:p w14:paraId="566E91FE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94/265* (35.5%)</w:t>
            </w:r>
          </w:p>
        </w:tc>
      </w:tr>
      <w:tr w:rsidR="00002E9A" w:rsidRPr="00002E9A" w14:paraId="22C6861D" w14:textId="77777777" w:rsidTr="00002E9A">
        <w:trPr>
          <w:jc w:val="center"/>
        </w:trPr>
        <w:tc>
          <w:tcPr>
            <w:tcW w:w="2155" w:type="dxa"/>
            <w:vMerge/>
            <w:vAlign w:val="center"/>
          </w:tcPr>
          <w:p w14:paraId="37E9C80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vAlign w:val="bottom"/>
          </w:tcPr>
          <w:p w14:paraId="1EAC820D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RVD+SCT</w:t>
            </w:r>
          </w:p>
        </w:tc>
        <w:tc>
          <w:tcPr>
            <w:tcW w:w="1983" w:type="dxa"/>
            <w:vMerge/>
            <w:vAlign w:val="center"/>
          </w:tcPr>
          <w:p w14:paraId="5B05F2B4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14:paraId="0E3CD642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4EF466E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205/350</w:t>
            </w:r>
          </w:p>
        </w:tc>
        <w:tc>
          <w:tcPr>
            <w:tcW w:w="1985" w:type="dxa"/>
            <w:vMerge/>
            <w:vAlign w:val="center"/>
          </w:tcPr>
          <w:p w14:paraId="111CD6AF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1A64A97B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58/278* (20.9%)</w:t>
            </w:r>
          </w:p>
        </w:tc>
      </w:tr>
      <w:tr w:rsidR="00002E9A" w:rsidRPr="00002E9A" w14:paraId="6E1CCC0A" w14:textId="77777777" w:rsidTr="00002E9A">
        <w:trPr>
          <w:jc w:val="center"/>
        </w:trPr>
        <w:tc>
          <w:tcPr>
            <w:tcW w:w="2155" w:type="dxa"/>
            <w:vAlign w:val="center"/>
          </w:tcPr>
          <w:p w14:paraId="3513C36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Fukumoto et al, 2015</w:t>
            </w:r>
          </w:p>
        </w:tc>
        <w:tc>
          <w:tcPr>
            <w:tcW w:w="1530" w:type="dxa"/>
            <w:vAlign w:val="center"/>
          </w:tcPr>
          <w:p w14:paraId="523B2698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CR</w:t>
            </w:r>
          </w:p>
        </w:tc>
        <w:tc>
          <w:tcPr>
            <w:tcW w:w="1983" w:type="dxa"/>
            <w:vAlign w:val="center"/>
          </w:tcPr>
          <w:p w14:paraId="4244849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4-6 color MFC</w:t>
            </w:r>
          </w:p>
        </w:tc>
        <w:tc>
          <w:tcPr>
            <w:tcW w:w="992" w:type="dxa"/>
            <w:vAlign w:val="center"/>
          </w:tcPr>
          <w:p w14:paraId="599E5F0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2BAF8946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78/78</w:t>
            </w:r>
          </w:p>
        </w:tc>
        <w:tc>
          <w:tcPr>
            <w:tcW w:w="1985" w:type="dxa"/>
            <w:vAlign w:val="center"/>
          </w:tcPr>
          <w:p w14:paraId="08320917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985" w:type="dxa"/>
            <w:vAlign w:val="center"/>
          </w:tcPr>
          <w:p w14:paraId="029375D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44/78 (56.4%)</w:t>
            </w:r>
          </w:p>
        </w:tc>
      </w:tr>
      <w:tr w:rsidR="00002E9A" w:rsidRPr="00002E9A" w14:paraId="316B12A9" w14:textId="77777777" w:rsidTr="00002E9A">
        <w:trPr>
          <w:jc w:val="center"/>
        </w:trPr>
        <w:tc>
          <w:tcPr>
            <w:tcW w:w="2155" w:type="dxa"/>
            <w:vAlign w:val="center"/>
          </w:tcPr>
          <w:p w14:paraId="61CC7D0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Paiva et al, 2015</w:t>
            </w:r>
          </w:p>
        </w:tc>
        <w:tc>
          <w:tcPr>
            <w:tcW w:w="1530" w:type="dxa"/>
            <w:vAlign w:val="center"/>
          </w:tcPr>
          <w:p w14:paraId="7CE5DEA4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relapsed MM, CR</w:t>
            </w:r>
          </w:p>
        </w:tc>
        <w:tc>
          <w:tcPr>
            <w:tcW w:w="1983" w:type="dxa"/>
            <w:vAlign w:val="center"/>
          </w:tcPr>
          <w:p w14:paraId="199B3D0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4-color MFC</w:t>
            </w:r>
          </w:p>
        </w:tc>
        <w:tc>
          <w:tcPr>
            <w:tcW w:w="992" w:type="dxa"/>
            <w:vAlign w:val="center"/>
          </w:tcPr>
          <w:p w14:paraId="738019EA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275" w:type="dxa"/>
            <w:vAlign w:val="center"/>
          </w:tcPr>
          <w:p w14:paraId="146F1BF3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52/52</w:t>
            </w:r>
          </w:p>
        </w:tc>
        <w:tc>
          <w:tcPr>
            <w:tcW w:w="1985" w:type="dxa"/>
            <w:vAlign w:val="center"/>
          </w:tcPr>
          <w:p w14:paraId="058FE929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985" w:type="dxa"/>
            <w:vAlign w:val="center"/>
          </w:tcPr>
          <w:p w14:paraId="7CF07FFD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28/52 (53.8%)</w:t>
            </w:r>
          </w:p>
        </w:tc>
      </w:tr>
      <w:tr w:rsidR="00002E9A" w:rsidRPr="00002E9A" w14:paraId="440BF5C6" w14:textId="77777777" w:rsidTr="00002E9A">
        <w:trPr>
          <w:trHeight w:val="386"/>
          <w:jc w:val="center"/>
        </w:trPr>
        <w:tc>
          <w:tcPr>
            <w:tcW w:w="2155" w:type="dxa"/>
            <w:vMerge w:val="restart"/>
            <w:vAlign w:val="center"/>
          </w:tcPr>
          <w:p w14:paraId="73B799B5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Flores-Montero et al, 2017</w:t>
            </w:r>
          </w:p>
        </w:tc>
        <w:tc>
          <w:tcPr>
            <w:tcW w:w="1530" w:type="dxa"/>
            <w:vMerge w:val="restart"/>
            <w:vAlign w:val="center"/>
          </w:tcPr>
          <w:p w14:paraId="6590BD6C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VGPR or CR</w:t>
            </w:r>
          </w:p>
        </w:tc>
        <w:tc>
          <w:tcPr>
            <w:tcW w:w="1983" w:type="dxa"/>
            <w:vAlign w:val="center"/>
          </w:tcPr>
          <w:p w14:paraId="7CBFBE0F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8-color conv. flow</w:t>
            </w:r>
          </w:p>
        </w:tc>
        <w:tc>
          <w:tcPr>
            <w:tcW w:w="992" w:type="dxa"/>
            <w:vAlign w:val="center"/>
          </w:tcPr>
          <w:p w14:paraId="62EB3FE1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-4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-5</w:t>
            </w:r>
          </w:p>
        </w:tc>
        <w:tc>
          <w:tcPr>
            <w:tcW w:w="1275" w:type="dxa"/>
            <w:vAlign w:val="center"/>
          </w:tcPr>
          <w:p w14:paraId="75FE9372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1985" w:type="dxa"/>
            <w:vAlign w:val="center"/>
          </w:tcPr>
          <w:p w14:paraId="426B6E28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-</w:t>
            </w:r>
          </w:p>
        </w:tc>
        <w:tc>
          <w:tcPr>
            <w:tcW w:w="1985" w:type="dxa"/>
            <w:vAlign w:val="center"/>
          </w:tcPr>
          <w:p w14:paraId="2E6DC42E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37/110 (33.6%)</w:t>
            </w:r>
          </w:p>
        </w:tc>
      </w:tr>
      <w:tr w:rsidR="00002E9A" w:rsidRPr="00002E9A" w14:paraId="4BD4E068" w14:textId="77777777" w:rsidTr="00002E9A">
        <w:trPr>
          <w:jc w:val="center"/>
        </w:trPr>
        <w:tc>
          <w:tcPr>
            <w:tcW w:w="2155" w:type="dxa"/>
            <w:vMerge/>
            <w:vAlign w:val="center"/>
          </w:tcPr>
          <w:p w14:paraId="19E07756" w14:textId="77777777" w:rsidR="00002E9A" w:rsidRPr="00002E9A" w:rsidRDefault="00002E9A" w:rsidP="00002E9A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vMerge/>
            <w:vAlign w:val="center"/>
          </w:tcPr>
          <w:p w14:paraId="534EDFE1" w14:textId="77777777" w:rsidR="00002E9A" w:rsidRPr="00002E9A" w:rsidRDefault="00002E9A" w:rsidP="00002E9A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83" w:type="dxa"/>
            <w:vAlign w:val="center"/>
          </w:tcPr>
          <w:p w14:paraId="13EF9913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8-color NGF</w:t>
            </w:r>
          </w:p>
        </w:tc>
        <w:tc>
          <w:tcPr>
            <w:tcW w:w="992" w:type="dxa"/>
            <w:vAlign w:val="center"/>
          </w:tcPr>
          <w:p w14:paraId="69D03BAD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-5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-10</w:t>
            </w:r>
            <w:r w:rsidRPr="00002E9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-6</w:t>
            </w:r>
          </w:p>
        </w:tc>
        <w:tc>
          <w:tcPr>
            <w:tcW w:w="1275" w:type="dxa"/>
            <w:vAlign w:val="center"/>
          </w:tcPr>
          <w:p w14:paraId="748E4A84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</w:p>
        </w:tc>
        <w:tc>
          <w:tcPr>
            <w:tcW w:w="1985" w:type="dxa"/>
            <w:vAlign w:val="center"/>
          </w:tcPr>
          <w:p w14:paraId="11CD8EA9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-</w:t>
            </w:r>
          </w:p>
        </w:tc>
        <w:tc>
          <w:tcPr>
            <w:tcW w:w="1985" w:type="dxa"/>
            <w:vAlign w:val="center"/>
          </w:tcPr>
          <w:p w14:paraId="15E6A1AB" w14:textId="77777777" w:rsidR="00002E9A" w:rsidRPr="00002E9A" w:rsidRDefault="00002E9A" w:rsidP="00002E9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52/110 (47.3%)</w:t>
            </w:r>
          </w:p>
        </w:tc>
      </w:tr>
      <w:tr w:rsidR="00002E9A" w:rsidRPr="00002E9A" w14:paraId="48416303" w14:textId="77777777" w:rsidTr="00002E9A">
        <w:trPr>
          <w:jc w:val="center"/>
        </w:trPr>
        <w:tc>
          <w:tcPr>
            <w:tcW w:w="2155" w:type="dxa"/>
            <w:vAlign w:val="center"/>
          </w:tcPr>
          <w:p w14:paraId="40B1D3F7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Cumulative</w:t>
            </w:r>
          </w:p>
        </w:tc>
        <w:tc>
          <w:tcPr>
            <w:tcW w:w="1530" w:type="dxa"/>
            <w:vAlign w:val="center"/>
          </w:tcPr>
          <w:p w14:paraId="011D90F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83" w:type="dxa"/>
            <w:vAlign w:val="center"/>
          </w:tcPr>
          <w:p w14:paraId="664DF15F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5731AD77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27D89F60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3C66E3FE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519/1014 (47.8%)</w:t>
            </w:r>
          </w:p>
        </w:tc>
        <w:tc>
          <w:tcPr>
            <w:tcW w:w="1985" w:type="dxa"/>
            <w:vAlign w:val="center"/>
          </w:tcPr>
          <w:p w14:paraId="52455101" w14:textId="77777777" w:rsidR="00002E9A" w:rsidRPr="00002E9A" w:rsidRDefault="00002E9A" w:rsidP="00002E9A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02E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426/1326 (32.1%)</w:t>
            </w:r>
          </w:p>
        </w:tc>
      </w:tr>
    </w:tbl>
    <w:p w14:paraId="10AC24C3" w14:textId="77777777" w:rsidR="00002E9A" w:rsidRDefault="00002E9A" w:rsidP="00002E9A">
      <w:r>
        <w:t>*CR or VGPR</w:t>
      </w:r>
    </w:p>
    <w:p w14:paraId="370B18F8" w14:textId="77777777" w:rsidR="00002E9A" w:rsidRPr="00C000C3" w:rsidRDefault="00002E9A" w:rsidP="00002E9A"/>
    <w:p w14:paraId="42943A24" w14:textId="3DEF9514" w:rsidR="00002E9A" w:rsidRPr="00002E9A" w:rsidRDefault="00002E9A" w:rsidP="00002E9A"/>
    <w:sectPr w:rsidR="00002E9A" w:rsidRPr="00002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E9A"/>
    <w:rsid w:val="00002E9A"/>
    <w:rsid w:val="0018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862D"/>
  <w15:chartTrackingRefBased/>
  <w15:docId w15:val="{6A261B95-D69A-4FB6-9EFB-0FBFA10F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E9A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Peeples</dc:creator>
  <cp:keywords/>
  <dc:description/>
  <cp:lastModifiedBy>Justin Peeples</cp:lastModifiedBy>
  <cp:revision>1</cp:revision>
  <dcterms:created xsi:type="dcterms:W3CDTF">2019-09-20T21:30:00Z</dcterms:created>
  <dcterms:modified xsi:type="dcterms:W3CDTF">2019-09-20T21:36:00Z</dcterms:modified>
</cp:coreProperties>
</file>