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9BB59" w14:textId="4D0D2794" w:rsidR="00C157F4" w:rsidRPr="005B60C5" w:rsidRDefault="00C157F4" w:rsidP="008C15F8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5B60C5">
        <w:rPr>
          <w:rFonts w:ascii="Arial" w:hAnsi="Arial" w:cs="Arial"/>
          <w:b/>
          <w:lang w:val="en-US"/>
        </w:rPr>
        <w:t>Supplemental D</w:t>
      </w:r>
      <w:r w:rsidR="007C0B22">
        <w:rPr>
          <w:rFonts w:ascii="Arial" w:hAnsi="Arial" w:cs="Arial"/>
          <w:b/>
          <w:lang w:val="en-US"/>
        </w:rPr>
        <w:t>igital Content (SDC)</w:t>
      </w:r>
      <w:r w:rsidR="00290958" w:rsidRPr="005B60C5">
        <w:rPr>
          <w:rFonts w:ascii="Arial" w:hAnsi="Arial" w:cs="Arial"/>
          <w:b/>
          <w:lang w:val="en-US"/>
        </w:rPr>
        <w:t>.</w:t>
      </w:r>
    </w:p>
    <w:p w14:paraId="30A4FF07" w14:textId="77777777" w:rsidR="00C157F4" w:rsidRPr="005B60C5" w:rsidRDefault="00C157F4" w:rsidP="008C15F8">
      <w:pPr>
        <w:spacing w:before="120" w:line="480" w:lineRule="auto"/>
        <w:jc w:val="both"/>
        <w:rPr>
          <w:rFonts w:ascii="Arial" w:hAnsi="Arial" w:cs="Arial"/>
          <w:b/>
          <w:lang w:val="en-US"/>
        </w:rPr>
      </w:pPr>
    </w:p>
    <w:p w14:paraId="44D88423" w14:textId="1CEAF65F" w:rsidR="00C157F4" w:rsidRPr="005B60C5" w:rsidRDefault="007C0B22" w:rsidP="008C15F8">
      <w:pPr>
        <w:spacing w:before="120" w:line="480" w:lineRule="auto"/>
        <w:jc w:val="both"/>
        <w:rPr>
          <w:rFonts w:ascii="Arial" w:hAnsi="Arial" w:cs="Arial"/>
          <w:b/>
          <w:noProof/>
          <w:lang w:val="en-GB"/>
        </w:rPr>
      </w:pPr>
      <w:r>
        <w:rPr>
          <w:rFonts w:ascii="Arial" w:hAnsi="Arial" w:cs="Arial"/>
          <w:b/>
          <w:lang w:val="en-US"/>
        </w:rPr>
        <w:t xml:space="preserve">SDC, </w:t>
      </w:r>
      <w:r w:rsidR="00C157F4" w:rsidRPr="005B60C5">
        <w:rPr>
          <w:rFonts w:ascii="Arial" w:hAnsi="Arial" w:cs="Arial"/>
          <w:b/>
          <w:lang w:val="en-US"/>
        </w:rPr>
        <w:t xml:space="preserve">Additional </w:t>
      </w:r>
      <w:r w:rsidR="00626E92">
        <w:rPr>
          <w:rFonts w:ascii="Arial" w:hAnsi="Arial" w:cs="Arial"/>
          <w:b/>
          <w:lang w:val="en-US"/>
        </w:rPr>
        <w:t>C</w:t>
      </w:r>
      <w:r w:rsidR="00C157F4" w:rsidRPr="005B60C5">
        <w:rPr>
          <w:rFonts w:ascii="Arial" w:hAnsi="Arial" w:cs="Arial"/>
          <w:b/>
          <w:lang w:val="en-US"/>
        </w:rPr>
        <w:t xml:space="preserve">linical </w:t>
      </w:r>
      <w:r w:rsidR="00626E92">
        <w:rPr>
          <w:rFonts w:ascii="Arial" w:hAnsi="Arial" w:cs="Arial"/>
          <w:b/>
          <w:lang w:val="en-US"/>
        </w:rPr>
        <w:t>I</w:t>
      </w:r>
      <w:r w:rsidR="00C157F4" w:rsidRPr="005B60C5">
        <w:rPr>
          <w:rFonts w:ascii="Arial" w:hAnsi="Arial" w:cs="Arial"/>
          <w:b/>
          <w:lang w:val="en-US"/>
        </w:rPr>
        <w:t>nformation</w:t>
      </w:r>
    </w:p>
    <w:p w14:paraId="41520F54" w14:textId="6812B4C0" w:rsidR="00C157F4" w:rsidRPr="005B60C5" w:rsidRDefault="00C157F4" w:rsidP="005B60C5">
      <w:pPr>
        <w:spacing w:before="120" w:line="480" w:lineRule="auto"/>
        <w:jc w:val="both"/>
        <w:rPr>
          <w:rFonts w:ascii="Arial" w:hAnsi="Arial" w:cs="Arial"/>
          <w:lang w:val="en-US"/>
        </w:rPr>
      </w:pPr>
      <w:r w:rsidRPr="005B60C5">
        <w:rPr>
          <w:rFonts w:ascii="Arial" w:hAnsi="Arial" w:cs="Arial"/>
          <w:lang w:val="en-GB"/>
        </w:rPr>
        <w:t xml:space="preserve">All procedures followed in the present study were </w:t>
      </w:r>
      <w:r w:rsidR="00040D4D" w:rsidRPr="005B60C5">
        <w:rPr>
          <w:rFonts w:ascii="Arial" w:hAnsi="Arial" w:cs="Arial"/>
          <w:lang w:val="en-GB"/>
        </w:rPr>
        <w:t xml:space="preserve">performed </w:t>
      </w:r>
      <w:r w:rsidRPr="005B60C5">
        <w:rPr>
          <w:rFonts w:ascii="Arial" w:hAnsi="Arial" w:cs="Arial"/>
          <w:lang w:val="en-GB"/>
        </w:rPr>
        <w:t xml:space="preserve">in accordance with the </w:t>
      </w:r>
      <w:r w:rsidRPr="005B60C5">
        <w:rPr>
          <w:rFonts w:ascii="Arial" w:hAnsi="Arial" w:cs="Arial"/>
          <w:bCs/>
          <w:lang w:val="en-US"/>
        </w:rPr>
        <w:t>ethical standards of the current revision of the Declaration of Helsinki.</w:t>
      </w:r>
      <w:r w:rsidRPr="005B60C5">
        <w:rPr>
          <w:rFonts w:ascii="Arial" w:hAnsi="Arial" w:cs="Arial"/>
          <w:lang w:val="en-US"/>
        </w:rPr>
        <w:t xml:space="preserve"> Informed consent was taken for additional genetic analysis carried out (</w:t>
      </w:r>
      <w:proofErr w:type="spellStart"/>
      <w:r w:rsidRPr="005B60C5">
        <w:rPr>
          <w:rFonts w:ascii="Arial" w:eastAsia="Times New Roman" w:hAnsi="Arial" w:cs="Arial"/>
          <w:lang w:val="en-GB"/>
        </w:rPr>
        <w:t>MDSbio</w:t>
      </w:r>
      <w:proofErr w:type="spellEnd"/>
      <w:r w:rsidRPr="005B60C5">
        <w:rPr>
          <w:rFonts w:ascii="Arial" w:eastAsia="Times New Roman" w:hAnsi="Arial" w:cs="Arial"/>
          <w:lang w:val="en-GB"/>
        </w:rPr>
        <w:t xml:space="preserve"> study, OXREC C 06/Q1606/110</w:t>
      </w:r>
      <w:r w:rsidRPr="005B60C5">
        <w:rPr>
          <w:rFonts w:ascii="Arial" w:hAnsi="Arial" w:cs="Arial"/>
          <w:lang w:val="en-US"/>
        </w:rPr>
        <w:t>).</w:t>
      </w:r>
    </w:p>
    <w:p w14:paraId="0422D07A" w14:textId="3749E440" w:rsidR="00C157F4" w:rsidRPr="005B60C5" w:rsidRDefault="00C157F4" w:rsidP="005B60C5">
      <w:pPr>
        <w:spacing w:before="120" w:line="480" w:lineRule="auto"/>
        <w:jc w:val="both"/>
        <w:rPr>
          <w:rFonts w:ascii="Arial" w:hAnsi="Arial" w:cs="Arial"/>
          <w:lang w:val="en-US"/>
        </w:rPr>
      </w:pPr>
      <w:r w:rsidRPr="005B60C5">
        <w:rPr>
          <w:rFonts w:ascii="Arial" w:hAnsi="Arial" w:cs="Arial"/>
          <w:lang w:val="en-US"/>
        </w:rPr>
        <w:t xml:space="preserve">The patient’s past medical history </w:t>
      </w:r>
      <w:r w:rsidR="00040D4D" w:rsidRPr="005B60C5">
        <w:rPr>
          <w:rFonts w:ascii="Arial" w:hAnsi="Arial" w:cs="Arial"/>
          <w:lang w:val="en-US"/>
        </w:rPr>
        <w:t>included</w:t>
      </w:r>
      <w:r w:rsidRPr="005B60C5">
        <w:rPr>
          <w:rFonts w:ascii="Arial" w:hAnsi="Arial" w:cs="Arial"/>
          <w:lang w:val="en-US"/>
        </w:rPr>
        <w:t xml:space="preserve"> type 2 diabetes mellitus, hypertension, chronic kidney disease stage 3, gout, hypothyroidism, osteopenia, irritable bowel syndrome and hiatus hernia.</w:t>
      </w:r>
    </w:p>
    <w:p w14:paraId="46A48C52" w14:textId="4CD34C85" w:rsidR="00C157F4" w:rsidRPr="005B60C5" w:rsidRDefault="00040D4D" w:rsidP="005B60C5">
      <w:pPr>
        <w:spacing w:before="120" w:line="480" w:lineRule="auto"/>
        <w:jc w:val="both"/>
        <w:rPr>
          <w:rFonts w:ascii="Arial" w:hAnsi="Arial" w:cs="Arial"/>
          <w:lang w:val="en-US"/>
        </w:rPr>
      </w:pPr>
      <w:r w:rsidRPr="005B60C5">
        <w:rPr>
          <w:rFonts w:ascii="Arial" w:hAnsi="Arial" w:cs="Arial"/>
          <w:lang w:val="en-US"/>
        </w:rPr>
        <w:t xml:space="preserve">At </w:t>
      </w:r>
      <w:r w:rsidR="00C157F4" w:rsidRPr="005B60C5">
        <w:rPr>
          <w:rFonts w:ascii="Arial" w:hAnsi="Arial" w:cs="Arial"/>
          <w:lang w:val="en-US"/>
        </w:rPr>
        <w:t>enrollment in the JAKARTA study</w:t>
      </w:r>
      <w:r w:rsidRPr="005B60C5">
        <w:rPr>
          <w:rFonts w:ascii="Arial" w:hAnsi="Arial" w:cs="Arial"/>
          <w:lang w:val="en-US"/>
        </w:rPr>
        <w:t>, concomitant</w:t>
      </w:r>
      <w:r w:rsidR="00C157F4" w:rsidRPr="005B60C5">
        <w:rPr>
          <w:rFonts w:ascii="Arial" w:hAnsi="Arial" w:cs="Arial"/>
          <w:lang w:val="en-US"/>
        </w:rPr>
        <w:t xml:space="preserve"> medication consisted of metformin, gliclazide, ramipril, allopurinol, rabeprazole, levothyroxine sodium, </w:t>
      </w:r>
      <w:r w:rsidR="00C157F4" w:rsidRPr="005B60C5">
        <w:rPr>
          <w:rFonts w:ascii="Arial" w:hAnsi="Arial" w:cs="Arial"/>
          <w:lang w:val="en-GB"/>
        </w:rPr>
        <w:t>adcal-D3, loperamide and mometasone nasal spray</w:t>
      </w:r>
      <w:r w:rsidR="00C157F4" w:rsidRPr="005B60C5">
        <w:rPr>
          <w:rFonts w:ascii="Arial" w:hAnsi="Arial" w:cs="Arial"/>
          <w:lang w:val="en-US"/>
        </w:rPr>
        <w:t>.</w:t>
      </w:r>
      <w:r w:rsidR="008F6C12">
        <w:rPr>
          <w:rFonts w:ascii="Arial" w:hAnsi="Arial" w:cs="Arial"/>
          <w:lang w:val="en-US"/>
        </w:rPr>
        <w:t xml:space="preserve"> </w:t>
      </w:r>
      <w:r w:rsidR="008F6C12" w:rsidRPr="008F2232">
        <w:rPr>
          <w:rFonts w:ascii="Arial" w:hAnsi="Arial" w:cs="Arial"/>
          <w:color w:val="FF0000"/>
          <w:lang w:val="en-US"/>
        </w:rPr>
        <w:t xml:space="preserve">After fedratinib discontinuation the patient </w:t>
      </w:r>
      <w:r w:rsidR="00ED18F7">
        <w:rPr>
          <w:rFonts w:ascii="Arial" w:hAnsi="Arial" w:cs="Arial"/>
          <w:color w:val="FF0000"/>
          <w:lang w:val="en-US"/>
        </w:rPr>
        <w:t>did not receive any further</w:t>
      </w:r>
      <w:bookmarkStart w:id="0" w:name="_GoBack"/>
      <w:bookmarkEnd w:id="0"/>
      <w:r w:rsidR="008F6C12" w:rsidRPr="008F2232">
        <w:rPr>
          <w:rFonts w:ascii="Arial" w:hAnsi="Arial" w:cs="Arial"/>
          <w:color w:val="FF0000"/>
          <w:lang w:val="en-US"/>
        </w:rPr>
        <w:t xml:space="preserve"> treatment for his </w:t>
      </w:r>
      <w:r w:rsidR="008F2232" w:rsidRPr="008F2232">
        <w:rPr>
          <w:rFonts w:ascii="Arial" w:hAnsi="Arial" w:cs="Arial"/>
          <w:color w:val="FF0000"/>
          <w:lang w:val="en-US"/>
        </w:rPr>
        <w:t>MF</w:t>
      </w:r>
      <w:r w:rsidR="008F6C12">
        <w:rPr>
          <w:rFonts w:ascii="Arial" w:hAnsi="Arial" w:cs="Arial"/>
          <w:lang w:val="en-US"/>
        </w:rPr>
        <w:t xml:space="preserve">. </w:t>
      </w:r>
    </w:p>
    <w:p w14:paraId="78AF5CF5" w14:textId="78F9D290" w:rsidR="005B60C5" w:rsidRPr="005B60C5" w:rsidRDefault="00C157F4" w:rsidP="008C15F8">
      <w:pPr>
        <w:widowControl w:val="0"/>
        <w:autoSpaceDE w:val="0"/>
        <w:autoSpaceDN w:val="0"/>
        <w:adjustRightInd w:val="0"/>
        <w:spacing w:before="120" w:line="480" w:lineRule="auto"/>
        <w:jc w:val="both"/>
        <w:rPr>
          <w:rFonts w:ascii="Arial" w:hAnsi="Arial" w:cs="Arial"/>
          <w:lang w:val="en-US"/>
        </w:rPr>
      </w:pPr>
      <w:r w:rsidRPr="005B60C5">
        <w:rPr>
          <w:rFonts w:ascii="Arial" w:hAnsi="Arial" w:cs="Arial"/>
          <w:lang w:val="en-US"/>
        </w:rPr>
        <w:t>At the time of treatment initiation for the CLL, flow cytometry confirmed the CLL clone, accounting for 94% of the lymphoid population while cytogenetics confirmed the presence of del(20q) with no other abnormalities. Treatment consisted of immunochemotherapy with six 28-day cycles of rituximab 500 mg/m</w:t>
      </w:r>
      <w:r w:rsidRPr="005B60C5">
        <w:rPr>
          <w:rFonts w:ascii="Arial" w:hAnsi="Arial" w:cs="Arial"/>
          <w:vertAlign w:val="superscript"/>
          <w:lang w:val="en-US"/>
        </w:rPr>
        <w:t>2</w:t>
      </w:r>
      <w:r w:rsidRPr="005B60C5">
        <w:rPr>
          <w:rFonts w:ascii="Arial" w:hAnsi="Arial" w:cs="Arial"/>
          <w:lang w:val="en-US"/>
        </w:rPr>
        <w:t xml:space="preserve"> on day 1 and bendamustine 70 mg/m</w:t>
      </w:r>
      <w:r w:rsidRPr="005B60C5">
        <w:rPr>
          <w:rFonts w:ascii="Arial" w:hAnsi="Arial" w:cs="Arial"/>
          <w:vertAlign w:val="superscript"/>
          <w:lang w:val="en-US"/>
        </w:rPr>
        <w:t>2</w:t>
      </w:r>
      <w:r w:rsidRPr="005B60C5">
        <w:rPr>
          <w:rFonts w:ascii="Arial" w:hAnsi="Arial" w:cs="Arial"/>
          <w:lang w:val="en-US"/>
        </w:rPr>
        <w:t xml:space="preserve"> on days 1,2 of each cycle, followed by 11 30-day cycles of ibrutinib 420 mg o</w:t>
      </w:r>
      <w:r w:rsidR="00FB7929" w:rsidRPr="005B60C5">
        <w:rPr>
          <w:rFonts w:ascii="Arial" w:hAnsi="Arial" w:cs="Arial"/>
          <w:lang w:val="en-US"/>
        </w:rPr>
        <w:t xml:space="preserve">nce a day </w:t>
      </w:r>
      <w:r w:rsidRPr="005B60C5">
        <w:rPr>
          <w:rFonts w:ascii="Arial" w:hAnsi="Arial" w:cs="Arial"/>
          <w:lang w:val="en-US"/>
        </w:rPr>
        <w:t>(which was complicated with the development of basal cell carcinoma, ophthalmic herpes zoster and subdural hematomas).</w:t>
      </w:r>
      <w:r w:rsidR="005B60C5" w:rsidRPr="005B60C5">
        <w:rPr>
          <w:rFonts w:ascii="Arial" w:hAnsi="Arial" w:cs="Arial"/>
          <w:lang w:val="en-US"/>
        </w:rPr>
        <w:br w:type="page"/>
      </w:r>
    </w:p>
    <w:p w14:paraId="24D58802" w14:textId="2A0A4F06" w:rsidR="00C157F4" w:rsidRPr="005B60C5" w:rsidRDefault="00EA7C41" w:rsidP="008C15F8">
      <w:pPr>
        <w:widowControl w:val="0"/>
        <w:autoSpaceDE w:val="0"/>
        <w:autoSpaceDN w:val="0"/>
        <w:adjustRightInd w:val="0"/>
        <w:spacing w:before="120" w:line="48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 xml:space="preserve">SDC, </w:t>
      </w:r>
      <w:r w:rsidR="00C157F4" w:rsidRPr="005B60C5">
        <w:rPr>
          <w:rFonts w:ascii="Arial" w:hAnsi="Arial" w:cs="Arial"/>
          <w:b/>
          <w:lang w:val="en-US"/>
        </w:rPr>
        <w:t xml:space="preserve">Materials and </w:t>
      </w:r>
      <w:r w:rsidR="00626E92">
        <w:rPr>
          <w:rFonts w:ascii="Arial" w:hAnsi="Arial" w:cs="Arial"/>
          <w:b/>
          <w:lang w:val="en-US"/>
        </w:rPr>
        <w:t>M</w:t>
      </w:r>
      <w:r w:rsidR="00C157F4" w:rsidRPr="005B60C5">
        <w:rPr>
          <w:rFonts w:ascii="Arial" w:hAnsi="Arial" w:cs="Arial"/>
          <w:b/>
          <w:lang w:val="en-US"/>
        </w:rPr>
        <w:t>ethods</w:t>
      </w:r>
    </w:p>
    <w:p w14:paraId="2ECF67D4" w14:textId="195C9D26" w:rsidR="00C157F4" w:rsidRPr="005B60C5" w:rsidRDefault="00C157F4" w:rsidP="005B60C5">
      <w:pPr>
        <w:spacing w:before="120" w:line="480" w:lineRule="auto"/>
        <w:jc w:val="both"/>
        <w:rPr>
          <w:rFonts w:ascii="Arial" w:hAnsi="Arial" w:cs="Arial"/>
          <w:lang w:val="en-GB"/>
        </w:rPr>
      </w:pPr>
      <w:r w:rsidRPr="005B60C5">
        <w:rPr>
          <w:rFonts w:ascii="Arial" w:hAnsi="Arial" w:cs="Arial"/>
          <w:i/>
          <w:lang w:val="en-US"/>
        </w:rPr>
        <w:t>Fluorescence activated cell sorting (FACS)</w:t>
      </w:r>
      <w:r w:rsidRPr="005B60C5">
        <w:rPr>
          <w:rFonts w:ascii="Arial" w:hAnsi="Arial" w:cs="Arial"/>
          <w:lang w:val="en-US"/>
        </w:rPr>
        <w:t xml:space="preserve">. FACS was performed using the </w:t>
      </w:r>
      <w:proofErr w:type="spellStart"/>
      <w:r w:rsidRPr="005B60C5">
        <w:rPr>
          <w:rFonts w:ascii="Arial" w:hAnsi="Arial" w:cs="Arial"/>
          <w:lang w:val="en-US"/>
        </w:rPr>
        <w:t>FACSAriaTM</w:t>
      </w:r>
      <w:proofErr w:type="spellEnd"/>
      <w:r w:rsidRPr="005B60C5">
        <w:rPr>
          <w:rFonts w:ascii="Arial" w:hAnsi="Arial" w:cs="Arial"/>
          <w:lang w:val="en-US"/>
        </w:rPr>
        <w:t xml:space="preserve"> III (Becton Dickinson and Company, Franklin Lakes, US-NJ). Cryopreserved peripheral blood mononuclear cells were thawed and processed for flow cytometry analysis as previously described. HSPC were defined as CD3-CD19-CD5-CD23-CD33-CD34+; myeloid cells were defined as CD3-CD19-CD5-CD23-CD34-CD33+; T cells were defined as CD33-CD34-CD19-CD23-CD3+; CLL cells were defined as CD3-CD33-CD34-CD19+CD5+CD23+; bulk consisted of all viable cells. Two hundred cells per population were sorted into </w:t>
      </w:r>
      <w:r w:rsidRPr="005B60C5">
        <w:rPr>
          <w:rFonts w:ascii="Arial" w:hAnsi="Arial" w:cs="Arial"/>
          <w:lang w:val="en-GB"/>
        </w:rPr>
        <w:t>phosphate-buffered saline and post-sort FACS purity analysis showed no cross contamination between the HSPC, myeloid, T cell and CLL purified populations.</w:t>
      </w:r>
      <w:r w:rsidRPr="005B60C5">
        <w:rPr>
          <w:rFonts w:ascii="Arial" w:hAnsi="Arial" w:cs="Arial"/>
          <w:strike/>
          <w:lang w:val="en-GB"/>
        </w:rPr>
        <w:t xml:space="preserve"> </w:t>
      </w:r>
    </w:p>
    <w:p w14:paraId="65CF0535" w14:textId="77777777" w:rsidR="00C157F4" w:rsidRPr="005B60C5" w:rsidRDefault="00C157F4" w:rsidP="005B60C5">
      <w:pPr>
        <w:spacing w:before="120" w:line="480" w:lineRule="auto"/>
        <w:jc w:val="both"/>
        <w:rPr>
          <w:rFonts w:ascii="Arial" w:hAnsi="Arial" w:cs="Arial"/>
          <w:lang w:val="en-GB"/>
        </w:rPr>
      </w:pPr>
      <w:r w:rsidRPr="005B60C5">
        <w:rPr>
          <w:rFonts w:ascii="Arial" w:hAnsi="Arial" w:cs="Arial"/>
          <w:i/>
          <w:lang w:val="en-US"/>
        </w:rPr>
        <w:t>Whole genome amplification</w:t>
      </w:r>
      <w:r w:rsidRPr="005B60C5">
        <w:rPr>
          <w:rFonts w:ascii="Arial" w:hAnsi="Arial" w:cs="Arial"/>
          <w:lang w:val="en-US"/>
        </w:rPr>
        <w:t>. Whole genome amplification for each sorted population was performed using the REPLI-g® Midi Kits (QIAGEN N.V., Venlo, NL) according to the manufacturer's instructions.</w:t>
      </w:r>
    </w:p>
    <w:p w14:paraId="5207B03F" w14:textId="7AA7929E" w:rsidR="00C157F4" w:rsidRPr="005B60C5" w:rsidRDefault="00C157F4" w:rsidP="005B60C5">
      <w:pPr>
        <w:spacing w:before="120" w:line="480" w:lineRule="auto"/>
        <w:jc w:val="both"/>
        <w:rPr>
          <w:rFonts w:ascii="Arial" w:hAnsi="Arial" w:cs="Arial"/>
          <w:lang w:val="en-US"/>
        </w:rPr>
      </w:pPr>
      <w:r w:rsidRPr="005B60C5">
        <w:rPr>
          <w:rFonts w:ascii="Arial" w:hAnsi="Arial" w:cs="Arial"/>
          <w:i/>
          <w:lang w:val="en-US"/>
        </w:rPr>
        <w:t>Polymerase chain reaction (PCR)</w:t>
      </w:r>
      <w:r w:rsidRPr="005B60C5">
        <w:rPr>
          <w:rFonts w:ascii="Arial" w:hAnsi="Arial" w:cs="Arial"/>
          <w:lang w:val="en-US"/>
        </w:rPr>
        <w:t xml:space="preserve">. Primers for amplification of </w:t>
      </w:r>
      <w:r w:rsidRPr="00095660">
        <w:rPr>
          <w:rFonts w:ascii="Arial" w:hAnsi="Arial" w:cs="Arial"/>
          <w:i/>
          <w:lang w:val="en-US"/>
        </w:rPr>
        <w:t>JAK2</w:t>
      </w:r>
      <w:r w:rsidRPr="005B60C5">
        <w:rPr>
          <w:rFonts w:ascii="Arial" w:hAnsi="Arial" w:cs="Arial"/>
          <w:lang w:val="en-US"/>
        </w:rPr>
        <w:t xml:space="preserve"> exon 14 were F; </w:t>
      </w:r>
      <w:r w:rsidRPr="005B60C5">
        <w:rPr>
          <w:rFonts w:ascii="Arial" w:hAnsi="Arial" w:cs="Arial"/>
          <w:sz w:val="18"/>
          <w:szCs w:val="18"/>
          <w:lang w:val="en-US"/>
        </w:rPr>
        <w:t>5’ CAAGCATTTGGTTTTAAATTATGGAGTACGT 3’</w:t>
      </w:r>
      <w:r w:rsidRPr="005B60C5">
        <w:rPr>
          <w:rFonts w:ascii="Arial" w:hAnsi="Arial" w:cs="Arial"/>
          <w:lang w:val="en-US"/>
        </w:rPr>
        <w:t xml:space="preserve">, R; </w:t>
      </w:r>
      <w:r w:rsidRPr="005B60C5">
        <w:rPr>
          <w:rFonts w:ascii="Arial" w:hAnsi="Arial" w:cs="Arial"/>
          <w:sz w:val="18"/>
          <w:szCs w:val="18"/>
          <w:lang w:val="en-US"/>
        </w:rPr>
        <w:t>5’ TAAATTATAGTTTACACTGACACCTAG</w:t>
      </w:r>
      <w:r w:rsidRPr="005B60C5">
        <w:rPr>
          <w:rFonts w:ascii="Arial" w:hAnsi="Arial" w:cs="Arial"/>
          <w:sz w:val="18"/>
          <w:szCs w:val="18"/>
          <w:lang w:val="en-GB"/>
        </w:rPr>
        <w:t xml:space="preserve"> 3’</w:t>
      </w:r>
      <w:r w:rsidRPr="005B60C5">
        <w:rPr>
          <w:rFonts w:ascii="Arial" w:hAnsi="Arial" w:cs="Arial"/>
          <w:lang w:val="en-GB"/>
        </w:rPr>
        <w:t xml:space="preserve"> </w:t>
      </w:r>
      <w:r w:rsidRPr="005B60C5">
        <w:rPr>
          <w:rFonts w:ascii="Arial" w:hAnsi="Arial" w:cs="Arial"/>
          <w:lang w:val="en-US"/>
        </w:rPr>
        <w:t xml:space="preserve">and for ATM exon 49 were F; </w:t>
      </w:r>
      <w:r w:rsidRPr="005B60C5">
        <w:rPr>
          <w:rFonts w:ascii="Arial" w:hAnsi="Arial" w:cs="Arial"/>
          <w:sz w:val="18"/>
          <w:szCs w:val="18"/>
          <w:lang w:val="en-US"/>
        </w:rPr>
        <w:t xml:space="preserve">5’ </w:t>
      </w:r>
      <w:r w:rsidRPr="005B60C5">
        <w:rPr>
          <w:rFonts w:ascii="Arial" w:eastAsia="Times New Roman" w:hAnsi="Arial" w:cs="Arial"/>
          <w:sz w:val="18"/>
          <w:szCs w:val="18"/>
          <w:lang w:val="en-US"/>
        </w:rPr>
        <w:t>AGGCAGTAGAAGTTGCTGGAA 3’</w:t>
      </w:r>
      <w:r w:rsidRPr="005B60C5">
        <w:rPr>
          <w:rFonts w:ascii="Arial" w:hAnsi="Arial" w:cs="Arial"/>
          <w:lang w:val="en-US"/>
        </w:rPr>
        <w:t xml:space="preserve">, R; </w:t>
      </w:r>
      <w:r w:rsidRPr="005B60C5">
        <w:rPr>
          <w:rFonts w:ascii="Arial" w:hAnsi="Arial" w:cs="Arial"/>
          <w:sz w:val="18"/>
          <w:szCs w:val="18"/>
          <w:lang w:val="en-US"/>
        </w:rPr>
        <w:t xml:space="preserve">5’ </w:t>
      </w:r>
      <w:r w:rsidRPr="005B60C5">
        <w:rPr>
          <w:rFonts w:ascii="Arial" w:eastAsia="Times New Roman" w:hAnsi="Arial" w:cs="Arial"/>
          <w:sz w:val="18"/>
          <w:szCs w:val="18"/>
          <w:lang w:val="en-US"/>
        </w:rPr>
        <w:t>CTGTAGCCCCAGCTATTTCG 3’</w:t>
      </w:r>
      <w:r w:rsidRPr="005B60C5">
        <w:rPr>
          <w:rFonts w:ascii="Arial" w:hAnsi="Arial" w:cs="Arial"/>
          <w:lang w:val="en-US"/>
        </w:rPr>
        <w:t xml:space="preserve">. To identify allelic skewing in 20q region we used the 20q- microsatellite marker D20S119 with the following primers F; </w:t>
      </w:r>
      <w:r w:rsidRPr="005B60C5">
        <w:rPr>
          <w:rFonts w:ascii="Arial" w:hAnsi="Arial" w:cs="Arial"/>
          <w:sz w:val="18"/>
          <w:szCs w:val="18"/>
          <w:lang w:val="en-US"/>
        </w:rPr>
        <w:t xml:space="preserve">5’ </w:t>
      </w:r>
      <w:r w:rsidRPr="005B60C5">
        <w:rPr>
          <w:rFonts w:ascii="Arial" w:eastAsia="Times New Roman" w:hAnsi="Arial" w:cs="Arial"/>
          <w:sz w:val="18"/>
          <w:szCs w:val="18"/>
          <w:lang w:val="en-GB"/>
        </w:rPr>
        <w:t>CTGACACAGTTTCAGTATCTCTATC 3’</w:t>
      </w:r>
      <w:r w:rsidRPr="005B60C5">
        <w:rPr>
          <w:rFonts w:ascii="Arial" w:hAnsi="Arial" w:cs="Arial"/>
          <w:lang w:val="en-US"/>
        </w:rPr>
        <w:t xml:space="preserve">, R; </w:t>
      </w:r>
      <w:r w:rsidRPr="005B60C5">
        <w:rPr>
          <w:rFonts w:ascii="Arial" w:hAnsi="Arial" w:cs="Arial"/>
          <w:sz w:val="18"/>
          <w:szCs w:val="18"/>
          <w:lang w:val="en-US"/>
        </w:rPr>
        <w:t xml:space="preserve">5’ </w:t>
      </w:r>
      <w:r w:rsidRPr="005B60C5">
        <w:rPr>
          <w:rFonts w:ascii="Arial" w:eastAsia="Times New Roman" w:hAnsi="Arial" w:cs="Arial"/>
          <w:sz w:val="18"/>
          <w:szCs w:val="18"/>
          <w:lang w:val="en-GB"/>
        </w:rPr>
        <w:t>TTTCCAGATTTAGGGGTGTATG 3’</w:t>
      </w:r>
      <w:r w:rsidRPr="005B60C5">
        <w:rPr>
          <w:rFonts w:ascii="Arial" w:hAnsi="Arial" w:cs="Arial"/>
          <w:lang w:val="en-US"/>
        </w:rPr>
        <w:t xml:space="preserve">. Primers were designed to amplify amplicons between 104 and 571 bp and were checked against </w:t>
      </w:r>
      <w:proofErr w:type="spellStart"/>
      <w:r w:rsidRPr="005B60C5">
        <w:rPr>
          <w:rFonts w:ascii="Arial" w:hAnsi="Arial" w:cs="Arial"/>
          <w:lang w:val="en-US"/>
        </w:rPr>
        <w:t>RefSeq</w:t>
      </w:r>
      <w:proofErr w:type="spellEnd"/>
      <w:r w:rsidRPr="005B60C5">
        <w:rPr>
          <w:rFonts w:ascii="Arial" w:hAnsi="Arial" w:cs="Arial"/>
          <w:lang w:val="en-US"/>
        </w:rPr>
        <w:t xml:space="preserve"> and human genome assembly databases using NCBI Primer-BLAST</w:t>
      </w:r>
      <w:r w:rsidRPr="005B60C5">
        <w:rPr>
          <w:rFonts w:ascii="Arial" w:hAnsi="Arial" w:cs="Arial"/>
          <w:vertAlign w:val="superscript"/>
          <w:lang w:val="en-US"/>
        </w:rPr>
        <w:t>®</w:t>
      </w:r>
      <w:r w:rsidRPr="005B60C5">
        <w:rPr>
          <w:rFonts w:ascii="Arial" w:hAnsi="Arial" w:cs="Arial"/>
          <w:lang w:val="en-US"/>
        </w:rPr>
        <w:t xml:space="preserve"> (National Library of Medicine, Bethesda, US-MD) as well as </w:t>
      </w:r>
      <w:proofErr w:type="spellStart"/>
      <w:r w:rsidRPr="005B60C5">
        <w:rPr>
          <w:rFonts w:ascii="Arial" w:hAnsi="Arial" w:cs="Arial"/>
          <w:lang w:val="en-US"/>
        </w:rPr>
        <w:t>SnapGene</w:t>
      </w:r>
      <w:proofErr w:type="spellEnd"/>
      <w:r w:rsidRPr="005B60C5">
        <w:rPr>
          <w:rFonts w:ascii="Arial" w:hAnsi="Arial" w:cs="Arial"/>
          <w:lang w:val="en-US"/>
        </w:rPr>
        <w:t xml:space="preserve">® Viewer (GSL Biotech LLC, Chicago, US-IL). For restriction digest to identify </w:t>
      </w:r>
      <w:r w:rsidRPr="00095660">
        <w:rPr>
          <w:rFonts w:ascii="Arial" w:hAnsi="Arial" w:cs="Arial"/>
          <w:i/>
          <w:lang w:val="en-US"/>
        </w:rPr>
        <w:t>JAK2V617F</w:t>
      </w:r>
      <w:r w:rsidRPr="005B60C5">
        <w:rPr>
          <w:rFonts w:ascii="Arial" w:hAnsi="Arial" w:cs="Arial"/>
          <w:lang w:val="en-US"/>
        </w:rPr>
        <w:t>, the method was as previously described.</w:t>
      </w:r>
      <w:r w:rsidR="00B830FE" w:rsidRPr="005B60C5">
        <w:rPr>
          <w:rFonts w:ascii="Arial" w:hAnsi="Arial" w:cs="Arial"/>
          <w:vertAlign w:val="superscript"/>
          <w:lang w:val="en-US"/>
        </w:rPr>
        <w:t>1</w:t>
      </w:r>
      <w:r w:rsidRPr="005B60C5">
        <w:rPr>
          <w:rFonts w:ascii="Arial" w:hAnsi="Arial" w:cs="Arial"/>
          <w:lang w:val="en-US"/>
        </w:rPr>
        <w:t xml:space="preserve"> All primers were synthesized by </w:t>
      </w:r>
      <w:proofErr w:type="spellStart"/>
      <w:r w:rsidRPr="005B60C5">
        <w:rPr>
          <w:rFonts w:ascii="Arial" w:hAnsi="Arial" w:cs="Arial"/>
          <w:lang w:val="en-US"/>
        </w:rPr>
        <w:t>Invitrogen</w:t>
      </w:r>
      <w:r w:rsidRPr="005B60C5">
        <w:rPr>
          <w:rFonts w:ascii="Arial" w:hAnsi="Arial" w:cs="Arial"/>
          <w:vertAlign w:val="superscript"/>
          <w:lang w:val="en-US"/>
        </w:rPr>
        <w:t>TM</w:t>
      </w:r>
      <w:proofErr w:type="spellEnd"/>
      <w:r w:rsidRPr="005B60C5">
        <w:rPr>
          <w:rFonts w:ascii="Arial" w:hAnsi="Arial" w:cs="Arial"/>
          <w:lang w:val="en-US"/>
        </w:rPr>
        <w:t xml:space="preserve"> (Thermo Fisher </w:t>
      </w:r>
      <w:r w:rsidRPr="005B60C5">
        <w:rPr>
          <w:rFonts w:ascii="Arial" w:hAnsi="Arial" w:cs="Arial"/>
          <w:color w:val="000000" w:themeColor="text1"/>
          <w:lang w:val="en-US"/>
        </w:rPr>
        <w:t>Scientific, Waltham, US-MA). All PCRs were performed using the KAPA</w:t>
      </w:r>
      <w:r w:rsidR="007228E7" w:rsidRPr="005B60C5">
        <w:rPr>
          <w:rFonts w:ascii="Arial" w:hAnsi="Arial" w:cs="Arial"/>
          <w:color w:val="000000" w:themeColor="text1"/>
          <w:lang w:val="en-GB"/>
        </w:rPr>
        <w:t xml:space="preserve">2G Robust </w:t>
      </w:r>
      <w:proofErr w:type="spellStart"/>
      <w:r w:rsidR="007228E7" w:rsidRPr="005B60C5">
        <w:rPr>
          <w:rFonts w:ascii="Arial" w:hAnsi="Arial" w:cs="Arial"/>
          <w:color w:val="000000" w:themeColor="text1"/>
          <w:lang w:val="en-GB"/>
        </w:rPr>
        <w:t>HotStart</w:t>
      </w:r>
      <w:proofErr w:type="spellEnd"/>
      <w:r w:rsidR="00903520" w:rsidRPr="005B60C5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="00903520" w:rsidRPr="005B60C5">
        <w:rPr>
          <w:rFonts w:ascii="Arial" w:hAnsi="Arial" w:cs="Arial"/>
          <w:color w:val="000000" w:themeColor="text1"/>
          <w:lang w:val="en-GB"/>
        </w:rPr>
        <w:t>ReadyMix</w:t>
      </w:r>
      <w:proofErr w:type="spellEnd"/>
      <w:r w:rsidR="00903520" w:rsidRPr="005B60C5">
        <w:rPr>
          <w:rFonts w:ascii="Arial" w:hAnsi="Arial" w:cs="Arial"/>
          <w:color w:val="000000" w:themeColor="text1"/>
          <w:lang w:val="en-GB"/>
        </w:rPr>
        <w:t xml:space="preserve"> PCR Kit</w:t>
      </w:r>
      <w:r w:rsidRPr="005B60C5">
        <w:rPr>
          <w:rFonts w:ascii="Arial" w:hAnsi="Arial" w:cs="Arial"/>
          <w:color w:val="000000" w:themeColor="text1"/>
          <w:lang w:val="en-US"/>
        </w:rPr>
        <w:t xml:space="preserve"> (Merck, Darmstadt, DE) according to the manufacturer's instructions with the following conditions: total volume of 25</w:t>
      </w:r>
      <w:r w:rsidRPr="005B60C5">
        <w:rPr>
          <w:rFonts w:ascii="Arial" w:hAnsi="Arial" w:cs="Arial"/>
          <w:color w:val="000000" w:themeColor="text1"/>
          <w:lang w:val="en-GB"/>
        </w:rPr>
        <w:t xml:space="preserve"> </w:t>
      </w:r>
      <w:r w:rsidRPr="005B60C5">
        <w:rPr>
          <w:rFonts w:ascii="Arial" w:hAnsi="Arial" w:cs="Arial"/>
          <w:color w:val="000000" w:themeColor="text1"/>
        </w:rPr>
        <w:t>μ</w:t>
      </w:r>
      <w:r w:rsidRPr="005B60C5">
        <w:rPr>
          <w:rFonts w:ascii="Arial" w:hAnsi="Arial" w:cs="Arial"/>
          <w:color w:val="000000" w:themeColor="text1"/>
          <w:lang w:val="en-GB"/>
        </w:rPr>
        <w:t xml:space="preserve">l containing 12.5 </w:t>
      </w:r>
      <w:r w:rsidRPr="005B60C5">
        <w:rPr>
          <w:rFonts w:ascii="Arial" w:hAnsi="Arial" w:cs="Arial"/>
          <w:color w:val="000000" w:themeColor="text1"/>
        </w:rPr>
        <w:t>μ</w:t>
      </w:r>
      <w:r w:rsidRPr="005B60C5">
        <w:rPr>
          <w:rFonts w:ascii="Arial" w:hAnsi="Arial" w:cs="Arial"/>
          <w:color w:val="000000" w:themeColor="text1"/>
          <w:lang w:val="en-GB"/>
        </w:rPr>
        <w:t>l</w:t>
      </w:r>
      <w:r w:rsidRPr="005B60C5">
        <w:rPr>
          <w:rFonts w:ascii="Arial" w:hAnsi="Arial" w:cs="Arial"/>
          <w:color w:val="000000" w:themeColor="text1"/>
          <w:lang w:val="en-US"/>
        </w:rPr>
        <w:t xml:space="preserve"> </w:t>
      </w:r>
      <w:r w:rsidR="00CC0BD5" w:rsidRPr="005B60C5">
        <w:rPr>
          <w:rFonts w:ascii="Arial" w:hAnsi="Arial" w:cs="Arial"/>
          <w:color w:val="000000" w:themeColor="text1"/>
          <w:lang w:val="en-GB"/>
        </w:rPr>
        <w:t>of</w:t>
      </w:r>
      <w:r w:rsidR="00950130" w:rsidRPr="005B60C5">
        <w:rPr>
          <w:rFonts w:ascii="Arial" w:hAnsi="Arial" w:cs="Arial"/>
          <w:color w:val="000000" w:themeColor="text1"/>
          <w:lang w:val="en-GB"/>
        </w:rPr>
        <w:t xml:space="preserve"> the</w:t>
      </w:r>
      <w:r w:rsidRPr="005B60C5">
        <w:rPr>
          <w:rFonts w:ascii="Arial" w:hAnsi="Arial" w:cs="Arial"/>
          <w:color w:val="000000" w:themeColor="text1"/>
          <w:lang w:val="en-GB"/>
        </w:rPr>
        <w:t xml:space="preserve"> KAPA2G Robust </w:t>
      </w:r>
      <w:proofErr w:type="spellStart"/>
      <w:r w:rsidRPr="005B60C5">
        <w:rPr>
          <w:rFonts w:ascii="Arial" w:hAnsi="Arial" w:cs="Arial"/>
          <w:color w:val="000000" w:themeColor="text1"/>
          <w:lang w:val="en-GB"/>
        </w:rPr>
        <w:t>HotStart</w:t>
      </w:r>
      <w:proofErr w:type="spellEnd"/>
      <w:r w:rsidRPr="005B60C5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5B60C5">
        <w:rPr>
          <w:rFonts w:ascii="Arial" w:hAnsi="Arial" w:cs="Arial"/>
          <w:color w:val="000000" w:themeColor="text1"/>
          <w:lang w:val="en-GB"/>
        </w:rPr>
        <w:t>ReadyMix</w:t>
      </w:r>
      <w:proofErr w:type="spellEnd"/>
      <w:r w:rsidRPr="005B60C5">
        <w:rPr>
          <w:rFonts w:ascii="Arial" w:hAnsi="Arial" w:cs="Arial"/>
          <w:color w:val="000000" w:themeColor="text1"/>
          <w:lang w:val="en-GB"/>
        </w:rPr>
        <w:t xml:space="preserve">, 1.25 </w:t>
      </w:r>
      <w:r w:rsidRPr="005B60C5">
        <w:rPr>
          <w:rFonts w:ascii="Arial" w:hAnsi="Arial" w:cs="Arial"/>
          <w:color w:val="000000" w:themeColor="text1"/>
        </w:rPr>
        <w:t>μ</w:t>
      </w:r>
      <w:r w:rsidRPr="005B60C5">
        <w:rPr>
          <w:rFonts w:ascii="Arial" w:hAnsi="Arial" w:cs="Arial"/>
          <w:color w:val="000000" w:themeColor="text1"/>
          <w:lang w:val="en-GB"/>
        </w:rPr>
        <w:t xml:space="preserve">l of each primer at 10 </w:t>
      </w:r>
      <w:r w:rsidRPr="005B60C5">
        <w:rPr>
          <w:rFonts w:ascii="Arial" w:hAnsi="Arial" w:cs="Arial"/>
          <w:color w:val="000000" w:themeColor="text1"/>
        </w:rPr>
        <w:t>μ</w:t>
      </w:r>
      <w:r w:rsidRPr="005B60C5">
        <w:rPr>
          <w:rFonts w:ascii="Arial" w:hAnsi="Arial" w:cs="Arial"/>
          <w:color w:val="000000" w:themeColor="text1"/>
          <w:lang w:val="en-GB"/>
        </w:rPr>
        <w:t xml:space="preserve">M, template DNA as required and PCR-grade water up to 25 </w:t>
      </w:r>
      <w:r w:rsidRPr="005B60C5">
        <w:rPr>
          <w:rFonts w:ascii="Arial" w:hAnsi="Arial" w:cs="Arial"/>
          <w:color w:val="000000" w:themeColor="text1"/>
        </w:rPr>
        <w:t>μ</w:t>
      </w:r>
      <w:r w:rsidRPr="005B60C5">
        <w:rPr>
          <w:rFonts w:ascii="Arial" w:hAnsi="Arial" w:cs="Arial"/>
          <w:color w:val="000000" w:themeColor="text1"/>
          <w:lang w:val="en-GB"/>
        </w:rPr>
        <w:t xml:space="preserve">l; </w:t>
      </w:r>
      <w:r w:rsidRPr="005B60C5">
        <w:rPr>
          <w:rFonts w:ascii="Arial" w:hAnsi="Arial" w:cs="Arial"/>
          <w:color w:val="000000" w:themeColor="text1"/>
          <w:lang w:val="en-GB"/>
        </w:rPr>
        <w:lastRenderedPageBreak/>
        <w:t>and the following cycling protocol: initial denaturation for 3 min</w:t>
      </w:r>
      <w:r w:rsidR="008F332B" w:rsidRPr="005B60C5">
        <w:rPr>
          <w:rFonts w:ascii="Arial" w:hAnsi="Arial" w:cs="Arial"/>
          <w:color w:val="000000" w:themeColor="text1"/>
          <w:lang w:val="en-GB"/>
        </w:rPr>
        <w:t>utes</w:t>
      </w:r>
      <w:r w:rsidRPr="005B60C5">
        <w:rPr>
          <w:rFonts w:ascii="Arial" w:hAnsi="Arial" w:cs="Arial"/>
          <w:color w:val="000000" w:themeColor="text1"/>
          <w:lang w:val="en-GB"/>
        </w:rPr>
        <w:t xml:space="preserve"> at 95</w:t>
      </w:r>
      <w:r w:rsidRPr="005B60C5">
        <w:rPr>
          <w:rFonts w:ascii="Arial" w:hAnsi="Arial" w:cs="Arial"/>
          <w:color w:val="000000" w:themeColor="text1"/>
          <w:vertAlign w:val="superscript"/>
          <w:lang w:val="en-GB"/>
        </w:rPr>
        <w:t>o</w:t>
      </w:r>
      <w:r w:rsidRPr="005B60C5">
        <w:rPr>
          <w:rFonts w:ascii="Arial" w:hAnsi="Arial" w:cs="Arial"/>
          <w:color w:val="000000" w:themeColor="text1"/>
          <w:lang w:val="en-GB"/>
        </w:rPr>
        <w:t>C, 35 cycles of denaturation for 15 sec</w:t>
      </w:r>
      <w:r w:rsidR="008F332B" w:rsidRPr="005B60C5">
        <w:rPr>
          <w:rFonts w:ascii="Arial" w:hAnsi="Arial" w:cs="Arial"/>
          <w:color w:val="000000" w:themeColor="text1"/>
          <w:lang w:val="en-GB"/>
        </w:rPr>
        <w:t>onds</w:t>
      </w:r>
      <w:r w:rsidRPr="005B60C5">
        <w:rPr>
          <w:rFonts w:ascii="Arial" w:hAnsi="Arial" w:cs="Arial"/>
          <w:color w:val="000000" w:themeColor="text1"/>
          <w:lang w:val="en-GB"/>
        </w:rPr>
        <w:t xml:space="preserve"> at 95</w:t>
      </w:r>
      <w:r w:rsidRPr="005B60C5">
        <w:rPr>
          <w:rFonts w:ascii="Arial" w:hAnsi="Arial" w:cs="Arial"/>
          <w:color w:val="000000" w:themeColor="text1"/>
          <w:vertAlign w:val="superscript"/>
          <w:lang w:val="en-GB"/>
        </w:rPr>
        <w:t>o</w:t>
      </w:r>
      <w:r w:rsidRPr="005B60C5">
        <w:rPr>
          <w:rFonts w:ascii="Arial" w:hAnsi="Arial" w:cs="Arial"/>
          <w:color w:val="000000" w:themeColor="text1"/>
          <w:lang w:val="en-GB"/>
        </w:rPr>
        <w:t>C, annealing for 15 sec</w:t>
      </w:r>
      <w:r w:rsidR="008F332B" w:rsidRPr="005B60C5">
        <w:rPr>
          <w:rFonts w:ascii="Arial" w:hAnsi="Arial" w:cs="Arial"/>
          <w:color w:val="000000" w:themeColor="text1"/>
          <w:lang w:val="en-GB"/>
        </w:rPr>
        <w:t>onds</w:t>
      </w:r>
      <w:r w:rsidRPr="005B60C5">
        <w:rPr>
          <w:rFonts w:ascii="Arial" w:hAnsi="Arial" w:cs="Arial"/>
          <w:color w:val="000000" w:themeColor="text1"/>
          <w:lang w:val="en-GB"/>
        </w:rPr>
        <w:t xml:space="preserve"> at 60</w:t>
      </w:r>
      <w:r w:rsidRPr="005B60C5">
        <w:rPr>
          <w:rFonts w:ascii="Arial" w:hAnsi="Arial" w:cs="Arial"/>
          <w:color w:val="000000" w:themeColor="text1"/>
          <w:vertAlign w:val="superscript"/>
          <w:lang w:val="en-GB"/>
        </w:rPr>
        <w:t>o</w:t>
      </w:r>
      <w:r w:rsidRPr="005B60C5">
        <w:rPr>
          <w:rFonts w:ascii="Arial" w:hAnsi="Arial" w:cs="Arial"/>
          <w:color w:val="000000" w:themeColor="text1"/>
          <w:lang w:val="en-GB"/>
        </w:rPr>
        <w:t>C and extension for 15 sec</w:t>
      </w:r>
      <w:r w:rsidR="008F332B" w:rsidRPr="005B60C5">
        <w:rPr>
          <w:rFonts w:ascii="Arial" w:hAnsi="Arial" w:cs="Arial"/>
          <w:color w:val="000000" w:themeColor="text1"/>
          <w:lang w:val="en-GB"/>
        </w:rPr>
        <w:t>onds</w:t>
      </w:r>
      <w:r w:rsidRPr="005B60C5">
        <w:rPr>
          <w:rFonts w:ascii="Arial" w:hAnsi="Arial" w:cs="Arial"/>
          <w:color w:val="000000" w:themeColor="text1"/>
          <w:lang w:val="en-GB"/>
        </w:rPr>
        <w:t xml:space="preserve"> at 72</w:t>
      </w:r>
      <w:r w:rsidRPr="005B60C5">
        <w:rPr>
          <w:rFonts w:ascii="Arial" w:hAnsi="Arial" w:cs="Arial"/>
          <w:color w:val="000000" w:themeColor="text1"/>
          <w:vertAlign w:val="superscript"/>
          <w:lang w:val="en-GB"/>
        </w:rPr>
        <w:t>o</w:t>
      </w:r>
      <w:r w:rsidRPr="005B60C5">
        <w:rPr>
          <w:rFonts w:ascii="Arial" w:hAnsi="Arial" w:cs="Arial"/>
          <w:color w:val="000000" w:themeColor="text1"/>
          <w:lang w:val="en-GB"/>
        </w:rPr>
        <w:t>C, and final extension for 1 min</w:t>
      </w:r>
      <w:r w:rsidR="008F332B" w:rsidRPr="005B60C5">
        <w:rPr>
          <w:rFonts w:ascii="Arial" w:hAnsi="Arial" w:cs="Arial"/>
          <w:color w:val="000000" w:themeColor="text1"/>
          <w:lang w:val="en-GB"/>
        </w:rPr>
        <w:t>ute</w:t>
      </w:r>
      <w:r w:rsidRPr="005B60C5">
        <w:rPr>
          <w:rFonts w:ascii="Arial" w:hAnsi="Arial" w:cs="Arial"/>
          <w:color w:val="000000" w:themeColor="text1"/>
          <w:lang w:val="en-GB"/>
        </w:rPr>
        <w:t xml:space="preserve"> at 72</w:t>
      </w:r>
      <w:r w:rsidRPr="005B60C5">
        <w:rPr>
          <w:rFonts w:ascii="Arial" w:hAnsi="Arial" w:cs="Arial"/>
          <w:color w:val="000000" w:themeColor="text1"/>
          <w:vertAlign w:val="superscript"/>
          <w:lang w:val="en-GB"/>
        </w:rPr>
        <w:t>o</w:t>
      </w:r>
      <w:r w:rsidRPr="005B60C5">
        <w:rPr>
          <w:rFonts w:ascii="Arial" w:hAnsi="Arial" w:cs="Arial"/>
          <w:color w:val="000000" w:themeColor="text1"/>
          <w:lang w:val="en-GB"/>
        </w:rPr>
        <w:t>C.</w:t>
      </w:r>
      <w:r w:rsidRPr="005B60C5">
        <w:rPr>
          <w:rFonts w:ascii="Arial" w:hAnsi="Arial" w:cs="Arial"/>
          <w:lang w:val="en-US"/>
        </w:rPr>
        <w:t xml:space="preserve"> All PCR amplicons were purified using </w:t>
      </w:r>
      <w:proofErr w:type="spellStart"/>
      <w:r w:rsidRPr="005B60C5">
        <w:rPr>
          <w:rFonts w:ascii="Arial" w:hAnsi="Arial" w:cs="Arial"/>
          <w:lang w:val="en-US"/>
        </w:rPr>
        <w:t>Agencourt</w:t>
      </w:r>
      <w:proofErr w:type="spellEnd"/>
      <w:r w:rsidRPr="005B60C5">
        <w:rPr>
          <w:rFonts w:ascii="Arial" w:hAnsi="Arial" w:cs="Arial"/>
          <w:lang w:val="en-US"/>
        </w:rPr>
        <w:t xml:space="preserve">® </w:t>
      </w:r>
      <w:proofErr w:type="spellStart"/>
      <w:r w:rsidRPr="005B60C5">
        <w:rPr>
          <w:rFonts w:ascii="Arial" w:hAnsi="Arial" w:cs="Arial"/>
          <w:lang w:val="en-US"/>
        </w:rPr>
        <w:t>AMPure</w:t>
      </w:r>
      <w:proofErr w:type="spellEnd"/>
      <w:r w:rsidRPr="005B60C5">
        <w:rPr>
          <w:rFonts w:ascii="Arial" w:hAnsi="Arial" w:cs="Arial"/>
          <w:lang w:val="en-US"/>
        </w:rPr>
        <w:t>® XP Magnetic Beads (Beckman Coulter, Inc, Brea, US-CA) according to the manufacturer’s instructions.</w:t>
      </w:r>
    </w:p>
    <w:p w14:paraId="0C01539B" w14:textId="595B454D" w:rsidR="00C157F4" w:rsidRPr="005B60C5" w:rsidRDefault="00C157F4">
      <w:pPr>
        <w:spacing w:before="120" w:line="480" w:lineRule="auto"/>
        <w:jc w:val="both"/>
        <w:rPr>
          <w:rFonts w:ascii="Arial" w:hAnsi="Arial" w:cs="Arial"/>
          <w:b/>
          <w:color w:val="FF0000"/>
          <w:lang w:val="en-US"/>
        </w:rPr>
      </w:pPr>
      <w:r w:rsidRPr="005B60C5">
        <w:rPr>
          <w:rFonts w:ascii="Arial" w:hAnsi="Arial" w:cs="Arial"/>
          <w:i/>
          <w:color w:val="000000" w:themeColor="text1"/>
          <w:lang w:val="en-US"/>
        </w:rPr>
        <w:t>Gel electrophoresis.</w:t>
      </w:r>
      <w:r w:rsidRPr="005B60C5">
        <w:rPr>
          <w:rFonts w:ascii="Arial" w:hAnsi="Arial" w:cs="Arial"/>
          <w:color w:val="000000" w:themeColor="text1"/>
          <w:lang w:val="en-US"/>
        </w:rPr>
        <w:t xml:space="preserve"> Initial assessment of DNA fragment size was performed using gel electrophoresis on a 3% ethidium bromide-containing (10</w:t>
      </w:r>
      <w:r w:rsidRPr="005B60C5">
        <w:rPr>
          <w:rFonts w:ascii="Arial" w:hAnsi="Arial" w:cs="Arial"/>
          <w:color w:val="000000" w:themeColor="text1"/>
          <w:vertAlign w:val="superscript"/>
          <w:lang w:val="en-US"/>
        </w:rPr>
        <w:t>-4</w:t>
      </w:r>
      <w:r w:rsidRPr="005B60C5">
        <w:rPr>
          <w:rFonts w:ascii="Arial" w:hAnsi="Arial" w:cs="Arial"/>
          <w:color w:val="000000" w:themeColor="text1"/>
          <w:lang w:val="en-US"/>
        </w:rPr>
        <w:t xml:space="preserve"> g</w:t>
      </w:r>
      <w:r w:rsidR="00CC2162" w:rsidRPr="005B60C5">
        <w:rPr>
          <w:rFonts w:ascii="Arial" w:hAnsi="Arial" w:cs="Arial"/>
          <w:color w:val="000000" w:themeColor="text1"/>
          <w:lang w:val="en-US"/>
        </w:rPr>
        <w:t>/</w:t>
      </w:r>
      <w:r w:rsidRPr="005B60C5">
        <w:rPr>
          <w:rFonts w:ascii="Arial" w:hAnsi="Arial" w:cs="Arial"/>
          <w:color w:val="000000" w:themeColor="text1"/>
          <w:lang w:val="en-US"/>
        </w:rPr>
        <w:t>L) agarose gel in T</w:t>
      </w:r>
      <w:r w:rsidR="00732B8D" w:rsidRPr="005B60C5">
        <w:rPr>
          <w:rFonts w:ascii="Arial" w:hAnsi="Arial" w:cs="Arial"/>
          <w:color w:val="000000" w:themeColor="text1"/>
          <w:lang w:val="en-US"/>
        </w:rPr>
        <w:t>A</w:t>
      </w:r>
      <w:r w:rsidRPr="005B60C5">
        <w:rPr>
          <w:rFonts w:ascii="Arial" w:hAnsi="Arial" w:cs="Arial"/>
          <w:color w:val="000000" w:themeColor="text1"/>
          <w:lang w:val="en-US"/>
        </w:rPr>
        <w:t>E buffer (</w:t>
      </w:r>
      <w:r w:rsidR="0045617D" w:rsidRPr="005B60C5">
        <w:rPr>
          <w:rFonts w:ascii="Arial" w:hAnsi="Arial" w:cs="Arial"/>
          <w:color w:val="000000" w:themeColor="text1"/>
          <w:lang w:val="en-US"/>
        </w:rPr>
        <w:t xml:space="preserve">Tris Acetate-EDTA, Tris acetate </w:t>
      </w:r>
      <w:r w:rsidR="00201FBC" w:rsidRPr="005B60C5">
        <w:rPr>
          <w:rFonts w:ascii="Arial" w:hAnsi="Arial" w:cs="Arial"/>
          <w:color w:val="000000" w:themeColor="text1"/>
          <w:lang w:val="en-US"/>
        </w:rPr>
        <w:t>40</w:t>
      </w:r>
      <w:r w:rsidRPr="005B60C5">
        <w:rPr>
          <w:rFonts w:ascii="Arial" w:hAnsi="Arial" w:cs="Arial"/>
          <w:color w:val="000000" w:themeColor="text1"/>
          <w:lang w:val="en-US"/>
        </w:rPr>
        <w:t xml:space="preserve"> mM</w:t>
      </w:r>
      <w:r w:rsidR="0045617D" w:rsidRPr="005B60C5">
        <w:rPr>
          <w:rFonts w:ascii="Arial" w:hAnsi="Arial" w:cs="Arial"/>
          <w:color w:val="000000" w:themeColor="text1"/>
          <w:lang w:val="en-US"/>
        </w:rPr>
        <w:t xml:space="preserve">, </w:t>
      </w:r>
      <w:r w:rsidR="0055680F" w:rsidRPr="005B60C5">
        <w:rPr>
          <w:rFonts w:ascii="Arial" w:hAnsi="Arial" w:cs="Arial"/>
          <w:color w:val="000000" w:themeColor="text1"/>
          <w:lang w:val="en-US"/>
        </w:rPr>
        <w:t xml:space="preserve">1mM EDTA, </w:t>
      </w:r>
      <w:r w:rsidR="00201FBC" w:rsidRPr="005B60C5">
        <w:rPr>
          <w:rFonts w:ascii="Arial" w:hAnsi="Arial" w:cs="Arial"/>
          <w:color w:val="000000" w:themeColor="text1"/>
          <w:lang w:val="en-US"/>
        </w:rPr>
        <w:t>pH 8.3</w:t>
      </w:r>
      <w:r w:rsidRPr="005B60C5">
        <w:rPr>
          <w:rFonts w:ascii="Arial" w:hAnsi="Arial" w:cs="Arial"/>
          <w:color w:val="000000" w:themeColor="text1"/>
          <w:lang w:val="en-US"/>
        </w:rPr>
        <w:t xml:space="preserve">) at 120 mV for 30 minutes. Approximate DNA fragment size was determined using a 50 bp ladder (PCRBIO Ladder III, PCR Biosystems Ltd, London, UK).   </w:t>
      </w:r>
    </w:p>
    <w:p w14:paraId="29F1184F" w14:textId="77777777" w:rsidR="00C157F4" w:rsidRPr="005B60C5" w:rsidRDefault="00C157F4">
      <w:pPr>
        <w:spacing w:before="120" w:line="480" w:lineRule="auto"/>
        <w:jc w:val="both"/>
        <w:rPr>
          <w:rFonts w:ascii="Arial" w:hAnsi="Arial" w:cs="Arial"/>
          <w:lang w:val="en-US"/>
        </w:rPr>
      </w:pPr>
      <w:r w:rsidRPr="005B60C5">
        <w:rPr>
          <w:rFonts w:ascii="Arial" w:hAnsi="Arial" w:cs="Arial"/>
          <w:i/>
          <w:lang w:val="en-US"/>
        </w:rPr>
        <w:t>Sanger DNA Sequencing</w:t>
      </w:r>
      <w:r w:rsidRPr="005B60C5">
        <w:rPr>
          <w:rFonts w:ascii="Arial" w:hAnsi="Arial" w:cs="Arial"/>
          <w:lang w:val="en-US"/>
        </w:rPr>
        <w:t xml:space="preserve">. Sanger DNA sequencing was applied for the detection of </w:t>
      </w:r>
      <w:r w:rsidRPr="00095660">
        <w:rPr>
          <w:rFonts w:ascii="Arial" w:hAnsi="Arial" w:cs="Arial"/>
          <w:i/>
          <w:lang w:val="en-US"/>
        </w:rPr>
        <w:t>JAK2</w:t>
      </w:r>
      <w:r w:rsidRPr="005B60C5">
        <w:rPr>
          <w:rFonts w:ascii="Arial" w:hAnsi="Arial" w:cs="Arial"/>
          <w:lang w:val="en-US"/>
        </w:rPr>
        <w:t xml:space="preserve"> c.1849G&gt;T p.V617F and the </w:t>
      </w:r>
      <w:r w:rsidRPr="00095660">
        <w:rPr>
          <w:rFonts w:ascii="Arial" w:hAnsi="Arial" w:cs="Arial"/>
          <w:i/>
          <w:lang w:val="en-US"/>
        </w:rPr>
        <w:t>ATM</w:t>
      </w:r>
      <w:r w:rsidRPr="005B60C5">
        <w:rPr>
          <w:rFonts w:ascii="Arial" w:hAnsi="Arial" w:cs="Arial"/>
          <w:lang w:val="en-US"/>
        </w:rPr>
        <w:t xml:space="preserve"> mutations in each of the different cell compartments. Sequencing was performed by the Applied </w:t>
      </w:r>
      <w:proofErr w:type="spellStart"/>
      <w:r w:rsidRPr="005B60C5">
        <w:rPr>
          <w:rFonts w:ascii="Arial" w:hAnsi="Arial" w:cs="Arial"/>
          <w:lang w:val="en-US"/>
        </w:rPr>
        <w:t>Biosystems</w:t>
      </w:r>
      <w:r w:rsidRPr="005B60C5">
        <w:rPr>
          <w:rFonts w:ascii="Arial" w:hAnsi="Arial" w:cs="Arial"/>
          <w:vertAlign w:val="superscript"/>
          <w:lang w:val="en-US"/>
        </w:rPr>
        <w:t>TM</w:t>
      </w:r>
      <w:proofErr w:type="spellEnd"/>
      <w:r w:rsidRPr="005B60C5">
        <w:rPr>
          <w:rFonts w:ascii="Arial" w:hAnsi="Arial" w:cs="Arial"/>
          <w:lang w:val="en-US"/>
        </w:rPr>
        <w:t xml:space="preserve"> 3730 DNA Analyzer (Thermo Fisher Scientific, Waltham, US-MA) with use of the </w:t>
      </w:r>
      <w:proofErr w:type="spellStart"/>
      <w:r w:rsidRPr="005B60C5">
        <w:rPr>
          <w:rFonts w:ascii="Arial" w:hAnsi="Arial" w:cs="Arial"/>
          <w:lang w:val="en-US"/>
        </w:rPr>
        <w:t>BigDye</w:t>
      </w:r>
      <w:proofErr w:type="spellEnd"/>
      <w:r w:rsidRPr="005B60C5">
        <w:rPr>
          <w:rFonts w:ascii="Arial" w:hAnsi="Arial" w:cs="Arial"/>
          <w:lang w:val="en-US"/>
        </w:rPr>
        <w:t xml:space="preserve">® Terminator v3.1 chemistry. Results were visualized and annotated using the </w:t>
      </w:r>
      <w:proofErr w:type="spellStart"/>
      <w:r w:rsidRPr="005B60C5">
        <w:rPr>
          <w:rFonts w:ascii="Arial" w:hAnsi="Arial" w:cs="Arial"/>
          <w:lang w:val="en-US"/>
        </w:rPr>
        <w:t>SnapGene</w:t>
      </w:r>
      <w:proofErr w:type="spellEnd"/>
      <w:r w:rsidRPr="005B60C5">
        <w:rPr>
          <w:rFonts w:ascii="Arial" w:hAnsi="Arial" w:cs="Arial"/>
          <w:lang w:val="en-US"/>
        </w:rPr>
        <w:t>® Viewer software (GSL Biotech LLC, Chicago, US-IL).</w:t>
      </w:r>
    </w:p>
    <w:p w14:paraId="6E5AB48D" w14:textId="11058729" w:rsidR="00CB7A8E" w:rsidRPr="005B60C5" w:rsidRDefault="00C157F4" w:rsidP="008C15F8">
      <w:pPr>
        <w:spacing w:before="120" w:line="480" w:lineRule="auto"/>
        <w:jc w:val="both"/>
        <w:rPr>
          <w:rFonts w:ascii="Arial" w:hAnsi="Arial" w:cs="Arial"/>
          <w:b/>
          <w:lang w:val="en-US"/>
        </w:rPr>
      </w:pPr>
      <w:r w:rsidRPr="005B60C5">
        <w:rPr>
          <w:rFonts w:ascii="Arial" w:hAnsi="Arial" w:cs="Arial"/>
          <w:i/>
          <w:lang w:val="en-US"/>
        </w:rPr>
        <w:t>Capillary electrophoresis</w:t>
      </w:r>
      <w:r w:rsidRPr="005B60C5">
        <w:rPr>
          <w:rFonts w:ascii="Arial" w:hAnsi="Arial" w:cs="Arial"/>
          <w:lang w:val="en-US"/>
        </w:rPr>
        <w:t xml:space="preserve">. Separation, identification and quantitation of both D20S PCR product fragments and restriction enzyme digest products were performed with use of the automated fluorescence-based capillary electrophoresis system Fragment </w:t>
      </w:r>
      <w:proofErr w:type="spellStart"/>
      <w:r w:rsidRPr="005B60C5">
        <w:rPr>
          <w:rFonts w:ascii="Arial" w:hAnsi="Arial" w:cs="Arial"/>
          <w:lang w:val="en-US"/>
        </w:rPr>
        <w:t>Analyzer</w:t>
      </w:r>
      <w:r w:rsidRPr="005B60C5">
        <w:rPr>
          <w:rFonts w:ascii="Arial" w:hAnsi="Arial" w:cs="Arial"/>
          <w:vertAlign w:val="superscript"/>
          <w:lang w:val="en-US"/>
        </w:rPr>
        <w:t>TM</w:t>
      </w:r>
      <w:proofErr w:type="spellEnd"/>
      <w:r w:rsidRPr="005B60C5">
        <w:rPr>
          <w:rFonts w:ascii="Arial" w:hAnsi="Arial" w:cs="Arial"/>
          <w:lang w:val="en-US"/>
        </w:rPr>
        <w:t xml:space="preserve"> (Advanced Analytical Technologies, Inc., Ankeny, US-IA) and the dsDNA 905 reagent kit of 35 bp – 500 bp sizing range.</w:t>
      </w:r>
      <w:r w:rsidR="00CB7A8E" w:rsidRPr="005B60C5">
        <w:rPr>
          <w:rFonts w:ascii="Arial" w:hAnsi="Arial" w:cs="Arial"/>
          <w:b/>
          <w:lang w:val="en-US"/>
        </w:rPr>
        <w:br w:type="page"/>
      </w:r>
    </w:p>
    <w:p w14:paraId="609FA7C9" w14:textId="77777777" w:rsidR="00AD4FAC" w:rsidRPr="005B60C5" w:rsidRDefault="00AD4FAC" w:rsidP="008C15F8">
      <w:pPr>
        <w:spacing w:line="480" w:lineRule="auto"/>
        <w:jc w:val="both"/>
        <w:rPr>
          <w:rFonts w:ascii="Arial" w:hAnsi="Arial" w:cs="Arial"/>
          <w:b/>
          <w:lang w:val="en-US"/>
        </w:rPr>
      </w:pPr>
      <w:r w:rsidRPr="005B60C5">
        <w:rPr>
          <w:rFonts w:ascii="Arial" w:hAnsi="Arial" w:cs="Arial"/>
          <w:b/>
          <w:lang w:val="en-US"/>
        </w:rPr>
        <w:lastRenderedPageBreak/>
        <w:t>References</w:t>
      </w:r>
    </w:p>
    <w:p w14:paraId="67F4A85A" w14:textId="77777777" w:rsidR="00AD4FAC" w:rsidRPr="005B60C5" w:rsidRDefault="00AD4FAC" w:rsidP="008C15F8">
      <w:pPr>
        <w:widowControl w:val="0"/>
        <w:autoSpaceDE w:val="0"/>
        <w:autoSpaceDN w:val="0"/>
        <w:adjustRightInd w:val="0"/>
        <w:spacing w:line="480" w:lineRule="auto"/>
        <w:ind w:left="640" w:hanging="640"/>
        <w:jc w:val="both"/>
        <w:rPr>
          <w:rFonts w:ascii="Arial" w:hAnsi="Arial" w:cs="Arial"/>
          <w:noProof/>
          <w:lang w:val="en-US"/>
        </w:rPr>
      </w:pPr>
      <w:r w:rsidRPr="005B60C5">
        <w:rPr>
          <w:rFonts w:ascii="Arial" w:hAnsi="Arial" w:cs="Arial"/>
          <w:lang w:val="en-US"/>
        </w:rPr>
        <w:fldChar w:fldCharType="begin" w:fldLock="1"/>
      </w:r>
      <w:r w:rsidRPr="005B60C5">
        <w:rPr>
          <w:rFonts w:ascii="Arial" w:hAnsi="Arial" w:cs="Arial"/>
          <w:lang w:val="en-US"/>
        </w:rPr>
        <w:instrText xml:space="preserve">ADDIN Mendeley Bibliography CSL_BIBLIOGRAPHY </w:instrText>
      </w:r>
      <w:r w:rsidRPr="005B60C5">
        <w:rPr>
          <w:rFonts w:ascii="Arial" w:hAnsi="Arial" w:cs="Arial"/>
          <w:lang w:val="en-US"/>
        </w:rPr>
        <w:fldChar w:fldCharType="separate"/>
      </w:r>
      <w:r w:rsidRPr="005B60C5">
        <w:rPr>
          <w:rFonts w:ascii="Arial" w:hAnsi="Arial" w:cs="Arial"/>
          <w:noProof/>
          <w:lang w:val="en-US"/>
        </w:rPr>
        <w:t xml:space="preserve"> </w:t>
      </w:r>
    </w:p>
    <w:p w14:paraId="78F4BCFA" w14:textId="135EC01E" w:rsidR="00AD4FAC" w:rsidRPr="005B60C5" w:rsidRDefault="00AD4FAC" w:rsidP="008C15F8">
      <w:pPr>
        <w:widowControl w:val="0"/>
        <w:autoSpaceDE w:val="0"/>
        <w:autoSpaceDN w:val="0"/>
        <w:adjustRightInd w:val="0"/>
        <w:spacing w:line="480" w:lineRule="auto"/>
        <w:ind w:left="640" w:hanging="640"/>
        <w:jc w:val="both"/>
        <w:rPr>
          <w:rFonts w:ascii="Arial" w:hAnsi="Arial" w:cs="Arial"/>
          <w:b/>
          <w:lang w:val="en-US"/>
        </w:rPr>
      </w:pPr>
      <w:r w:rsidRPr="005B60C5">
        <w:rPr>
          <w:rFonts w:ascii="Arial" w:hAnsi="Arial" w:cs="Arial"/>
          <w:noProof/>
          <w:lang w:val="en-US"/>
        </w:rPr>
        <w:t>1.</w:t>
      </w:r>
      <w:r w:rsidRPr="005B60C5">
        <w:rPr>
          <w:rFonts w:ascii="Arial" w:hAnsi="Arial" w:cs="Arial"/>
          <w:noProof/>
          <w:lang w:val="en-US"/>
        </w:rPr>
        <w:tab/>
        <w:t xml:space="preserve">Lambert JR, Everington T, Linch DC, Gale RE. In essential thrombocythemia, multiple JAK2-V617F clones are present in most mutant-positive patients: a new disease paradigm. </w:t>
      </w:r>
      <w:r w:rsidRPr="005B60C5">
        <w:rPr>
          <w:rFonts w:ascii="Arial" w:hAnsi="Arial" w:cs="Arial"/>
          <w:i/>
          <w:iCs/>
          <w:noProof/>
          <w:lang w:val="en-US"/>
        </w:rPr>
        <w:t>Blood</w:t>
      </w:r>
      <w:r w:rsidRPr="005B60C5">
        <w:rPr>
          <w:rFonts w:ascii="Arial" w:hAnsi="Arial" w:cs="Arial"/>
          <w:noProof/>
          <w:lang w:val="en-US"/>
        </w:rPr>
        <w:t xml:space="preserve"> 2009</w:t>
      </w:r>
      <w:r w:rsidRPr="00E355B4">
        <w:rPr>
          <w:rFonts w:ascii="Arial" w:hAnsi="Arial" w:cs="Arial"/>
          <w:noProof/>
          <w:lang w:val="en-US"/>
        </w:rPr>
        <w:t>;114</w:t>
      </w:r>
      <w:r w:rsidR="00E355B4" w:rsidRPr="00E355B4">
        <w:rPr>
          <w:rFonts w:ascii="Arial" w:hAnsi="Arial" w:cs="Arial"/>
          <w:noProof/>
          <w:lang w:val="en-US"/>
        </w:rPr>
        <w:t>(14)</w:t>
      </w:r>
      <w:r w:rsidRPr="005B60C5">
        <w:rPr>
          <w:rFonts w:ascii="Arial" w:hAnsi="Arial" w:cs="Arial"/>
          <w:noProof/>
          <w:lang w:val="en-US"/>
        </w:rPr>
        <w:t xml:space="preserve">: 3018–3023. </w:t>
      </w:r>
      <w:r w:rsidRPr="005B60C5">
        <w:rPr>
          <w:rFonts w:ascii="Arial" w:hAnsi="Arial" w:cs="Arial"/>
          <w:lang w:val="en-US"/>
        </w:rPr>
        <w:fldChar w:fldCharType="end"/>
      </w:r>
      <w:r w:rsidRPr="005B60C5">
        <w:rPr>
          <w:rFonts w:ascii="Arial" w:hAnsi="Arial" w:cs="Arial"/>
          <w:b/>
          <w:lang w:val="en-US"/>
        </w:rPr>
        <w:br w:type="page"/>
      </w:r>
    </w:p>
    <w:p w14:paraId="28CD650F" w14:textId="7ACDB72F" w:rsidR="00C157F4" w:rsidRDefault="007C0B22" w:rsidP="008C15F8">
      <w:pPr>
        <w:spacing w:before="120" w:line="48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lastRenderedPageBreak/>
        <w:t>SDC, Figures</w:t>
      </w:r>
    </w:p>
    <w:p w14:paraId="0A9DD4B0" w14:textId="77777777" w:rsidR="007C0B22" w:rsidRPr="005B60C5" w:rsidRDefault="007C0B22" w:rsidP="008C15F8">
      <w:pPr>
        <w:spacing w:before="120" w:line="480" w:lineRule="auto"/>
        <w:jc w:val="both"/>
        <w:rPr>
          <w:rFonts w:ascii="Arial" w:hAnsi="Arial" w:cs="Arial"/>
          <w:b/>
          <w:lang w:val="en-US"/>
        </w:rPr>
      </w:pPr>
    </w:p>
    <w:p w14:paraId="517599F2" w14:textId="7E9EF43A" w:rsidR="00EA7C41" w:rsidRDefault="00EA7C41" w:rsidP="008C15F8">
      <w:pPr>
        <w:spacing w:before="120" w:after="0" w:line="48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drawing>
          <wp:inline distT="0" distB="0" distL="0" distR="0" wp14:anchorId="330C3E6C" wp14:editId="1B984F6D">
            <wp:extent cx="5720155" cy="41198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L-MF _Supp Figure 1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155" cy="411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9098" w14:textId="61FA5B5E" w:rsidR="007C0B22" w:rsidRDefault="00D04431" w:rsidP="007C0B22">
      <w:pPr>
        <w:spacing w:before="120" w:after="0" w:line="480" w:lineRule="auto"/>
        <w:jc w:val="both"/>
        <w:rPr>
          <w:rFonts w:ascii="Arial" w:hAnsi="Arial" w:cs="Arial"/>
          <w:b/>
          <w:lang w:val="en-US"/>
        </w:rPr>
      </w:pPr>
      <w:r w:rsidRPr="005B60C5">
        <w:rPr>
          <w:rFonts w:ascii="Arial" w:hAnsi="Arial" w:cs="Arial"/>
          <w:b/>
          <w:lang w:val="en-US"/>
        </w:rPr>
        <w:t>S</w:t>
      </w:r>
      <w:r w:rsidR="00EA7C41">
        <w:rPr>
          <w:rFonts w:ascii="Arial" w:hAnsi="Arial" w:cs="Arial"/>
          <w:b/>
          <w:lang w:val="en-US"/>
        </w:rPr>
        <w:t>DC,</w:t>
      </w:r>
      <w:r w:rsidRPr="005B60C5">
        <w:rPr>
          <w:rFonts w:ascii="Arial" w:hAnsi="Arial" w:cs="Arial"/>
          <w:b/>
          <w:lang w:val="en-US"/>
        </w:rPr>
        <w:t xml:space="preserve"> Figure 1</w:t>
      </w:r>
      <w:r w:rsidR="00C157F4" w:rsidRPr="005B60C5">
        <w:rPr>
          <w:rFonts w:ascii="Arial" w:hAnsi="Arial" w:cs="Arial"/>
          <w:b/>
          <w:lang w:val="en-US"/>
        </w:rPr>
        <w:t>. C</w:t>
      </w:r>
      <w:r w:rsidR="00A03299" w:rsidRPr="005B60C5">
        <w:rPr>
          <w:rFonts w:ascii="Arial" w:hAnsi="Arial" w:cs="Arial"/>
          <w:b/>
          <w:lang w:val="en-US"/>
        </w:rPr>
        <w:t>LL</w:t>
      </w:r>
      <w:r w:rsidR="00C157F4" w:rsidRPr="005B60C5">
        <w:rPr>
          <w:rFonts w:ascii="Arial" w:hAnsi="Arial" w:cs="Arial"/>
          <w:b/>
          <w:lang w:val="en-US"/>
        </w:rPr>
        <w:t xml:space="preserve"> immunophenotyping at diagnosis.</w:t>
      </w:r>
      <w:r w:rsidR="00920449">
        <w:rPr>
          <w:rFonts w:ascii="Arial" w:hAnsi="Arial" w:cs="Arial"/>
          <w:lang w:val="en-GB"/>
        </w:rPr>
        <w:t xml:space="preserve"> </w:t>
      </w:r>
      <w:r w:rsidR="00C157F4" w:rsidRPr="005B60C5">
        <w:rPr>
          <w:rFonts w:ascii="Arial" w:hAnsi="Arial" w:cs="Arial"/>
          <w:lang w:val="en-GB"/>
        </w:rPr>
        <w:t xml:space="preserve">Immunophenotyping at diagnosis of CLL showing a clonal B-cell population, positive for CD19, CD5, Lambda, CD23, CD20, CD200, weak </w:t>
      </w:r>
      <w:proofErr w:type="spellStart"/>
      <w:r w:rsidR="00C157F4" w:rsidRPr="005B60C5">
        <w:rPr>
          <w:rFonts w:ascii="Arial" w:hAnsi="Arial" w:cs="Arial"/>
          <w:lang w:val="en-GB"/>
        </w:rPr>
        <w:t>sIgM</w:t>
      </w:r>
      <w:proofErr w:type="spellEnd"/>
      <w:r w:rsidR="00C157F4" w:rsidRPr="005B60C5">
        <w:rPr>
          <w:rFonts w:ascii="Arial" w:hAnsi="Arial" w:cs="Arial"/>
          <w:lang w:val="en-GB"/>
        </w:rPr>
        <w:t xml:space="preserve">, negative for FMC7, CD79b, CD10, CD38, approximately 60% of lymphoid gated events. </w:t>
      </w:r>
      <w:r w:rsidR="007C0B22">
        <w:rPr>
          <w:rFonts w:ascii="Arial" w:hAnsi="Arial" w:cs="Arial"/>
          <w:b/>
          <w:lang w:val="en-US"/>
        </w:rPr>
        <w:br w:type="page"/>
      </w:r>
    </w:p>
    <w:p w14:paraId="270333D9" w14:textId="5C9E5026" w:rsidR="007C0B22" w:rsidRDefault="0069108A" w:rsidP="008C15F8">
      <w:pPr>
        <w:spacing w:before="120" w:after="0" w:line="480" w:lineRule="auto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val="en-US"/>
        </w:rPr>
        <w:lastRenderedPageBreak/>
        <w:drawing>
          <wp:inline distT="0" distB="0" distL="0" distR="0" wp14:anchorId="4075A828" wp14:editId="4B988C3D">
            <wp:extent cx="5725892" cy="386270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L-MF _Supp Figure 2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892" cy="386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815F" w14:textId="1022EDA3" w:rsidR="00C157F4" w:rsidRPr="008C15F8" w:rsidRDefault="00D04431" w:rsidP="008C15F8">
      <w:pPr>
        <w:spacing w:before="120" w:after="0" w:line="480" w:lineRule="auto"/>
        <w:jc w:val="both"/>
        <w:rPr>
          <w:rFonts w:ascii="Arial" w:hAnsi="Arial" w:cs="Arial"/>
          <w:lang w:val="en-US"/>
        </w:rPr>
      </w:pPr>
      <w:r w:rsidRPr="005B60C5">
        <w:rPr>
          <w:rFonts w:ascii="Arial" w:hAnsi="Arial" w:cs="Arial"/>
          <w:b/>
          <w:lang w:val="en-US"/>
        </w:rPr>
        <w:t>S</w:t>
      </w:r>
      <w:r w:rsidR="00EA7C41">
        <w:rPr>
          <w:rFonts w:ascii="Arial" w:hAnsi="Arial" w:cs="Arial"/>
          <w:b/>
          <w:lang w:val="en-US"/>
        </w:rPr>
        <w:t>DC,</w:t>
      </w:r>
      <w:r w:rsidRPr="005B60C5">
        <w:rPr>
          <w:rFonts w:ascii="Arial" w:hAnsi="Arial" w:cs="Arial"/>
          <w:b/>
          <w:lang w:val="en-US"/>
        </w:rPr>
        <w:t xml:space="preserve"> Figure 2</w:t>
      </w:r>
      <w:r w:rsidR="00C157F4" w:rsidRPr="005B60C5">
        <w:rPr>
          <w:rFonts w:ascii="Arial" w:hAnsi="Arial" w:cs="Arial"/>
          <w:b/>
          <w:lang w:val="en-US"/>
        </w:rPr>
        <w:t>. C</w:t>
      </w:r>
      <w:r w:rsidR="00A03299" w:rsidRPr="005B60C5">
        <w:rPr>
          <w:rFonts w:ascii="Arial" w:hAnsi="Arial" w:cs="Arial"/>
          <w:b/>
          <w:lang w:val="en-US"/>
        </w:rPr>
        <w:t>LL</w:t>
      </w:r>
      <w:r w:rsidR="00C157F4" w:rsidRPr="005B60C5">
        <w:rPr>
          <w:rFonts w:ascii="Arial" w:hAnsi="Arial" w:cs="Arial"/>
          <w:b/>
          <w:lang w:val="en-US"/>
        </w:rPr>
        <w:t xml:space="preserve"> pathology findings at diagnosis and pre-treatment initiation.</w:t>
      </w:r>
      <w:r w:rsidR="00920449">
        <w:rPr>
          <w:rFonts w:ascii="Arial" w:hAnsi="Arial" w:cs="Arial"/>
          <w:lang w:val="en-US"/>
        </w:rPr>
        <w:t xml:space="preserve"> </w:t>
      </w:r>
      <w:r w:rsidR="00C157F4" w:rsidRPr="005B60C5">
        <w:rPr>
          <w:rFonts w:ascii="Arial" w:hAnsi="Arial" w:cs="Arial"/>
          <w:lang w:val="en-GB"/>
        </w:rPr>
        <w:t>(A) Retrospective analysis of the pre-study bone marrow trephine revealed focal CLL aggregates (positive for CD20, CD79a, CD5, CD23, negative for CD3, CD10, cyclin D1), accounting for approximately 5% of total cellularity. (B) Bone marrow evaluation 42 months later, at CLL treatment initiation, showed approximately 95% CLL marrow infiltration</w:t>
      </w:r>
      <w:r w:rsidR="00CB7A8E" w:rsidRPr="005B60C5">
        <w:rPr>
          <w:rFonts w:ascii="Arial" w:hAnsi="Arial" w:cs="Arial"/>
          <w:lang w:val="en-GB"/>
        </w:rPr>
        <w:t>.</w:t>
      </w:r>
    </w:p>
    <w:sectPr w:rsidR="00C157F4" w:rsidRPr="008C15F8" w:rsidSect="004370D4">
      <w:footerReference w:type="even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F0936" w14:textId="77777777" w:rsidR="006B468F" w:rsidRDefault="006B468F">
      <w:pPr>
        <w:spacing w:after="0" w:line="240" w:lineRule="auto"/>
      </w:pPr>
      <w:r>
        <w:separator/>
      </w:r>
    </w:p>
  </w:endnote>
  <w:endnote w:type="continuationSeparator" w:id="0">
    <w:p w14:paraId="2DD98B51" w14:textId="77777777" w:rsidR="006B468F" w:rsidRDefault="006B4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912791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BA3CDB" w14:textId="77777777" w:rsidR="0000524E" w:rsidRDefault="00D415B8" w:rsidP="0000524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BD72D3" w14:textId="77777777" w:rsidR="0000524E" w:rsidRDefault="006B46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398471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C105EB5" w14:textId="77777777" w:rsidR="0000524E" w:rsidRDefault="00D415B8" w:rsidP="0000524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0B0E0419" w14:textId="77777777" w:rsidR="0000524E" w:rsidRDefault="006B468F">
    <w:pPr>
      <w:pStyle w:val="Footer"/>
      <w:jc w:val="center"/>
    </w:pPr>
  </w:p>
  <w:p w14:paraId="33BFEB5B" w14:textId="77777777" w:rsidR="0000524E" w:rsidRDefault="006B4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955FB" w14:textId="77777777" w:rsidR="006B468F" w:rsidRDefault="006B468F">
      <w:pPr>
        <w:spacing w:after="0" w:line="240" w:lineRule="auto"/>
      </w:pPr>
      <w:r>
        <w:separator/>
      </w:r>
    </w:p>
  </w:footnote>
  <w:footnote w:type="continuationSeparator" w:id="0">
    <w:p w14:paraId="6648EAE1" w14:textId="77777777" w:rsidR="006B468F" w:rsidRDefault="006B46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7F4"/>
    <w:rsid w:val="000143B6"/>
    <w:rsid w:val="00037769"/>
    <w:rsid w:val="00040D4D"/>
    <w:rsid w:val="000449DB"/>
    <w:rsid w:val="00056A56"/>
    <w:rsid w:val="00061A50"/>
    <w:rsid w:val="0006336C"/>
    <w:rsid w:val="00095660"/>
    <w:rsid w:val="00097175"/>
    <w:rsid w:val="000A30A4"/>
    <w:rsid w:val="000B1041"/>
    <w:rsid w:val="000B6CFF"/>
    <w:rsid w:val="000C41C3"/>
    <w:rsid w:val="000F11DA"/>
    <w:rsid w:val="0010041C"/>
    <w:rsid w:val="00105D74"/>
    <w:rsid w:val="00132D52"/>
    <w:rsid w:val="00141959"/>
    <w:rsid w:val="00143C90"/>
    <w:rsid w:val="00154E62"/>
    <w:rsid w:val="001571DB"/>
    <w:rsid w:val="00161D8E"/>
    <w:rsid w:val="001669B8"/>
    <w:rsid w:val="00170BE6"/>
    <w:rsid w:val="00197FF6"/>
    <w:rsid w:val="001A0244"/>
    <w:rsid w:val="001A1EC6"/>
    <w:rsid w:val="001B1516"/>
    <w:rsid w:val="001C01C4"/>
    <w:rsid w:val="001E7E20"/>
    <w:rsid w:val="001F653F"/>
    <w:rsid w:val="001F7EF0"/>
    <w:rsid w:val="00201FBC"/>
    <w:rsid w:val="00204005"/>
    <w:rsid w:val="00233068"/>
    <w:rsid w:val="00242BD4"/>
    <w:rsid w:val="00243846"/>
    <w:rsid w:val="00290958"/>
    <w:rsid w:val="00293851"/>
    <w:rsid w:val="002C5D89"/>
    <w:rsid w:val="002D3350"/>
    <w:rsid w:val="002E0F0D"/>
    <w:rsid w:val="002F1CDF"/>
    <w:rsid w:val="00302167"/>
    <w:rsid w:val="00304011"/>
    <w:rsid w:val="00316D4D"/>
    <w:rsid w:val="00360ACB"/>
    <w:rsid w:val="0037405D"/>
    <w:rsid w:val="003928D3"/>
    <w:rsid w:val="0039623B"/>
    <w:rsid w:val="003A6191"/>
    <w:rsid w:val="003D1441"/>
    <w:rsid w:val="003D165D"/>
    <w:rsid w:val="003E181B"/>
    <w:rsid w:val="003F33BA"/>
    <w:rsid w:val="00400DAD"/>
    <w:rsid w:val="00401761"/>
    <w:rsid w:val="00407C03"/>
    <w:rsid w:val="00420240"/>
    <w:rsid w:val="00426702"/>
    <w:rsid w:val="004370D4"/>
    <w:rsid w:val="0044498E"/>
    <w:rsid w:val="00453677"/>
    <w:rsid w:val="0045617D"/>
    <w:rsid w:val="00465096"/>
    <w:rsid w:val="004700C4"/>
    <w:rsid w:val="004807B0"/>
    <w:rsid w:val="004823F9"/>
    <w:rsid w:val="004854E5"/>
    <w:rsid w:val="00493B2E"/>
    <w:rsid w:val="004C3422"/>
    <w:rsid w:val="004C3D05"/>
    <w:rsid w:val="004E5195"/>
    <w:rsid w:val="004F0932"/>
    <w:rsid w:val="005057B4"/>
    <w:rsid w:val="00507350"/>
    <w:rsid w:val="0053595A"/>
    <w:rsid w:val="00541700"/>
    <w:rsid w:val="0055680F"/>
    <w:rsid w:val="00567394"/>
    <w:rsid w:val="00574252"/>
    <w:rsid w:val="00582BF3"/>
    <w:rsid w:val="005A3956"/>
    <w:rsid w:val="005B60C5"/>
    <w:rsid w:val="005D1AED"/>
    <w:rsid w:val="00610646"/>
    <w:rsid w:val="006124ED"/>
    <w:rsid w:val="00614424"/>
    <w:rsid w:val="00626E92"/>
    <w:rsid w:val="0063281C"/>
    <w:rsid w:val="00632ABB"/>
    <w:rsid w:val="00632DD2"/>
    <w:rsid w:val="006338D3"/>
    <w:rsid w:val="00644D84"/>
    <w:rsid w:val="00684ADE"/>
    <w:rsid w:val="0069108A"/>
    <w:rsid w:val="0069702B"/>
    <w:rsid w:val="006A2E2E"/>
    <w:rsid w:val="006B468F"/>
    <w:rsid w:val="006E46D3"/>
    <w:rsid w:val="006F54ED"/>
    <w:rsid w:val="00702BC9"/>
    <w:rsid w:val="00715A77"/>
    <w:rsid w:val="00721943"/>
    <w:rsid w:val="007228E7"/>
    <w:rsid w:val="00732511"/>
    <w:rsid w:val="00732B8D"/>
    <w:rsid w:val="0074556A"/>
    <w:rsid w:val="007869A3"/>
    <w:rsid w:val="00790403"/>
    <w:rsid w:val="00792F52"/>
    <w:rsid w:val="007B78A6"/>
    <w:rsid w:val="007C0B22"/>
    <w:rsid w:val="007D1C3D"/>
    <w:rsid w:val="007F326B"/>
    <w:rsid w:val="00811158"/>
    <w:rsid w:val="00852160"/>
    <w:rsid w:val="00886324"/>
    <w:rsid w:val="00895A64"/>
    <w:rsid w:val="008C0FF9"/>
    <w:rsid w:val="008C15F8"/>
    <w:rsid w:val="008C305C"/>
    <w:rsid w:val="008E5ACE"/>
    <w:rsid w:val="008F2232"/>
    <w:rsid w:val="008F332B"/>
    <w:rsid w:val="008F6C12"/>
    <w:rsid w:val="0090351B"/>
    <w:rsid w:val="00903520"/>
    <w:rsid w:val="00920449"/>
    <w:rsid w:val="00930E90"/>
    <w:rsid w:val="00943E07"/>
    <w:rsid w:val="00950130"/>
    <w:rsid w:val="00960E51"/>
    <w:rsid w:val="00964C8F"/>
    <w:rsid w:val="00970016"/>
    <w:rsid w:val="009768C2"/>
    <w:rsid w:val="009A4DF6"/>
    <w:rsid w:val="009A7030"/>
    <w:rsid w:val="009B432D"/>
    <w:rsid w:val="009D4676"/>
    <w:rsid w:val="00A03299"/>
    <w:rsid w:val="00A15163"/>
    <w:rsid w:val="00A23AC2"/>
    <w:rsid w:val="00A3620B"/>
    <w:rsid w:val="00A45C0E"/>
    <w:rsid w:val="00A520EC"/>
    <w:rsid w:val="00A720E4"/>
    <w:rsid w:val="00A90C9F"/>
    <w:rsid w:val="00A95F68"/>
    <w:rsid w:val="00AA0B45"/>
    <w:rsid w:val="00AC15E7"/>
    <w:rsid w:val="00AD4FAC"/>
    <w:rsid w:val="00AD6C4F"/>
    <w:rsid w:val="00AF195A"/>
    <w:rsid w:val="00B10274"/>
    <w:rsid w:val="00B16F66"/>
    <w:rsid w:val="00B36CB8"/>
    <w:rsid w:val="00B44931"/>
    <w:rsid w:val="00B450E5"/>
    <w:rsid w:val="00B45A9E"/>
    <w:rsid w:val="00B51F49"/>
    <w:rsid w:val="00B830FE"/>
    <w:rsid w:val="00B87EB2"/>
    <w:rsid w:val="00BB1528"/>
    <w:rsid w:val="00BC0CC9"/>
    <w:rsid w:val="00BC3C49"/>
    <w:rsid w:val="00BC6854"/>
    <w:rsid w:val="00BD3614"/>
    <w:rsid w:val="00BE7F9A"/>
    <w:rsid w:val="00BF712E"/>
    <w:rsid w:val="00C002C6"/>
    <w:rsid w:val="00C052DC"/>
    <w:rsid w:val="00C10713"/>
    <w:rsid w:val="00C157F4"/>
    <w:rsid w:val="00C30487"/>
    <w:rsid w:val="00C30AD2"/>
    <w:rsid w:val="00C363DD"/>
    <w:rsid w:val="00C65B89"/>
    <w:rsid w:val="00C70BA9"/>
    <w:rsid w:val="00C875D7"/>
    <w:rsid w:val="00CA2366"/>
    <w:rsid w:val="00CB2B9A"/>
    <w:rsid w:val="00CB7A8E"/>
    <w:rsid w:val="00CC0BD5"/>
    <w:rsid w:val="00CC2162"/>
    <w:rsid w:val="00CC5D9A"/>
    <w:rsid w:val="00CD2959"/>
    <w:rsid w:val="00D04431"/>
    <w:rsid w:val="00D31333"/>
    <w:rsid w:val="00D415B8"/>
    <w:rsid w:val="00D53DF0"/>
    <w:rsid w:val="00D717AF"/>
    <w:rsid w:val="00D73872"/>
    <w:rsid w:val="00D8678B"/>
    <w:rsid w:val="00DA17C3"/>
    <w:rsid w:val="00DA1DFB"/>
    <w:rsid w:val="00DB45A2"/>
    <w:rsid w:val="00DC35D2"/>
    <w:rsid w:val="00DE70AA"/>
    <w:rsid w:val="00E200DD"/>
    <w:rsid w:val="00E20C1D"/>
    <w:rsid w:val="00E33D0B"/>
    <w:rsid w:val="00E355B4"/>
    <w:rsid w:val="00E4358F"/>
    <w:rsid w:val="00E7173E"/>
    <w:rsid w:val="00E723D5"/>
    <w:rsid w:val="00E732BE"/>
    <w:rsid w:val="00E97056"/>
    <w:rsid w:val="00EA7C41"/>
    <w:rsid w:val="00ED18F7"/>
    <w:rsid w:val="00EF7DFE"/>
    <w:rsid w:val="00F1454A"/>
    <w:rsid w:val="00F3325C"/>
    <w:rsid w:val="00F709FA"/>
    <w:rsid w:val="00F76DA6"/>
    <w:rsid w:val="00F9026B"/>
    <w:rsid w:val="00F939E4"/>
    <w:rsid w:val="00F971EB"/>
    <w:rsid w:val="00FB4D7E"/>
    <w:rsid w:val="00FB7929"/>
    <w:rsid w:val="00FD489A"/>
    <w:rsid w:val="00FF5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D0BD15"/>
  <w14:defaultImageDpi w14:val="32767"/>
  <w15:chartTrackingRefBased/>
  <w15:docId w15:val="{CA11CEC4-85A1-6644-BE41-BCCEFE068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157F4"/>
    <w:pPr>
      <w:spacing w:after="160" w:line="259" w:lineRule="auto"/>
    </w:pPr>
    <w:rPr>
      <w:sz w:val="22"/>
      <w:szCs w:val="22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157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7F4"/>
    <w:rPr>
      <w:sz w:val="22"/>
      <w:szCs w:val="22"/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157F4"/>
  </w:style>
  <w:style w:type="paragraph" w:styleId="ListParagraph">
    <w:name w:val="List Paragraph"/>
    <w:basedOn w:val="Normal"/>
    <w:uiPriority w:val="34"/>
    <w:qFormat/>
    <w:rsid w:val="00CB7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FA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FAC"/>
    <w:rPr>
      <w:rFonts w:ascii="Times New Roman" w:hAnsi="Times New Roman" w:cs="Times New Roman"/>
      <w:sz w:val="18"/>
      <w:szCs w:val="18"/>
      <w:lang w:val="el-GR"/>
    </w:rPr>
  </w:style>
  <w:style w:type="character" w:styleId="LineNumber">
    <w:name w:val="line number"/>
    <w:basedOn w:val="DefaultParagraphFont"/>
    <w:uiPriority w:val="99"/>
    <w:semiHidden/>
    <w:unhideWhenUsed/>
    <w:rsid w:val="005B60C5"/>
  </w:style>
  <w:style w:type="paragraph" w:styleId="Revision">
    <w:name w:val="Revision"/>
    <w:hidden/>
    <w:uiPriority w:val="99"/>
    <w:semiHidden/>
    <w:rsid w:val="00C70BA9"/>
    <w:rPr>
      <w:sz w:val="22"/>
      <w:szCs w:val="22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C107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713"/>
    <w:rPr>
      <w:sz w:val="22"/>
      <w:szCs w:val="22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8C749E-DE48-D141-826A-5AAC909E3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Nikolaos Sousos</dc:creator>
  <cp:keywords/>
  <dc:description/>
  <cp:lastModifiedBy>Adam Mead</cp:lastModifiedBy>
  <cp:revision>2</cp:revision>
  <dcterms:created xsi:type="dcterms:W3CDTF">2020-02-09T11:31:00Z</dcterms:created>
  <dcterms:modified xsi:type="dcterms:W3CDTF">2020-02-09T11:31:00Z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6f14f55e-2da8-3314-8bef-3ed4670e92e5</vt:lpwstr>
  </property>
  <property fmtid="{D5CDD505-2E9C-101B-9397-08002B2CF9AE}" pid="4" name="Mendeley Citation Style_1">
    <vt:lpwstr>http://www.zotero.org/styles/blood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http://www.zotero.org/styles/blood</vt:lpwstr>
  </property>
  <property fmtid="{D5CDD505-2E9C-101B-9397-08002B2CF9AE}" pid="14" name="Mendeley Recent Style Name 4_1">
    <vt:lpwstr>Blood</vt:lpwstr>
  </property>
  <property fmtid="{D5CDD505-2E9C-101B-9397-08002B2CF9AE}" pid="15" name="Mendeley Recent Style Id 5_1">
    <vt:lpwstr>http://www.zotero.org/styles/blood-reviews</vt:lpwstr>
  </property>
  <property fmtid="{D5CDD505-2E9C-101B-9397-08002B2CF9AE}" pid="16" name="Mendeley Recent Style Name 5_1">
    <vt:lpwstr>Blood Reviews</vt:lpwstr>
  </property>
  <property fmtid="{D5CDD505-2E9C-101B-9397-08002B2CF9AE}" pid="17" name="Mendeley Recent Style Id 6_1">
    <vt:lpwstr>http://www.zotero.org/styles/haematologica</vt:lpwstr>
  </property>
  <property fmtid="{D5CDD505-2E9C-101B-9397-08002B2CF9AE}" pid="18" name="Mendeley Recent Style Name 6_1">
    <vt:lpwstr>Haematologica</vt:lpwstr>
  </property>
  <property fmtid="{D5CDD505-2E9C-101B-9397-08002B2CF9AE}" pid="19" name="Mendeley Recent Style Id 7_1">
    <vt:lpwstr>http://www.zotero.org/styles/journal-of-thrombosis-and-haemostasis</vt:lpwstr>
  </property>
  <property fmtid="{D5CDD505-2E9C-101B-9397-08002B2CF9AE}" pid="20" name="Mendeley Recent Style Name 7_1">
    <vt:lpwstr>Journal of Thrombosis and Haemostasis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http://www.zotero.org/styles/nature-publishing-group-vancouver</vt:lpwstr>
  </property>
  <property fmtid="{D5CDD505-2E9C-101B-9397-08002B2CF9AE}" pid="24" name="Mendeley Recent Style Name 9_1">
    <vt:lpwstr>Nature Publishing Group - Vancouver</vt:lpwstr>
  </property>
</Properties>
</file>