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21496" w14:textId="77777777" w:rsidR="00A87E90" w:rsidRPr="00F659F2" w:rsidRDefault="00A87E90" w:rsidP="00A87E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 w:rsidRPr="00F659F2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Supplementary material</w:t>
      </w:r>
    </w:p>
    <w:p w14:paraId="46DC7018" w14:textId="77777777" w:rsidR="00A87E90" w:rsidRPr="00F659F2" w:rsidRDefault="00C83F48" w:rsidP="00A87E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 Study of Safety and Efficacy of Nivolumab and Bendamustine (NB) in Patients </w:t>
      </w:r>
      <w:proofErr w:type="gramStart"/>
      <w:r w:rsidRP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With</w:t>
      </w:r>
      <w:proofErr w:type="gramEnd"/>
      <w:r w:rsidRP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Relapsed/Refractory Hodgkin Lymphoma After Failure Of Nivolumab Monotherapy</w:t>
      </w:r>
      <w:r w:rsidR="00A87E90" w:rsidRP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</w:p>
    <w:p w14:paraId="11C52C00" w14:textId="77777777" w:rsidR="00C83F48" w:rsidRPr="00F659F2" w:rsidRDefault="00C83F48" w:rsidP="00A87E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435C953" w14:textId="5E0C3EEA" w:rsidR="00A87E90" w:rsidRPr="00F659F2" w:rsidRDefault="004F26F0" w:rsidP="00A87E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Kirill V. Lepik, Natalia B.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Mikhailova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Elena V.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Kondakova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Yuri R.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Zalyalov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Liudmila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Fedorova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Luibov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Tsvetkova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Polina V.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Kotselyabina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Evgeniya S.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Borzenkova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Elena V.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Babenko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Marina O. Popova, Elena I.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Darskaya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Vadim V.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Baykov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Ivan S.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Moiseev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Boris V. </w:t>
      </w:r>
      <w:proofErr w:type="spellStart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Afanasyev</w:t>
      </w:r>
      <w:proofErr w:type="spellEnd"/>
      <w:r w:rsidRPr="004F26F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3E07EBF" w14:textId="466B26CD" w:rsidR="008E1328" w:rsidRPr="00F659F2" w:rsidRDefault="008E1328" w:rsidP="00A87E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</w:p>
    <w:p w14:paraId="17BC4FE8" w14:textId="24D8F328" w:rsidR="008E1328" w:rsidRPr="00F659F2" w:rsidRDefault="002C4925" w:rsidP="008E132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en-US"/>
        </w:rPr>
        <w:drawing>
          <wp:inline distT="0" distB="0" distL="0" distR="0" wp14:anchorId="79F7E44C" wp14:editId="3E823931">
            <wp:extent cx="4495800" cy="4857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AA5A2" w14:textId="6A388FED" w:rsidR="008E1328" w:rsidRPr="00F659F2" w:rsidRDefault="008E1328" w:rsidP="00A87E9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/>
        </w:rPr>
      </w:pPr>
      <w:r w:rsidRPr="00F659F2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/>
        </w:rPr>
        <w:t>Figure 1S</w:t>
      </w:r>
      <w:r w:rsidR="00F659F2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/>
        </w:rPr>
        <w:t>.</w:t>
      </w:r>
      <w:r w:rsidRPr="00F659F2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 Best overall response during nivolumab bendamustine combined therapy</w:t>
      </w:r>
    </w:p>
    <w:p w14:paraId="2E796060" w14:textId="77777777" w:rsidR="00A87E90" w:rsidRPr="00F659F2" w:rsidRDefault="00A87E90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017319F2" w14:textId="77777777" w:rsidR="00A87E90" w:rsidRPr="00F659F2" w:rsidRDefault="00A87E90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F659F2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</w:rPr>
        <w:lastRenderedPageBreak/>
        <w:drawing>
          <wp:inline distT="114300" distB="114300" distL="114300" distR="114300" wp14:anchorId="6DB6A402" wp14:editId="12BEC25C">
            <wp:extent cx="5734050" cy="42418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4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B70EF0" w14:textId="184A01ED" w:rsidR="00A87E90" w:rsidRPr="00F659F2" w:rsidRDefault="00A87E90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  <w:r w:rsidRPr="00F659F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 xml:space="preserve">Figure </w:t>
      </w:r>
      <w:r w:rsidR="008E1328" w:rsidRPr="00F659F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>2</w:t>
      </w:r>
      <w:r w:rsidRPr="00F659F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>S</w:t>
      </w:r>
      <w:r w:rsidR="00F659F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>.</w:t>
      </w:r>
      <w:r w:rsidRPr="00F659F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 xml:space="preserve"> Event-free survival after nivolumab-bendamustine combination according.</w:t>
      </w:r>
    </w:p>
    <w:p w14:paraId="04C4E59C" w14:textId="77777777" w:rsidR="00A87E90" w:rsidRPr="00F659F2" w:rsidRDefault="00A87E90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10A93724" w14:textId="7BD93BD8" w:rsidR="00A87E90" w:rsidRPr="00F659F2" w:rsidRDefault="00A87E90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57D9DA2F" w14:textId="5B941BB5" w:rsidR="00F659F2" w:rsidRPr="00F659F2" w:rsidRDefault="00F659F2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5BF7D867" w14:textId="4E35C59A" w:rsidR="00F659F2" w:rsidRPr="00F659F2" w:rsidRDefault="00F659F2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7FEA8B25" w14:textId="63E9015A" w:rsidR="00F659F2" w:rsidRPr="00F659F2" w:rsidRDefault="00F659F2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7CE5BDB9" w14:textId="14AC4EDB" w:rsidR="00F659F2" w:rsidRPr="00F659F2" w:rsidRDefault="00F659F2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3159E9B9" w14:textId="61682097" w:rsidR="00F659F2" w:rsidRPr="00F659F2" w:rsidRDefault="00F659F2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72B73E82" w14:textId="7AE5F284" w:rsidR="00F659F2" w:rsidRPr="00F659F2" w:rsidRDefault="00F659F2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6295A45E" w14:textId="21CF9213" w:rsidR="00F659F2" w:rsidRPr="00F659F2" w:rsidRDefault="00F659F2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3323BA45" w14:textId="7CADBAF6" w:rsidR="00F659F2" w:rsidRPr="00F659F2" w:rsidRDefault="00F659F2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2FEA5DAA" w14:textId="77777777" w:rsidR="00F659F2" w:rsidRPr="00F659F2" w:rsidRDefault="00F659F2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46B50CA9" w14:textId="77777777" w:rsidR="00A87E90" w:rsidRPr="00F659F2" w:rsidRDefault="00A87E90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2AB38C28" w14:textId="3AD92897" w:rsidR="00A87E90" w:rsidRPr="00F659F2" w:rsidRDefault="00A87E90" w:rsidP="00A87E90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white"/>
          <w:lang w:val="en-US"/>
        </w:rPr>
      </w:pPr>
      <w:r w:rsidRPr="00F659F2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val="en-US"/>
        </w:rPr>
        <w:lastRenderedPageBreak/>
        <w:t>Table 1S</w:t>
      </w:r>
      <w:r w:rsidR="00F659F2" w:rsidRPr="00F659F2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val="en-US"/>
        </w:rPr>
        <w:t>.</w:t>
      </w:r>
      <w:r w:rsidR="00F659F2" w:rsidRPr="00F659F2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white"/>
          <w:lang w:val="en-US"/>
        </w:rPr>
        <w:t xml:space="preserve"> </w:t>
      </w:r>
      <w:r w:rsidR="00F659F2" w:rsidRPr="00F659F2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/>
        </w:rPr>
        <w:t>The influence of clinical factors on PFS after nivolumab-bendamustine treatment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2"/>
        <w:gridCol w:w="4566"/>
        <w:gridCol w:w="1701"/>
      </w:tblGrid>
      <w:tr w:rsidR="002C4925" w:rsidRPr="009960D4" w14:paraId="211F4C13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AF6D" w14:textId="77777777" w:rsidR="002C4925" w:rsidRPr="00D63E34" w:rsidRDefault="002C4925" w:rsidP="009B5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Grouping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  <w:proofErr w:type="spellEnd"/>
          </w:p>
        </w:tc>
        <w:tc>
          <w:tcPr>
            <w:tcW w:w="4566" w:type="dxa"/>
          </w:tcPr>
          <w:p w14:paraId="087AAC6A" w14:textId="77777777" w:rsidR="00F832C9" w:rsidRPr="00D63E34" w:rsidRDefault="002C4925" w:rsidP="009B5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Median PFS in strata </w:t>
            </w:r>
          </w:p>
          <w:p w14:paraId="0780BE5E" w14:textId="72A6EA62" w:rsidR="002C4925" w:rsidRPr="00D63E34" w:rsidRDefault="002C4925" w:rsidP="009B5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(HR</w:t>
            </w:r>
            <w:r w:rsidR="00F832C9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Cox regression</w:t>
            </w: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01AE" w14:textId="5AD68486" w:rsidR="00F832C9" w:rsidRPr="00D63E34" w:rsidRDefault="00F832C9" w:rsidP="00F832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Significance level*</w:t>
            </w:r>
          </w:p>
        </w:tc>
      </w:tr>
      <w:tr w:rsidR="002C4925" w:rsidRPr="00F659F2" w14:paraId="6B674B54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42E7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4566" w:type="dxa"/>
          </w:tcPr>
          <w:p w14:paraId="1DE637C2" w14:textId="25DEC55E" w:rsidR="002C4925" w:rsidRPr="00D63E34" w:rsidRDefault="00BD31AC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1.022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7522" w14:textId="13C099E0" w:rsidR="002C4925" w:rsidRPr="00D63E34" w:rsidRDefault="00BD31AC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0.3477</w:t>
            </w:r>
          </w:p>
        </w:tc>
      </w:tr>
      <w:tr w:rsidR="002C4925" w:rsidRPr="00F659F2" w14:paraId="2402D781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B545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4566" w:type="dxa"/>
          </w:tcPr>
          <w:p w14:paraId="2A1FB277" w14:textId="51FE3CF9" w:rsidR="002C4925" w:rsidRPr="00D63E34" w:rsidRDefault="00BD31AC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1.949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1DAA" w14:textId="5EDBD50E" w:rsidR="002C4925" w:rsidRPr="00D63E34" w:rsidRDefault="00BD31AC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0.5509</w:t>
            </w:r>
          </w:p>
        </w:tc>
      </w:tr>
      <w:tr w:rsidR="002C4925" w:rsidRPr="00F659F2" w14:paraId="2252C185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340D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Best response to nivolumab bendamustine combination </w:t>
            </w:r>
          </w:p>
          <w:p w14:paraId="01639571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across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6" w:type="dxa"/>
          </w:tcPr>
          <w:p w14:paraId="62DBFD26" w14:textId="50E776CD" w:rsidR="002C4925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10.6 </w:t>
            </w:r>
            <w:proofErr w:type="spellStart"/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(95% CI,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6.1-17.5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3645188" w14:textId="06CF471F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9.3 </w:t>
            </w:r>
            <w:proofErr w:type="spellStart"/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5.5-12.0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9F9FCD0" w14:textId="54F6FBC8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Not reached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NR-NR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10DEE86" w14:textId="759F53C2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2.1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NR-NR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6208B64" w14:textId="7C11D509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Not reached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NR-NR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C4CC" w14:textId="1D0E3C00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63E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0.0001</w:t>
            </w:r>
          </w:p>
        </w:tc>
      </w:tr>
      <w:tr w:rsidR="002C4925" w:rsidRPr="00F659F2" w14:paraId="75AAD774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D079" w14:textId="77777777" w:rsidR="002C4925" w:rsidRPr="00D63E34" w:rsidRDefault="002C4925" w:rsidP="009B5CD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Best response to Nivolumab monotherapy</w:t>
            </w:r>
          </w:p>
        </w:tc>
        <w:tc>
          <w:tcPr>
            <w:tcW w:w="4566" w:type="dxa"/>
          </w:tcPr>
          <w:p w14:paraId="76A308D7" w14:textId="5B6BE700" w:rsidR="002C4925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CR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14.2 </w:t>
            </w:r>
            <w:proofErr w:type="spellStart"/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9.8-NR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D11B01E" w14:textId="0D2E04F4" w:rsidR="00F832C9" w:rsidRPr="00D63E34" w:rsidRDefault="00F832C9" w:rsidP="003A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PR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/SD/IR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13.0 </w:t>
            </w:r>
            <w:proofErr w:type="spellStart"/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8.2-NR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F377A47" w14:textId="6176E749" w:rsidR="00F832C9" w:rsidRPr="00D63E34" w:rsidRDefault="00F832C9" w:rsidP="003A1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PD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5.9 </w:t>
            </w:r>
            <w:proofErr w:type="spellStart"/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2.1-9.3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A4E5" w14:textId="6990486D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63E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0.0230</w:t>
            </w:r>
          </w:p>
        </w:tc>
      </w:tr>
      <w:tr w:rsidR="002C4925" w:rsidRPr="00F659F2" w14:paraId="0E8758DD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7D6B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B-symptoms at study start</w:t>
            </w:r>
          </w:p>
        </w:tc>
        <w:tc>
          <w:tcPr>
            <w:tcW w:w="4566" w:type="dxa"/>
          </w:tcPr>
          <w:p w14:paraId="1E285825" w14:textId="489B48E3" w:rsidR="009367DC" w:rsidRPr="00D63E34" w:rsidRDefault="00D63E34" w:rsidP="00D6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Yes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Not reached (95% CI, </w:t>
            </w:r>
            <w:r w:rsidR="009367DC" w:rsidRPr="00D63E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  <w:r w:rsidR="009367DC" w:rsidRPr="00D63E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E4C3AF9" w14:textId="0CCA3A98" w:rsidR="00F832C9" w:rsidRPr="00D63E34" w:rsidRDefault="009367DC" w:rsidP="00936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No</w:t>
            </w: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10.2 (95% CI, 7.6-13.2)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4A82" w14:textId="6E5AD938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0.4739</w:t>
            </w:r>
          </w:p>
        </w:tc>
      </w:tr>
      <w:tr w:rsidR="002C4925" w:rsidRPr="00F659F2" w14:paraId="404AE261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33BF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Consolidation of response achieved with combination, other than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alloHSCT</w:t>
            </w:r>
            <w:proofErr w:type="spellEnd"/>
          </w:p>
          <w:p w14:paraId="7968BE85" w14:textId="310859BC" w:rsidR="004F26F0" w:rsidRPr="00D63E34" w:rsidRDefault="004F26F0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(no landmark)</w:t>
            </w:r>
          </w:p>
        </w:tc>
        <w:tc>
          <w:tcPr>
            <w:tcW w:w="4566" w:type="dxa"/>
          </w:tcPr>
          <w:p w14:paraId="42984B17" w14:textId="799AB8EE" w:rsidR="002C4925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Yes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6F0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9.8 </w:t>
            </w:r>
            <w:proofErr w:type="spellStart"/>
            <w:r w:rsidR="004F26F0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4F26F0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(95% CI, 5.0-14.2)</w:t>
            </w:r>
          </w:p>
          <w:p w14:paraId="50DDB375" w14:textId="3E66676E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No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6F0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10.6 </w:t>
            </w:r>
            <w:proofErr w:type="spellStart"/>
            <w:r w:rsidR="004F26F0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4F26F0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(95% CI, 7.6-17.5)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E2E9" w14:textId="32895A25" w:rsidR="002C4925" w:rsidRPr="00D63E34" w:rsidRDefault="004F26F0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0.3716</w:t>
            </w:r>
          </w:p>
        </w:tc>
      </w:tr>
      <w:tr w:rsidR="002C4925" w:rsidRPr="00F659F2" w14:paraId="7128BE90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85FF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4566" w:type="dxa"/>
          </w:tcPr>
          <w:p w14:paraId="7B47EA9A" w14:textId="4B8505B1" w:rsidR="002C4925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Male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9.8 </w:t>
            </w:r>
            <w:proofErr w:type="spellStart"/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6.1-14.2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3BF3A6A" w14:textId="2C7BA84D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Female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10.6 </w:t>
            </w:r>
            <w:proofErr w:type="spellStart"/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4A8C" w14:textId="643A82F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0.6479</w:t>
            </w:r>
          </w:p>
        </w:tc>
      </w:tr>
      <w:tr w:rsidR="002C4925" w:rsidRPr="00F659F2" w14:paraId="2E8D6A42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951F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Histological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variant</w:t>
            </w:r>
            <w:proofErr w:type="spellEnd"/>
          </w:p>
        </w:tc>
        <w:tc>
          <w:tcPr>
            <w:tcW w:w="4566" w:type="dxa"/>
          </w:tcPr>
          <w:p w14:paraId="3CA01D42" w14:textId="696608C3" w:rsidR="002C4925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NS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11.2 </w:t>
            </w:r>
            <w:proofErr w:type="spellStart"/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50A3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6.8-14.9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B07B822" w14:textId="76741E96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MC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7.1 </w:t>
            </w:r>
            <w:proofErr w:type="spellStart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4.6-17.5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9346851" w14:textId="741E456C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LD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8.4 </w:t>
            </w:r>
            <w:proofErr w:type="spellStart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7.6-9.3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9192FAA" w14:textId="16EAEBBF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LR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14.2-NR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9503" w14:textId="4A30B193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0.2580</w:t>
            </w:r>
          </w:p>
        </w:tc>
      </w:tr>
      <w:tr w:rsidR="002C4925" w:rsidRPr="00F659F2" w14:paraId="5E60F750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F877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Nivolumab bendamustine as bridge to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alloHSCT</w:t>
            </w:r>
            <w:proofErr w:type="spellEnd"/>
          </w:p>
          <w:p w14:paraId="02323B79" w14:textId="5620649E" w:rsidR="00BD31AC" w:rsidRPr="00D63E34" w:rsidRDefault="00BD31AC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(no landmark)</w:t>
            </w:r>
          </w:p>
        </w:tc>
        <w:tc>
          <w:tcPr>
            <w:tcW w:w="4566" w:type="dxa"/>
          </w:tcPr>
          <w:p w14:paraId="32FAE1A7" w14:textId="01A03859" w:rsidR="002C4925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>Yes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: Not reached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(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95%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CI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)</w:t>
            </w:r>
          </w:p>
          <w:p w14:paraId="37397D7A" w14:textId="1DB47E18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No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(95% CI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7.6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4E19" w14:textId="66466FBC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  <w:r w:rsidRPr="00D63E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0.0189</w:t>
            </w:r>
          </w:p>
        </w:tc>
      </w:tr>
      <w:tr w:rsidR="002C4925" w:rsidRPr="00F659F2" w14:paraId="1512595B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ADED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 of prior therapy lines</w:t>
            </w:r>
          </w:p>
        </w:tc>
        <w:tc>
          <w:tcPr>
            <w:tcW w:w="4566" w:type="dxa"/>
          </w:tcPr>
          <w:p w14:paraId="242DFD54" w14:textId="5EDFA897" w:rsidR="002C4925" w:rsidRPr="00D63E34" w:rsidRDefault="00BD31AC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1.107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2C39" w14:textId="338F86AA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0.3335</w:t>
            </w:r>
          </w:p>
        </w:tc>
      </w:tr>
      <w:tr w:rsidR="002C4925" w:rsidRPr="00F659F2" w14:paraId="01BC6AF3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B8F1" w14:textId="77777777" w:rsidR="002C4925" w:rsidRPr="00D63E34" w:rsidRDefault="002C4925" w:rsidP="009B5CD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Progression as BOR to nivolumab monotherapy</w:t>
            </w:r>
          </w:p>
        </w:tc>
        <w:tc>
          <w:tcPr>
            <w:tcW w:w="4566" w:type="dxa"/>
          </w:tcPr>
          <w:p w14:paraId="59334E52" w14:textId="08E2F762" w:rsidR="002C4925" w:rsidRPr="00D63E34" w:rsidRDefault="00F832C9" w:rsidP="009B5CD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Yes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5.9 </w:t>
            </w:r>
            <w:proofErr w:type="spellStart"/>
            <w:proofErr w:type="gramStart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95% CI,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2.1-9.3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59B2F3C" w14:textId="1951AB76" w:rsidR="00F832C9" w:rsidRPr="00D63E34" w:rsidRDefault="00F832C9" w:rsidP="009B5CD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No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13.1 </w:t>
            </w:r>
            <w:proofErr w:type="spellStart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8.6-NR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014A" w14:textId="135C43A1" w:rsidR="002C4925" w:rsidRPr="00D63E34" w:rsidRDefault="002C4925" w:rsidP="009B5CD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  <w:r w:rsidRPr="00D63E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0.0063</w:t>
            </w:r>
          </w:p>
        </w:tc>
      </w:tr>
      <w:tr w:rsidR="002C4925" w:rsidRPr="00F659F2" w14:paraId="3D508E4C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9171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chemoresistance</w:t>
            </w:r>
            <w:proofErr w:type="spellEnd"/>
          </w:p>
        </w:tc>
        <w:tc>
          <w:tcPr>
            <w:tcW w:w="4566" w:type="dxa"/>
          </w:tcPr>
          <w:p w14:paraId="6472BB70" w14:textId="11DCD1EB" w:rsidR="002C4925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Yes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11.3 </w:t>
            </w:r>
            <w:proofErr w:type="spellStart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5.5-17.5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A583794" w14:textId="3E5618B2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No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9.8 </w:t>
            </w:r>
            <w:proofErr w:type="spellStart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7.6-14.9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797D" w14:textId="3D6FF008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0.9841</w:t>
            </w:r>
          </w:p>
        </w:tc>
      </w:tr>
      <w:tr w:rsidR="002C4925" w:rsidRPr="00F659F2" w14:paraId="199AD9CD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C3F0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Prior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ASCT</w:t>
            </w:r>
          </w:p>
        </w:tc>
        <w:tc>
          <w:tcPr>
            <w:tcW w:w="4566" w:type="dxa"/>
          </w:tcPr>
          <w:p w14:paraId="63B93B87" w14:textId="2E2DEED4" w:rsidR="002C4925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Yes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5.6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E7BB761" w14:textId="04473966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No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9.0 </w:t>
            </w:r>
            <w:proofErr w:type="spellStart"/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AF39" w14:textId="7558E5FB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0.4457</w:t>
            </w:r>
          </w:p>
        </w:tc>
      </w:tr>
      <w:tr w:rsidR="002C4925" w:rsidRPr="00F659F2" w14:paraId="62A510D6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5ADF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Prior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bendamustine</w:t>
            </w:r>
          </w:p>
        </w:tc>
        <w:tc>
          <w:tcPr>
            <w:tcW w:w="4566" w:type="dxa"/>
          </w:tcPr>
          <w:p w14:paraId="387F47EA" w14:textId="77777777" w:rsidR="009367DC" w:rsidRPr="00D63E34" w:rsidRDefault="009367DC" w:rsidP="00936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Yes</w:t>
            </w: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10.8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(95% CI, 6.8-17.5)</w:t>
            </w:r>
          </w:p>
          <w:p w14:paraId="28D4B33F" w14:textId="78C814DA" w:rsidR="009367DC" w:rsidRPr="00D63E34" w:rsidRDefault="009367DC" w:rsidP="00936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No</w:t>
            </w: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9.9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(95% CI, </w:t>
            </w:r>
            <w:r w:rsidRPr="00D6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5.0-14.2</w:t>
            </w: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0F34" w14:textId="1B370558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0.4849</w:t>
            </w:r>
          </w:p>
        </w:tc>
      </w:tr>
      <w:tr w:rsidR="002C4925" w:rsidRPr="00F659F2" w14:paraId="65EBA335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A4DF" w14:textId="01C94504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Prior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bendamustine</w:t>
            </w: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refractory</w:t>
            </w:r>
          </w:p>
        </w:tc>
        <w:tc>
          <w:tcPr>
            <w:tcW w:w="4566" w:type="dxa"/>
          </w:tcPr>
          <w:p w14:paraId="1C493AC6" w14:textId="5E247BC8" w:rsidR="002C4925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Yes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31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11.8 </w:t>
            </w:r>
            <w:proofErr w:type="spellStart"/>
            <w:r w:rsidR="00BD31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BD31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BD31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31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4.6-NR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4B5C621" w14:textId="0E25CF2D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No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31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31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9.2 </w:t>
            </w:r>
            <w:proofErr w:type="spellStart"/>
            <w:r w:rsidR="00BD31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BD31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BD31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31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5.5-14.9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0835" w14:textId="02ED4D29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0,1606</w:t>
            </w:r>
          </w:p>
        </w:tc>
      </w:tr>
      <w:tr w:rsidR="002C4925" w:rsidRPr="00F659F2" w14:paraId="61A4F7AC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BE80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Prior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BV</w:t>
            </w:r>
          </w:p>
        </w:tc>
        <w:tc>
          <w:tcPr>
            <w:tcW w:w="4566" w:type="dxa"/>
          </w:tcPr>
          <w:p w14:paraId="2A2E3F62" w14:textId="53F1F1F1" w:rsidR="002C4925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Yes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10.9 </w:t>
            </w:r>
            <w:proofErr w:type="spellStart"/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7C81EDF" w14:textId="2CF10561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No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10.2 </w:t>
            </w:r>
            <w:proofErr w:type="spellStart"/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9E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7.6-13.2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2FC1" w14:textId="2C7ECE96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0.8155</w:t>
            </w:r>
          </w:p>
        </w:tc>
      </w:tr>
      <w:tr w:rsidR="002C4925" w:rsidRPr="00F659F2" w14:paraId="11388B81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654B" w14:textId="77777777" w:rsidR="002C4925" w:rsidRPr="00D63E34" w:rsidRDefault="002C4925" w:rsidP="009B5CD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Prior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nivolumab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combination</w:t>
            </w:r>
            <w:proofErr w:type="spellEnd"/>
          </w:p>
        </w:tc>
        <w:tc>
          <w:tcPr>
            <w:tcW w:w="4566" w:type="dxa"/>
          </w:tcPr>
          <w:p w14:paraId="24E2691B" w14:textId="13EA0060" w:rsidR="002C4925" w:rsidRPr="00D63E34" w:rsidRDefault="00F832C9" w:rsidP="009B5CD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Yes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9.5 </w:t>
            </w:r>
            <w:proofErr w:type="spellStart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8.6-NR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F944158" w14:textId="5CB31A97" w:rsidR="00F832C9" w:rsidRPr="00D63E34" w:rsidRDefault="00F832C9" w:rsidP="009B5CD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No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11.2 </w:t>
            </w:r>
            <w:proofErr w:type="spellStart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6.8-14.2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9F9F" w14:textId="73550456" w:rsidR="002C4925" w:rsidRPr="00D63E34" w:rsidRDefault="002C4925" w:rsidP="009B5CD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0.9379</w:t>
            </w:r>
          </w:p>
        </w:tc>
      </w:tr>
      <w:tr w:rsidR="002C4925" w:rsidRPr="00F659F2" w14:paraId="47BF0B2F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8757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Prior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radiotherapy</w:t>
            </w:r>
            <w:proofErr w:type="spellEnd"/>
          </w:p>
        </w:tc>
        <w:tc>
          <w:tcPr>
            <w:tcW w:w="4566" w:type="dxa"/>
          </w:tcPr>
          <w:p w14:paraId="31F074D4" w14:textId="14F14E28" w:rsidR="002C4925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Yes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9.8 </w:t>
            </w:r>
            <w:proofErr w:type="spellStart"/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6.8-13.2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AC659A4" w14:textId="2EE3C9C7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No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12.4 </w:t>
            </w:r>
            <w:proofErr w:type="spellStart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20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5.0-17.5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E647" w14:textId="159B883D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0.8839</w:t>
            </w:r>
          </w:p>
        </w:tc>
      </w:tr>
      <w:tr w:rsidR="002C4925" w:rsidRPr="00F659F2" w14:paraId="18BB248D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D84E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proofErr w:type="spellEnd"/>
          </w:p>
        </w:tc>
        <w:tc>
          <w:tcPr>
            <w:tcW w:w="4566" w:type="dxa"/>
          </w:tcPr>
          <w:p w14:paraId="1448D48D" w14:textId="407F9260" w:rsidR="002C4925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II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Not reached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NR-NR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3BFD067" w14:textId="2ECBB30F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III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Not reached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NR-NR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B8662EA" w14:textId="76FD9F7B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IV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9.5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6.8-13.2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CDB9" w14:textId="76699502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0.4866</w:t>
            </w:r>
          </w:p>
        </w:tc>
      </w:tr>
      <w:tr w:rsidR="002C4925" w:rsidRPr="00F659F2" w14:paraId="04291DED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EFE4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proofErr w:type="spellEnd"/>
          </w:p>
        </w:tc>
        <w:tc>
          <w:tcPr>
            <w:tcW w:w="4566" w:type="dxa"/>
          </w:tcPr>
          <w:p w14:paraId="5A807240" w14:textId="0481D1B7" w:rsidR="002C4925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PR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9.3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(95% CI,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6.1-NR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35701DF" w14:textId="2F1D7300" w:rsidR="00226BAC" w:rsidRPr="00D63E34" w:rsidRDefault="00226BAC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SD: Not reached (95% CI NR-NR)</w:t>
            </w:r>
          </w:p>
          <w:p w14:paraId="34D5ED72" w14:textId="77777777" w:rsidR="00F832C9" w:rsidRPr="00D63E34" w:rsidRDefault="00F832C9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PD</w:t>
            </w:r>
            <w:r w:rsidR="00583BB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9.8 </w:t>
            </w:r>
            <w:proofErr w:type="spellStart"/>
            <w:proofErr w:type="gramStart"/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95% CI,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6BA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5.6-14.2</w:t>
            </w:r>
            <w:r w:rsidR="009367DC"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0A2ED0C" w14:textId="77777777" w:rsidR="00226BAC" w:rsidRPr="00D63E34" w:rsidRDefault="00226BAC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IR2: </w:t>
            </w: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13.2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(95% CI </w:t>
            </w: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4.6-17.5</w:t>
            </w: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9ACC4D0" w14:textId="193D7E9B" w:rsidR="00226BAC" w:rsidRPr="00D63E34" w:rsidRDefault="00226BAC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IR3: Not reached (95% CI NR-NR)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E048" w14:textId="7D8D8824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0.9747</w:t>
            </w:r>
          </w:p>
        </w:tc>
      </w:tr>
      <w:tr w:rsidR="002C4925" w:rsidRPr="003615D2" w14:paraId="6146EB54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9648" w14:textId="4A41140B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Time from prior nivolumab discontinuation to combo </w:t>
            </w:r>
          </w:p>
        </w:tc>
        <w:tc>
          <w:tcPr>
            <w:tcW w:w="4566" w:type="dxa"/>
          </w:tcPr>
          <w:p w14:paraId="15B8E481" w14:textId="7A083038" w:rsidR="002C4925" w:rsidRPr="00D63E34" w:rsidRDefault="00BD31AC" w:rsidP="00361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ED5E" w14:textId="34074398" w:rsidR="002C4925" w:rsidRPr="00D63E34" w:rsidRDefault="002C4925" w:rsidP="00361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0,9352</w:t>
            </w:r>
          </w:p>
          <w:p w14:paraId="513B0BF7" w14:textId="6082ACDB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C4925" w:rsidRPr="003615D2" w14:paraId="066BB086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528C" w14:textId="071D00AA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 from prior bendamustine discontinuation to combo</w:t>
            </w:r>
          </w:p>
        </w:tc>
        <w:tc>
          <w:tcPr>
            <w:tcW w:w="4566" w:type="dxa"/>
          </w:tcPr>
          <w:p w14:paraId="63996E30" w14:textId="48EE87F8" w:rsidR="002C4925" w:rsidRPr="00D63E34" w:rsidRDefault="00BD31AC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9B54" w14:textId="7122EADF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0,8802</w:t>
            </w:r>
          </w:p>
        </w:tc>
      </w:tr>
      <w:tr w:rsidR="002C4925" w:rsidRPr="00F659F2" w14:paraId="18B157A2" w14:textId="77777777" w:rsidTr="00F832C9">
        <w:tc>
          <w:tcPr>
            <w:tcW w:w="3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B2A3" w14:textId="77777777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Tumor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combination</w:t>
            </w:r>
            <w:proofErr w:type="spellEnd"/>
          </w:p>
        </w:tc>
        <w:tc>
          <w:tcPr>
            <w:tcW w:w="4566" w:type="dxa"/>
          </w:tcPr>
          <w:p w14:paraId="778948A2" w14:textId="17613272" w:rsidR="002C4925" w:rsidRPr="00D63E34" w:rsidRDefault="00BD31AC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AF121" w14:textId="102506F9" w:rsidR="002C4925" w:rsidRPr="00D63E34" w:rsidRDefault="002C4925" w:rsidP="009B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0.0898</w:t>
            </w:r>
          </w:p>
        </w:tc>
      </w:tr>
    </w:tbl>
    <w:p w14:paraId="667B90C1" w14:textId="77777777" w:rsidR="00A87E90" w:rsidRPr="00F659F2" w:rsidRDefault="00A87E90" w:rsidP="00A87E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6D3114" w14:textId="5A541209" w:rsidR="00A87E90" w:rsidRDefault="00F832C9" w:rsidP="009B372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</w:t>
      </w:r>
      <w:r w:rsidRPr="00F659F2">
        <w:rPr>
          <w:rFonts w:ascii="Times New Roman" w:eastAsia="Times New Roman" w:hAnsi="Times New Roman" w:cs="Times New Roman"/>
          <w:sz w:val="28"/>
          <w:szCs w:val="28"/>
          <w:lang w:val="en-US"/>
        </w:rPr>
        <w:t>PFS estimation with Kaplan-Mayer method with test of equality over strata (Log rank test)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</w:t>
      </w:r>
      <w:r w:rsidRPr="00F659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nominal variable, Cox regression with analysis of Maximum Likelihood Estimates for interval variable</w:t>
      </w:r>
    </w:p>
    <w:p w14:paraId="6644BFE1" w14:textId="7682080E" w:rsidR="00D63E34" w:rsidRDefault="00D63E34" w:rsidP="00F832C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57C01CF" w14:textId="315E64CD" w:rsidR="00D63E34" w:rsidRDefault="00D63E34" w:rsidP="00F832C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D4DD708" w14:textId="7E3EF71D" w:rsidR="00D63E34" w:rsidRDefault="00D63E34" w:rsidP="00F832C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09B0FFE" w14:textId="67C151DF" w:rsidR="00D63E34" w:rsidRDefault="00D63E34" w:rsidP="00F832C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E6EC69A" w14:textId="7AC6060A" w:rsidR="00D63E34" w:rsidRDefault="00D63E34" w:rsidP="00F832C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9E2B6D4" w14:textId="77777777" w:rsidR="00D63E34" w:rsidRPr="00F832C9" w:rsidRDefault="00D63E34" w:rsidP="00F832C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</w:p>
    <w:p w14:paraId="5100947F" w14:textId="77777777" w:rsidR="00A87E90" w:rsidRPr="00F659F2" w:rsidRDefault="00A87E90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9F2">
        <w:rPr>
          <w:rFonts w:ascii="Times New Roman" w:eastAsia="Times New Roman" w:hAnsi="Times New Roman" w:cs="Times New Roman"/>
          <w:i/>
          <w:noProof/>
          <w:sz w:val="28"/>
          <w:szCs w:val="28"/>
        </w:rPr>
        <w:lastRenderedPageBreak/>
        <w:drawing>
          <wp:inline distT="114300" distB="114300" distL="114300" distR="114300" wp14:anchorId="3B3310F9" wp14:editId="311EFA39">
            <wp:extent cx="5734050" cy="44196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t="5161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1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4DA9E0" w14:textId="0EA40BB6" w:rsidR="00A87E90" w:rsidRPr="00F659F2" w:rsidRDefault="00A87E90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Figure </w:t>
      </w:r>
      <w:r w:rsidR="008E1328" w:rsidRP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S. </w:t>
      </w:r>
      <w:r w:rsidRPr="00F659F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 xml:space="preserve">Progression free survival after nivolumab-bendamustine combination according to anamnesis of prior bendamustine monotherapy. </w:t>
      </w:r>
    </w:p>
    <w:p w14:paraId="247AB2C5" w14:textId="77777777" w:rsidR="00A87E90" w:rsidRPr="00F659F2" w:rsidRDefault="00A87E90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9F2">
        <w:rPr>
          <w:rFonts w:ascii="Times New Roman" w:eastAsia="Times New Roman" w:hAnsi="Times New Roman" w:cs="Times New Roman"/>
          <w:i/>
          <w:noProof/>
          <w:sz w:val="28"/>
          <w:szCs w:val="28"/>
        </w:rPr>
        <w:lastRenderedPageBreak/>
        <w:drawing>
          <wp:inline distT="114300" distB="114300" distL="114300" distR="114300" wp14:anchorId="0C72276A" wp14:editId="125EC4A8">
            <wp:extent cx="5734050" cy="418147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5422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8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28F27B" w14:textId="16F66518" w:rsidR="00A87E90" w:rsidRPr="00F659F2" w:rsidRDefault="00A87E90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  <w:r w:rsidRP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Figure </w:t>
      </w:r>
      <w:r w:rsidR="008E1328" w:rsidRP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F659F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 xml:space="preserve">Progression free survival after nivolumab-bendamustine combination according to best overall response during therapy. </w:t>
      </w:r>
    </w:p>
    <w:p w14:paraId="5997FF03" w14:textId="77777777" w:rsidR="00F659F2" w:rsidRPr="009960D4" w:rsidRDefault="00F659F2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</w:p>
    <w:p w14:paraId="3A73FD49" w14:textId="77777777" w:rsidR="00F659F2" w:rsidRPr="009960D4" w:rsidRDefault="00F659F2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</w:p>
    <w:p w14:paraId="4587173B" w14:textId="77777777" w:rsidR="00F659F2" w:rsidRPr="009960D4" w:rsidRDefault="00F659F2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</w:p>
    <w:p w14:paraId="2616ED6E" w14:textId="77777777" w:rsidR="00F659F2" w:rsidRPr="009960D4" w:rsidRDefault="00F659F2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</w:p>
    <w:p w14:paraId="76F78551" w14:textId="77777777" w:rsidR="00F659F2" w:rsidRPr="009960D4" w:rsidRDefault="00F659F2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</w:p>
    <w:p w14:paraId="0AE50592" w14:textId="77777777" w:rsidR="00F659F2" w:rsidRPr="009960D4" w:rsidRDefault="00F659F2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</w:p>
    <w:p w14:paraId="78F60A6B" w14:textId="77777777" w:rsidR="00F659F2" w:rsidRPr="009960D4" w:rsidRDefault="00F659F2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</w:p>
    <w:p w14:paraId="59E359D1" w14:textId="77777777" w:rsidR="00F659F2" w:rsidRPr="009960D4" w:rsidRDefault="00F659F2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</w:p>
    <w:p w14:paraId="5C99C7B1" w14:textId="77777777" w:rsidR="00F659F2" w:rsidRPr="009960D4" w:rsidRDefault="00F659F2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</w:p>
    <w:p w14:paraId="085C34D5" w14:textId="77777777" w:rsidR="00F659F2" w:rsidRPr="009960D4" w:rsidRDefault="00F659F2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</w:p>
    <w:p w14:paraId="07EDA541" w14:textId="77777777" w:rsidR="00F659F2" w:rsidRPr="009960D4" w:rsidRDefault="00F659F2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</w:p>
    <w:p w14:paraId="0C5F754F" w14:textId="77777777" w:rsidR="00F659F2" w:rsidRPr="009960D4" w:rsidRDefault="00F659F2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</w:p>
    <w:p w14:paraId="14AAB98E" w14:textId="77777777" w:rsidR="00F659F2" w:rsidRPr="009960D4" w:rsidRDefault="00F659F2" w:rsidP="00A87E9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</w:pPr>
    </w:p>
    <w:p w14:paraId="47EB1407" w14:textId="51F8A3C8" w:rsidR="00A87E90" w:rsidRPr="00F659F2" w:rsidRDefault="00F659F2" w:rsidP="00A87E90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val="en-US"/>
        </w:rPr>
      </w:pPr>
      <w:r w:rsidRPr="00F659F2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val="en-US"/>
        </w:rPr>
        <w:lastRenderedPageBreak/>
        <w:t>Table 2S. Next treatment after nivolumab-bendamustine treatment</w:t>
      </w:r>
    </w:p>
    <w:tbl>
      <w:tblPr>
        <w:tblW w:w="8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2022"/>
        <w:gridCol w:w="1361"/>
      </w:tblGrid>
      <w:tr w:rsidR="00F659F2" w:rsidRPr="00F659F2" w14:paraId="5A38D524" w14:textId="77777777" w:rsidTr="00B37081">
        <w:trPr>
          <w:trHeight w:val="500"/>
        </w:trPr>
        <w:tc>
          <w:tcPr>
            <w:tcW w:w="5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24619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Type of next additional treatment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82B43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07EAF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F659F2" w:rsidRPr="00F659F2" w14:paraId="2AB9A22B" w14:textId="77777777" w:rsidTr="00B37081">
        <w:trPr>
          <w:trHeight w:val="500"/>
        </w:trPr>
        <w:tc>
          <w:tcPr>
            <w:tcW w:w="5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E2E9F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Nivolumab monotherapy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F5A89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117C5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F659F2" w:rsidRPr="00F659F2" w14:paraId="1CB52DC6" w14:textId="77777777" w:rsidTr="00B37081">
        <w:trPr>
          <w:trHeight w:val="500"/>
        </w:trPr>
        <w:tc>
          <w:tcPr>
            <w:tcW w:w="5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F134B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Allogeneic SCT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3E0E7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7C609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</w:rPr>
              <w:t>16,6%</w:t>
            </w:r>
          </w:p>
        </w:tc>
      </w:tr>
      <w:tr w:rsidR="00F659F2" w:rsidRPr="00F659F2" w14:paraId="223A87A9" w14:textId="77777777" w:rsidTr="00B37081">
        <w:trPr>
          <w:trHeight w:val="500"/>
        </w:trPr>
        <w:tc>
          <w:tcPr>
            <w:tcW w:w="5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9CAFC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Nivolumab-BV combination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D1F62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9B391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</w:rPr>
              <w:t>6,6%</w:t>
            </w:r>
          </w:p>
        </w:tc>
      </w:tr>
      <w:tr w:rsidR="00F659F2" w:rsidRPr="00F659F2" w14:paraId="5CC070C1" w14:textId="77777777" w:rsidTr="00B37081">
        <w:trPr>
          <w:trHeight w:val="500"/>
        </w:trPr>
        <w:tc>
          <w:tcPr>
            <w:tcW w:w="5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32AE6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Other nivolumab combination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17E7C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E5F72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</w:rPr>
              <w:t>13,3%</w:t>
            </w:r>
          </w:p>
        </w:tc>
      </w:tr>
      <w:tr w:rsidR="00F659F2" w:rsidRPr="00F659F2" w14:paraId="4378E962" w14:textId="77777777" w:rsidTr="00B37081">
        <w:trPr>
          <w:trHeight w:val="500"/>
        </w:trPr>
        <w:tc>
          <w:tcPr>
            <w:tcW w:w="5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27BDF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BV monotherapy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6F919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EFAD0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</w:rPr>
              <w:t>6,6%</w:t>
            </w:r>
          </w:p>
        </w:tc>
      </w:tr>
      <w:tr w:rsidR="00F659F2" w:rsidRPr="00F659F2" w14:paraId="571CD38C" w14:textId="77777777" w:rsidTr="00B37081">
        <w:trPr>
          <w:trHeight w:val="15"/>
        </w:trPr>
        <w:tc>
          <w:tcPr>
            <w:tcW w:w="5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E3D21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Chemotherapy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BDD60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8832A" w14:textId="77777777" w:rsidR="00F659F2" w:rsidRPr="00F659F2" w:rsidRDefault="00F659F2" w:rsidP="00B37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9F2">
              <w:rPr>
                <w:rFonts w:ascii="Times New Roman" w:eastAsia="Times New Roman" w:hAnsi="Times New Roman" w:cs="Times New Roman"/>
                <w:sz w:val="28"/>
                <w:szCs w:val="28"/>
              </w:rPr>
              <w:t>6,6%</w:t>
            </w:r>
          </w:p>
        </w:tc>
      </w:tr>
    </w:tbl>
    <w:p w14:paraId="07EC9447" w14:textId="77777777" w:rsidR="00F659F2" w:rsidRPr="00F659F2" w:rsidRDefault="00F659F2" w:rsidP="00F659F2"/>
    <w:p w14:paraId="239ABCBD" w14:textId="1E34CEA0" w:rsidR="00F659F2" w:rsidRPr="00F659F2" w:rsidRDefault="00F659F2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6AE7A35C" w14:textId="170D89D5" w:rsidR="00F659F2" w:rsidRDefault="00F659F2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7D6D693F" w14:textId="696B90EB" w:rsidR="00717523" w:rsidRDefault="00717523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5EA36B19" w14:textId="77777777" w:rsidR="00717523" w:rsidRPr="00F659F2" w:rsidRDefault="00717523" w:rsidP="00A87E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14:paraId="3A663C31" w14:textId="0376AE5E" w:rsidR="00F659F2" w:rsidRPr="00F659F2" w:rsidRDefault="00F659F2" w:rsidP="00F659F2">
      <w:pPr>
        <w:rPr>
          <w:noProof/>
        </w:rPr>
      </w:pPr>
      <w:r w:rsidRPr="00F659F2">
        <w:rPr>
          <w:noProof/>
        </w:rPr>
        <w:lastRenderedPageBreak/>
        <w:drawing>
          <wp:inline distT="0" distB="0" distL="0" distR="0" wp14:anchorId="26099BFD" wp14:editId="1F3F01A1">
            <wp:extent cx="5805577" cy="438429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763" cy="438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FA62C" w14:textId="253896D5" w:rsidR="00F659F2" w:rsidRPr="00F659F2" w:rsidRDefault="00F659F2" w:rsidP="00F659F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  <w:r w:rsidRP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Figure 5S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F659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F659F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Progression-free survival (PFS) in patients with response to nivolumab-bendamustine that received maintenance/consolidation therapy other than </w:t>
      </w:r>
      <w:proofErr w:type="spellStart"/>
      <w:r w:rsidRPr="00F659F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alloHSCT</w:t>
      </w:r>
      <w:proofErr w:type="spellEnd"/>
      <w:r w:rsidRPr="00F659F2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vs. other patients.</w:t>
      </w:r>
    </w:p>
    <w:p w14:paraId="0B073A99" w14:textId="06C08D51" w:rsidR="00F659F2" w:rsidRDefault="00F659F2" w:rsidP="00F659F2">
      <w:pPr>
        <w:rPr>
          <w:lang w:val="en-US"/>
        </w:rPr>
      </w:pPr>
    </w:p>
    <w:p w14:paraId="23FA0D95" w14:textId="4AE7C699" w:rsidR="009960D4" w:rsidRDefault="009960D4" w:rsidP="00F659F2">
      <w:pPr>
        <w:rPr>
          <w:lang w:val="en-US"/>
        </w:rPr>
      </w:pPr>
    </w:p>
    <w:p w14:paraId="38BAC1A3" w14:textId="6FA34CD3" w:rsidR="009960D4" w:rsidRDefault="009960D4" w:rsidP="00F659F2">
      <w:pPr>
        <w:rPr>
          <w:lang w:val="en-US"/>
        </w:rPr>
      </w:pPr>
    </w:p>
    <w:p w14:paraId="66C726D9" w14:textId="012A37C4" w:rsidR="009960D4" w:rsidRDefault="009960D4" w:rsidP="00F659F2">
      <w:pPr>
        <w:rPr>
          <w:lang w:val="en-US"/>
        </w:rPr>
      </w:pPr>
    </w:p>
    <w:p w14:paraId="4BAA0104" w14:textId="53F5D3BD" w:rsidR="009960D4" w:rsidRDefault="009960D4" w:rsidP="00F659F2">
      <w:pPr>
        <w:rPr>
          <w:lang w:val="en-US"/>
        </w:rPr>
      </w:pPr>
    </w:p>
    <w:p w14:paraId="18C8E470" w14:textId="6DF049F1" w:rsidR="009960D4" w:rsidRDefault="009960D4" w:rsidP="00F659F2">
      <w:pPr>
        <w:rPr>
          <w:lang w:val="en-US"/>
        </w:rPr>
      </w:pPr>
    </w:p>
    <w:p w14:paraId="365197AA" w14:textId="73342AFF" w:rsidR="009960D4" w:rsidRDefault="009960D4" w:rsidP="00F659F2">
      <w:pPr>
        <w:rPr>
          <w:lang w:val="en-US"/>
        </w:rPr>
      </w:pPr>
    </w:p>
    <w:p w14:paraId="33627B76" w14:textId="64273D66" w:rsidR="009960D4" w:rsidRDefault="009960D4" w:rsidP="00F659F2">
      <w:pPr>
        <w:rPr>
          <w:lang w:val="en-US"/>
        </w:rPr>
      </w:pPr>
    </w:p>
    <w:p w14:paraId="506B6299" w14:textId="42B25AAD" w:rsidR="009960D4" w:rsidRDefault="009960D4" w:rsidP="00F659F2">
      <w:pPr>
        <w:rPr>
          <w:lang w:val="en-US"/>
        </w:rPr>
      </w:pPr>
    </w:p>
    <w:p w14:paraId="4F4D898C" w14:textId="6CA28C82" w:rsidR="009960D4" w:rsidRDefault="009960D4" w:rsidP="00F659F2">
      <w:pPr>
        <w:rPr>
          <w:lang w:val="en-US"/>
        </w:rPr>
      </w:pPr>
    </w:p>
    <w:p w14:paraId="32F55076" w14:textId="081C94D0" w:rsidR="009960D4" w:rsidRDefault="009960D4" w:rsidP="00F659F2">
      <w:pPr>
        <w:rPr>
          <w:lang w:val="en-US"/>
        </w:rPr>
      </w:pPr>
    </w:p>
    <w:p w14:paraId="4B85B026" w14:textId="62C391AC" w:rsidR="009960D4" w:rsidRDefault="009960D4" w:rsidP="00F659F2">
      <w:pPr>
        <w:rPr>
          <w:lang w:val="en-US"/>
        </w:rPr>
      </w:pPr>
    </w:p>
    <w:p w14:paraId="03B85498" w14:textId="51920E47" w:rsidR="009960D4" w:rsidRDefault="009960D4" w:rsidP="00F659F2">
      <w:pPr>
        <w:rPr>
          <w:lang w:val="en-US"/>
        </w:rPr>
      </w:pPr>
    </w:p>
    <w:p w14:paraId="6B3AA96F" w14:textId="4482F9E4" w:rsidR="009960D4" w:rsidRDefault="009960D4" w:rsidP="00F659F2">
      <w:pPr>
        <w:rPr>
          <w:lang w:val="en-US"/>
        </w:rPr>
      </w:pPr>
    </w:p>
    <w:p w14:paraId="6FB96F53" w14:textId="37F0B8A4" w:rsidR="009960D4" w:rsidRDefault="009960D4" w:rsidP="00F659F2">
      <w:pPr>
        <w:rPr>
          <w:lang w:val="en-US"/>
        </w:rPr>
      </w:pPr>
    </w:p>
    <w:p w14:paraId="28E83E3A" w14:textId="70A7F7F5" w:rsidR="009960D4" w:rsidRDefault="009960D4" w:rsidP="00F659F2">
      <w:pPr>
        <w:rPr>
          <w:lang w:val="en-US"/>
        </w:rPr>
      </w:pPr>
    </w:p>
    <w:p w14:paraId="76E05761" w14:textId="17851B4D" w:rsidR="009960D4" w:rsidRDefault="009960D4" w:rsidP="00F659F2">
      <w:pPr>
        <w:rPr>
          <w:lang w:val="en-US"/>
        </w:rPr>
      </w:pPr>
    </w:p>
    <w:p w14:paraId="68752493" w14:textId="3E623A25" w:rsidR="009960D4" w:rsidRDefault="009960D4" w:rsidP="00F659F2">
      <w:pPr>
        <w:rPr>
          <w:lang w:val="en-US"/>
        </w:rPr>
      </w:pPr>
    </w:p>
    <w:p w14:paraId="595D7E79" w14:textId="72C9CA69" w:rsidR="009960D4" w:rsidRDefault="009960D4" w:rsidP="00F659F2">
      <w:pPr>
        <w:rPr>
          <w:lang w:val="en-US"/>
        </w:rPr>
      </w:pPr>
    </w:p>
    <w:p w14:paraId="426711E9" w14:textId="0726E38D" w:rsidR="009960D4" w:rsidRDefault="009960D4" w:rsidP="00F659F2">
      <w:pPr>
        <w:rPr>
          <w:lang w:val="en-US"/>
        </w:rPr>
      </w:pPr>
    </w:p>
    <w:p w14:paraId="79F44BC5" w14:textId="7EE6C16A" w:rsidR="009960D4" w:rsidRPr="009960D4" w:rsidRDefault="009960D4" w:rsidP="009960D4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val="en-US"/>
        </w:rPr>
      </w:pPr>
      <w:r w:rsidRPr="00F659F2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val="en-US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val="en-US"/>
        </w:rPr>
        <w:t>3</w:t>
      </w:r>
      <w:r w:rsidRPr="00F659F2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val="en-US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val="en-US"/>
        </w:rPr>
        <w:t xml:space="preserve">Structure of observed immune related adverse events </w:t>
      </w:r>
    </w:p>
    <w:p w14:paraId="66178245" w14:textId="2EED8CBD" w:rsidR="009960D4" w:rsidRPr="009960D4" w:rsidRDefault="009960D4" w:rsidP="009960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8448" w:type="dxa"/>
        <w:tblLook w:val="04A0" w:firstRow="1" w:lastRow="0" w:firstColumn="1" w:lastColumn="0" w:noHBand="0" w:noVBand="1"/>
      </w:tblPr>
      <w:tblGrid>
        <w:gridCol w:w="2444"/>
        <w:gridCol w:w="1199"/>
        <w:gridCol w:w="24"/>
        <w:gridCol w:w="993"/>
        <w:gridCol w:w="913"/>
        <w:gridCol w:w="1019"/>
        <w:gridCol w:w="916"/>
        <w:gridCol w:w="940"/>
      </w:tblGrid>
      <w:tr w:rsidR="009960D4" w:rsidRPr="009960D4" w14:paraId="3C10EA19" w14:textId="77777777" w:rsidTr="009960D4">
        <w:trPr>
          <w:trHeight w:val="680"/>
        </w:trPr>
        <w:tc>
          <w:tcPr>
            <w:tcW w:w="2468" w:type="dxa"/>
            <w:vAlign w:val="center"/>
          </w:tcPr>
          <w:p w14:paraId="49B3172C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Type</w:t>
            </w:r>
            <w:proofErr w:type="spellEnd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</w:t>
            </w:r>
            <w:proofErr w:type="spellEnd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</w:tc>
        <w:tc>
          <w:tcPr>
            <w:tcW w:w="2231" w:type="dxa"/>
            <w:gridSpan w:val="3"/>
            <w:vAlign w:val="center"/>
          </w:tcPr>
          <w:p w14:paraId="768CBD89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AE </w:t>
            </w: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overall</w:t>
            </w:r>
            <w:proofErr w:type="spellEnd"/>
          </w:p>
        </w:tc>
        <w:tc>
          <w:tcPr>
            <w:tcW w:w="1945" w:type="dxa"/>
            <w:gridSpan w:val="2"/>
            <w:vAlign w:val="center"/>
          </w:tcPr>
          <w:p w14:paraId="105026B6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AE </w:t>
            </w: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</w:t>
            </w:r>
            <w:proofErr w:type="spellEnd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3-4</w:t>
            </w:r>
          </w:p>
        </w:tc>
        <w:tc>
          <w:tcPr>
            <w:tcW w:w="1804" w:type="dxa"/>
            <w:gridSpan w:val="2"/>
            <w:vAlign w:val="center"/>
          </w:tcPr>
          <w:p w14:paraId="6DE9C3FE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AE </w:t>
            </w: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</w:t>
            </w:r>
            <w:proofErr w:type="spellEnd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1-2</w:t>
            </w:r>
          </w:p>
        </w:tc>
      </w:tr>
      <w:tr w:rsidR="009960D4" w:rsidRPr="009960D4" w14:paraId="3676DD07" w14:textId="77777777" w:rsidTr="009960D4">
        <w:trPr>
          <w:trHeight w:val="680"/>
        </w:trPr>
        <w:tc>
          <w:tcPr>
            <w:tcW w:w="2468" w:type="dxa"/>
            <w:vAlign w:val="center"/>
          </w:tcPr>
          <w:p w14:paraId="6FF1A09D" w14:textId="77777777" w:rsidR="009960D4" w:rsidRPr="009960D4" w:rsidRDefault="009960D4" w:rsidP="00996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Any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3AB9794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08E2DC04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70,0%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021F315D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01B58133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10,0%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2B2A2ECA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0C51BAC5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63,3%</w:t>
            </w:r>
          </w:p>
        </w:tc>
      </w:tr>
      <w:tr w:rsidR="009960D4" w:rsidRPr="009960D4" w14:paraId="2CFC2DD3" w14:textId="77777777" w:rsidTr="009960D4">
        <w:trPr>
          <w:trHeight w:val="680"/>
        </w:trPr>
        <w:tc>
          <w:tcPr>
            <w:tcW w:w="2468" w:type="dxa"/>
            <w:vAlign w:val="center"/>
          </w:tcPr>
          <w:p w14:paraId="090A17A2" w14:textId="77777777" w:rsidR="009960D4" w:rsidRPr="009960D4" w:rsidRDefault="009960D4" w:rsidP="00996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Pyrexia</w:t>
            </w:r>
            <w:proofErr w:type="spellEnd"/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3395D45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2ABBFB7B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36,7%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08AB683E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32CABBBC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2690F164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218957DB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36,7%</w:t>
            </w:r>
          </w:p>
        </w:tc>
      </w:tr>
      <w:tr w:rsidR="009960D4" w:rsidRPr="009960D4" w14:paraId="0D1580AB" w14:textId="77777777" w:rsidTr="009960D4">
        <w:trPr>
          <w:trHeight w:val="680"/>
        </w:trPr>
        <w:tc>
          <w:tcPr>
            <w:tcW w:w="2468" w:type="dxa"/>
            <w:vAlign w:val="center"/>
          </w:tcPr>
          <w:p w14:paraId="6176B325" w14:textId="77777777" w:rsidR="009960D4" w:rsidRPr="009960D4" w:rsidRDefault="009960D4" w:rsidP="00996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Pruritus</w:t>
            </w:r>
            <w:proofErr w:type="spellEnd"/>
          </w:p>
        </w:tc>
        <w:tc>
          <w:tcPr>
            <w:tcW w:w="1213" w:type="dxa"/>
            <w:tcBorders>
              <w:bottom w:val="single" w:sz="4" w:space="0" w:color="auto"/>
              <w:right w:val="nil"/>
            </w:tcBorders>
            <w:vAlign w:val="center"/>
          </w:tcPr>
          <w:p w14:paraId="21C374D3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18" w:type="dxa"/>
            <w:gridSpan w:val="2"/>
            <w:tcBorders>
              <w:left w:val="nil"/>
            </w:tcBorders>
            <w:vAlign w:val="center"/>
          </w:tcPr>
          <w:p w14:paraId="62658915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33,3%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6C48E0F0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42EA501F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321095B2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414B9EBD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33,3%</w:t>
            </w:r>
          </w:p>
        </w:tc>
      </w:tr>
      <w:tr w:rsidR="009960D4" w:rsidRPr="009960D4" w14:paraId="245A430B" w14:textId="77777777" w:rsidTr="009960D4">
        <w:trPr>
          <w:trHeight w:val="680"/>
        </w:trPr>
        <w:tc>
          <w:tcPr>
            <w:tcW w:w="2468" w:type="dxa"/>
            <w:vAlign w:val="center"/>
          </w:tcPr>
          <w:p w14:paraId="0CF5E8F4" w14:textId="77777777" w:rsidR="009960D4" w:rsidRPr="009960D4" w:rsidRDefault="009960D4" w:rsidP="00996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Rash</w:t>
            </w:r>
            <w:proofErr w:type="spellEnd"/>
          </w:p>
        </w:tc>
        <w:tc>
          <w:tcPr>
            <w:tcW w:w="1213" w:type="dxa"/>
            <w:tcBorders>
              <w:bottom w:val="single" w:sz="4" w:space="0" w:color="auto"/>
              <w:right w:val="nil"/>
            </w:tcBorders>
            <w:vAlign w:val="center"/>
          </w:tcPr>
          <w:p w14:paraId="50F6A165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18" w:type="dxa"/>
            <w:gridSpan w:val="2"/>
            <w:tcBorders>
              <w:left w:val="nil"/>
            </w:tcBorders>
            <w:vAlign w:val="center"/>
          </w:tcPr>
          <w:p w14:paraId="209A87D8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10,0%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635A2F60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15D861C6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292BB1FD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0C57EE36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10,0%</w:t>
            </w:r>
          </w:p>
        </w:tc>
      </w:tr>
      <w:tr w:rsidR="009960D4" w:rsidRPr="009960D4" w14:paraId="74842B34" w14:textId="77777777" w:rsidTr="009960D4">
        <w:trPr>
          <w:trHeight w:val="680"/>
        </w:trPr>
        <w:tc>
          <w:tcPr>
            <w:tcW w:w="2468" w:type="dxa"/>
            <w:vAlign w:val="center"/>
          </w:tcPr>
          <w:p w14:paraId="35CAC407" w14:textId="77777777" w:rsidR="009960D4" w:rsidRPr="009960D4" w:rsidRDefault="009960D4" w:rsidP="00996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ALT </w:t>
            </w: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increased</w:t>
            </w:r>
            <w:proofErr w:type="spellEnd"/>
          </w:p>
        </w:tc>
        <w:tc>
          <w:tcPr>
            <w:tcW w:w="1213" w:type="dxa"/>
            <w:tcBorders>
              <w:bottom w:val="single" w:sz="4" w:space="0" w:color="auto"/>
              <w:right w:val="nil"/>
            </w:tcBorders>
            <w:vAlign w:val="center"/>
          </w:tcPr>
          <w:p w14:paraId="3ECF21E0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18" w:type="dxa"/>
            <w:gridSpan w:val="2"/>
            <w:tcBorders>
              <w:left w:val="nil"/>
            </w:tcBorders>
            <w:vAlign w:val="center"/>
          </w:tcPr>
          <w:p w14:paraId="2B536658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10,0%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3989FAE3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7D6AA3CA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7F1A679A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33057C74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10,0%</w:t>
            </w:r>
          </w:p>
        </w:tc>
      </w:tr>
      <w:tr w:rsidR="009960D4" w:rsidRPr="009960D4" w14:paraId="280E7F18" w14:textId="77777777" w:rsidTr="009960D4">
        <w:trPr>
          <w:trHeight w:val="680"/>
        </w:trPr>
        <w:tc>
          <w:tcPr>
            <w:tcW w:w="2468" w:type="dxa"/>
            <w:vAlign w:val="center"/>
          </w:tcPr>
          <w:p w14:paraId="0D7A6B85" w14:textId="77777777" w:rsidR="009960D4" w:rsidRPr="009960D4" w:rsidRDefault="009960D4" w:rsidP="00996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AST </w:t>
            </w: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increased</w:t>
            </w:r>
            <w:proofErr w:type="spellEnd"/>
          </w:p>
        </w:tc>
        <w:tc>
          <w:tcPr>
            <w:tcW w:w="1213" w:type="dxa"/>
            <w:tcBorders>
              <w:bottom w:val="single" w:sz="4" w:space="0" w:color="auto"/>
              <w:right w:val="nil"/>
            </w:tcBorders>
            <w:vAlign w:val="center"/>
          </w:tcPr>
          <w:p w14:paraId="2C7B8A16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18" w:type="dxa"/>
            <w:gridSpan w:val="2"/>
            <w:tcBorders>
              <w:left w:val="nil"/>
            </w:tcBorders>
            <w:vAlign w:val="center"/>
          </w:tcPr>
          <w:p w14:paraId="1A6D2D62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10,0%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6972D5B3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757D30B5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5EC2732F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64C9AD69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10,0%</w:t>
            </w:r>
          </w:p>
        </w:tc>
      </w:tr>
      <w:tr w:rsidR="009960D4" w:rsidRPr="009960D4" w14:paraId="62FCCFD8" w14:textId="77777777" w:rsidTr="009960D4">
        <w:trPr>
          <w:trHeight w:val="680"/>
        </w:trPr>
        <w:tc>
          <w:tcPr>
            <w:tcW w:w="2468" w:type="dxa"/>
            <w:vAlign w:val="center"/>
          </w:tcPr>
          <w:p w14:paraId="4F2E8F6A" w14:textId="77777777" w:rsidR="009960D4" w:rsidRPr="009960D4" w:rsidRDefault="009960D4" w:rsidP="00996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Colitis</w:t>
            </w:r>
            <w:proofErr w:type="spellEnd"/>
          </w:p>
        </w:tc>
        <w:tc>
          <w:tcPr>
            <w:tcW w:w="1213" w:type="dxa"/>
            <w:tcBorders>
              <w:bottom w:val="single" w:sz="4" w:space="0" w:color="auto"/>
              <w:right w:val="nil"/>
            </w:tcBorders>
            <w:vAlign w:val="center"/>
          </w:tcPr>
          <w:p w14:paraId="4840AB3A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dxa"/>
            <w:gridSpan w:val="2"/>
            <w:tcBorders>
              <w:left w:val="nil"/>
            </w:tcBorders>
            <w:vAlign w:val="center"/>
          </w:tcPr>
          <w:p w14:paraId="73F5A21D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6,7%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31592EC4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4563F556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3,3%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26C7BFCE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58161A53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3,3%</w:t>
            </w:r>
          </w:p>
        </w:tc>
      </w:tr>
      <w:tr w:rsidR="009960D4" w:rsidRPr="009960D4" w14:paraId="43132F97" w14:textId="77777777" w:rsidTr="009960D4">
        <w:trPr>
          <w:trHeight w:val="680"/>
        </w:trPr>
        <w:tc>
          <w:tcPr>
            <w:tcW w:w="2468" w:type="dxa"/>
            <w:vAlign w:val="center"/>
          </w:tcPr>
          <w:p w14:paraId="17BE8EAD" w14:textId="77777777" w:rsidR="009960D4" w:rsidRPr="009960D4" w:rsidRDefault="009960D4" w:rsidP="00996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Infusion</w:t>
            </w:r>
            <w:proofErr w:type="spellEnd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reaction</w:t>
            </w:r>
            <w:proofErr w:type="spellEnd"/>
          </w:p>
        </w:tc>
        <w:tc>
          <w:tcPr>
            <w:tcW w:w="1213" w:type="dxa"/>
            <w:tcBorders>
              <w:bottom w:val="single" w:sz="4" w:space="0" w:color="auto"/>
              <w:right w:val="nil"/>
            </w:tcBorders>
            <w:vAlign w:val="center"/>
          </w:tcPr>
          <w:p w14:paraId="04744A55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18" w:type="dxa"/>
            <w:gridSpan w:val="2"/>
            <w:tcBorders>
              <w:left w:val="nil"/>
            </w:tcBorders>
            <w:vAlign w:val="center"/>
          </w:tcPr>
          <w:p w14:paraId="7C545D4A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3,3%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4B8BEBD9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51E3C95C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3,3%</w:t>
            </w:r>
          </w:p>
        </w:tc>
        <w:tc>
          <w:tcPr>
            <w:tcW w:w="924" w:type="dxa"/>
            <w:tcBorders>
              <w:bottom w:val="single" w:sz="4" w:space="0" w:color="auto"/>
              <w:right w:val="nil"/>
            </w:tcBorders>
            <w:vAlign w:val="center"/>
          </w:tcPr>
          <w:p w14:paraId="2AB0ACFC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56E8FBDD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0,0%</w:t>
            </w:r>
          </w:p>
        </w:tc>
      </w:tr>
      <w:tr w:rsidR="009960D4" w:rsidRPr="009960D4" w14:paraId="6F8138BE" w14:textId="77777777" w:rsidTr="009960D4">
        <w:trPr>
          <w:trHeight w:val="680"/>
        </w:trPr>
        <w:tc>
          <w:tcPr>
            <w:tcW w:w="2468" w:type="dxa"/>
            <w:vAlign w:val="center"/>
          </w:tcPr>
          <w:p w14:paraId="521599AF" w14:textId="77777777" w:rsidR="009960D4" w:rsidRPr="009960D4" w:rsidRDefault="009960D4" w:rsidP="009960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Uveitis</w:t>
            </w:r>
            <w:proofErr w:type="spellEnd"/>
          </w:p>
        </w:tc>
        <w:tc>
          <w:tcPr>
            <w:tcW w:w="1213" w:type="dxa"/>
            <w:tcBorders>
              <w:right w:val="nil"/>
            </w:tcBorders>
            <w:vAlign w:val="center"/>
          </w:tcPr>
          <w:p w14:paraId="21B5A2A5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18" w:type="dxa"/>
            <w:gridSpan w:val="2"/>
            <w:tcBorders>
              <w:left w:val="nil"/>
            </w:tcBorders>
            <w:vAlign w:val="center"/>
          </w:tcPr>
          <w:p w14:paraId="502D6623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3,3%</w:t>
            </w:r>
          </w:p>
        </w:tc>
        <w:tc>
          <w:tcPr>
            <w:tcW w:w="924" w:type="dxa"/>
            <w:tcBorders>
              <w:right w:val="nil"/>
            </w:tcBorders>
            <w:vAlign w:val="center"/>
          </w:tcPr>
          <w:p w14:paraId="78B43084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33B6360F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3,3%</w:t>
            </w:r>
          </w:p>
        </w:tc>
        <w:tc>
          <w:tcPr>
            <w:tcW w:w="924" w:type="dxa"/>
            <w:tcBorders>
              <w:right w:val="nil"/>
            </w:tcBorders>
            <w:vAlign w:val="center"/>
          </w:tcPr>
          <w:p w14:paraId="7044ABE6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15837737" w14:textId="77777777" w:rsidR="009960D4" w:rsidRPr="009960D4" w:rsidRDefault="009960D4" w:rsidP="00996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960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0,0%</w:t>
            </w:r>
          </w:p>
        </w:tc>
      </w:tr>
    </w:tbl>
    <w:p w14:paraId="6A3CED99" w14:textId="6F05B9BA" w:rsidR="009960D4" w:rsidRPr="009960D4" w:rsidRDefault="009960D4" w:rsidP="009960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9960D4" w:rsidRPr="009960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90"/>
    <w:rsid w:val="00226BAC"/>
    <w:rsid w:val="002C4925"/>
    <w:rsid w:val="003615D2"/>
    <w:rsid w:val="00393065"/>
    <w:rsid w:val="003A1E9E"/>
    <w:rsid w:val="003B1FFF"/>
    <w:rsid w:val="004F26F0"/>
    <w:rsid w:val="00540DC5"/>
    <w:rsid w:val="00561890"/>
    <w:rsid w:val="00583BBC"/>
    <w:rsid w:val="005A20BC"/>
    <w:rsid w:val="00717523"/>
    <w:rsid w:val="008E1328"/>
    <w:rsid w:val="009367DC"/>
    <w:rsid w:val="009960D4"/>
    <w:rsid w:val="009B3722"/>
    <w:rsid w:val="00A846D0"/>
    <w:rsid w:val="00A87E90"/>
    <w:rsid w:val="00BD31AC"/>
    <w:rsid w:val="00C050A3"/>
    <w:rsid w:val="00C83F48"/>
    <w:rsid w:val="00D63E34"/>
    <w:rsid w:val="00EA347C"/>
    <w:rsid w:val="00F659F2"/>
    <w:rsid w:val="00F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7983"/>
  <w15:chartTrackingRefBased/>
  <w15:docId w15:val="{CF91671C-C486-46D2-A114-E97549B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90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8"/>
    <w:rPr>
      <w:rFonts w:ascii="Segoe UI" w:eastAsia="Arial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9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3D77-3A9B-49F0-9DFD-4B8D076E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2020-04-19T01:22:00Z</dcterms:created>
  <dcterms:modified xsi:type="dcterms:W3CDTF">2020-04-19T02:03:00Z</dcterms:modified>
</cp:coreProperties>
</file>