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B746D" w14:textId="7A1BB563" w:rsidR="00374CE4" w:rsidRDefault="00374CE4" w:rsidP="0010048A">
      <w:pPr>
        <w:spacing w:after="0" w:line="480" w:lineRule="auto"/>
        <w:rPr>
          <w:rFonts w:ascii="Arial" w:hAnsi="Arial" w:cs="Arial"/>
          <w:b/>
          <w:sz w:val="28"/>
          <w:lang w:eastAsia="ja-JP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eastAsia="ja-JP"/>
        </w:rPr>
        <w:t>Supplemental Digital Content</w:t>
      </w:r>
    </w:p>
    <w:p w14:paraId="2E295004" w14:textId="733B0B80" w:rsidR="0010048A" w:rsidRPr="00700FDC" w:rsidRDefault="00E974E2" w:rsidP="0010048A">
      <w:pPr>
        <w:spacing w:after="0" w:line="480" w:lineRule="auto"/>
        <w:rPr>
          <w:rFonts w:ascii="Arial" w:hAnsi="Arial" w:cs="Arial"/>
          <w:b/>
          <w:sz w:val="28"/>
          <w:lang w:eastAsia="ja-JP"/>
        </w:rPr>
      </w:pPr>
      <w:r w:rsidRPr="00700FDC">
        <w:rPr>
          <w:rFonts w:ascii="Arial" w:hAnsi="Arial" w:cs="Arial"/>
          <w:b/>
          <w:sz w:val="28"/>
          <w:lang w:eastAsia="ja-JP"/>
        </w:rPr>
        <w:t>INTRAVITREAL AFLIBERCEPT FOR PATIENTS WITH DIABETIC MACULAR EDEMA FROM JAPAN</w:t>
      </w:r>
    </w:p>
    <w:p w14:paraId="01EF7E5A" w14:textId="77777777" w:rsidR="0010048A" w:rsidRPr="00700FDC" w:rsidRDefault="0010048A" w:rsidP="0010048A">
      <w:pPr>
        <w:spacing w:after="0" w:line="480" w:lineRule="auto"/>
        <w:rPr>
          <w:rFonts w:ascii="Arial" w:hAnsi="Arial" w:cs="Arial"/>
          <w:b/>
          <w:lang w:eastAsia="ja-JP"/>
        </w:rPr>
      </w:pPr>
      <w:r w:rsidRPr="00700FDC">
        <w:rPr>
          <w:rFonts w:ascii="Arial" w:hAnsi="Arial" w:cs="Arial"/>
          <w:lang w:eastAsia="ja-JP"/>
        </w:rPr>
        <w:t xml:space="preserve">HIROKO TERASAKI, </w:t>
      </w:r>
      <w:r w:rsidRPr="00BA1C77">
        <w:rPr>
          <w:rFonts w:ascii="Arial" w:hAnsi="Arial" w:cs="Arial"/>
          <w:lang w:eastAsia="ja-JP"/>
        </w:rPr>
        <w:t>KUNIHIKO SHIRAKI</w:t>
      </w:r>
      <w:r>
        <w:rPr>
          <w:rFonts w:ascii="Arial" w:hAnsi="Arial" w:cs="Arial"/>
          <w:lang w:eastAsia="ja-JP"/>
        </w:rPr>
        <w:t xml:space="preserve">, </w:t>
      </w:r>
      <w:r w:rsidRPr="00BA1C77">
        <w:rPr>
          <w:rFonts w:ascii="Arial" w:hAnsi="Arial" w:cs="Arial"/>
          <w:lang w:eastAsia="ja-JP"/>
        </w:rPr>
        <w:t>MASAHITO OHJI</w:t>
      </w:r>
      <w:r>
        <w:rPr>
          <w:rFonts w:ascii="Arial" w:hAnsi="Arial" w:cs="Arial"/>
          <w:lang w:eastAsia="ja-JP"/>
        </w:rPr>
        <w:t xml:space="preserve">, </w:t>
      </w:r>
      <w:r w:rsidRPr="00700FDC">
        <w:rPr>
          <w:rFonts w:ascii="Arial" w:hAnsi="Arial" w:cs="Arial"/>
          <w:lang w:eastAsia="ja-JP"/>
        </w:rPr>
        <w:t xml:space="preserve">CAROLA METZIG, THOMAS SCHMELTER, OLIVER ZEITZ, OLAF SOWADE, MASATO KOBAYASHI, </w:t>
      </w:r>
      <w:r w:rsidRPr="004C77EE">
        <w:rPr>
          <w:rFonts w:ascii="Arial" w:hAnsi="Arial" w:cs="Arial"/>
          <w:lang w:eastAsia="ja-JP"/>
        </w:rPr>
        <w:t>ROBERT VITTI AND ALYSON BERLINER</w:t>
      </w:r>
      <w:r>
        <w:rPr>
          <w:rFonts w:ascii="Arial" w:hAnsi="Arial" w:cs="Arial"/>
          <w:lang w:eastAsia="ja-JP"/>
        </w:rPr>
        <w:t>,</w:t>
      </w:r>
      <w:r w:rsidRPr="004C77EE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AND </w:t>
      </w:r>
      <w:r w:rsidRPr="00700FDC">
        <w:rPr>
          <w:rFonts w:ascii="Arial" w:hAnsi="Arial" w:cs="Arial"/>
          <w:lang w:eastAsia="ja-JP"/>
        </w:rPr>
        <w:t>FUMIO SHIRAGA</w:t>
      </w:r>
      <w:r w:rsidRPr="00700FDC" w:rsidDel="00EA5131">
        <w:rPr>
          <w:rFonts w:ascii="Arial" w:hAnsi="Arial" w:cs="Arial"/>
          <w:vertAlign w:val="superscript"/>
          <w:lang w:eastAsia="ja-JP"/>
        </w:rPr>
        <w:t xml:space="preserve"> </w:t>
      </w:r>
    </w:p>
    <w:p w14:paraId="5BCEEE74" w14:textId="77777777" w:rsidR="0010048A" w:rsidRPr="00C65D7D" w:rsidRDefault="0010048A" w:rsidP="0010048A">
      <w:pPr>
        <w:spacing w:line="480" w:lineRule="auto"/>
        <w:rPr>
          <w:rFonts w:ascii="Arial" w:hAnsi="Arial" w:cs="Arial"/>
          <w:b/>
          <w:lang w:eastAsia="ja-JP"/>
        </w:rPr>
      </w:pPr>
    </w:p>
    <w:p w14:paraId="2C9EB4FB" w14:textId="74AC85EC" w:rsidR="0010048A" w:rsidRDefault="00E974E2" w:rsidP="00BB0429">
      <w:pPr>
        <w:spacing w:line="480" w:lineRule="auto"/>
        <w:rPr>
          <w:rFonts w:eastAsia="PMingLiU"/>
          <w:lang w:eastAsia="zh-TW"/>
        </w:rPr>
      </w:pPr>
      <w:r>
        <w:rPr>
          <w:rFonts w:ascii="Arial" w:hAnsi="Arial" w:cs="Arial"/>
          <w:b/>
          <w:lang w:val="en-GB" w:eastAsia="ja-JP"/>
        </w:rPr>
        <w:t>1. E</w:t>
      </w:r>
      <w:r w:rsidRPr="00BE1A47">
        <w:rPr>
          <w:rFonts w:ascii="Arial" w:hAnsi="Arial" w:cs="Arial"/>
          <w:b/>
          <w:lang w:val="en-GB" w:eastAsia="ja-JP"/>
        </w:rPr>
        <w:t xml:space="preserve">xclusion </w:t>
      </w:r>
      <w:r>
        <w:rPr>
          <w:rFonts w:ascii="Arial" w:hAnsi="Arial" w:cs="Arial"/>
          <w:b/>
          <w:lang w:val="en-GB" w:eastAsia="ja-JP"/>
        </w:rPr>
        <w:t>C</w:t>
      </w:r>
      <w:r w:rsidRPr="00BE1A47">
        <w:rPr>
          <w:rFonts w:ascii="Arial" w:hAnsi="Arial" w:cs="Arial"/>
          <w:b/>
          <w:lang w:val="en-GB" w:eastAsia="ja-JP"/>
        </w:rPr>
        <w:t>riteria</w:t>
      </w:r>
    </w:p>
    <w:p w14:paraId="5F91CDAF" w14:textId="77777777" w:rsidR="0010048A" w:rsidRPr="00BE1A47" w:rsidRDefault="0010048A" w:rsidP="0010048A">
      <w:pPr>
        <w:spacing w:line="480" w:lineRule="auto"/>
        <w:rPr>
          <w:rFonts w:ascii="Arial" w:hAnsi="Arial" w:cs="Arial"/>
          <w:lang w:val="en-GB" w:eastAsia="ja-JP"/>
        </w:rPr>
      </w:pPr>
      <w:r>
        <w:rPr>
          <w:rFonts w:ascii="Arial" w:hAnsi="Arial" w:cs="Arial"/>
          <w:lang w:val="en-GB" w:eastAsia="ja-JP"/>
        </w:rPr>
        <w:t>Patients</w:t>
      </w:r>
      <w:r w:rsidRPr="00BE1A47">
        <w:rPr>
          <w:rFonts w:ascii="Arial" w:hAnsi="Arial" w:cs="Arial"/>
          <w:lang w:val="en-GB" w:eastAsia="ja-JP"/>
        </w:rPr>
        <w:t xml:space="preserve"> who met any of the following criteria were excluded from the study:</w:t>
      </w:r>
    </w:p>
    <w:p w14:paraId="778C9DDE" w14:textId="77777777" w:rsidR="0010048A" w:rsidRPr="00BE1A47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BE1A47">
        <w:rPr>
          <w:rFonts w:ascii="Arial" w:hAnsi="Arial" w:cs="Arial"/>
          <w:lang w:val="en-GB" w:eastAsia="ja-JP"/>
        </w:rPr>
        <w:t>Ocular conditions with a poorer prognosis in the fellow eye than in the study eye</w:t>
      </w:r>
    </w:p>
    <w:p w14:paraId="6891520B" w14:textId="77777777" w:rsidR="0010048A" w:rsidRPr="00BE1A47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BE1A47">
        <w:rPr>
          <w:rFonts w:ascii="Arial" w:hAnsi="Arial" w:cs="Arial"/>
          <w:lang w:val="en-GB" w:eastAsia="ja-JP"/>
        </w:rPr>
        <w:t xml:space="preserve">History of </w:t>
      </w:r>
      <w:proofErr w:type="spellStart"/>
      <w:r w:rsidRPr="00BE1A47">
        <w:rPr>
          <w:rFonts w:ascii="Arial" w:hAnsi="Arial" w:cs="Arial"/>
          <w:lang w:val="en-GB" w:eastAsia="ja-JP"/>
        </w:rPr>
        <w:t>vitreoretinal</w:t>
      </w:r>
      <w:proofErr w:type="spellEnd"/>
      <w:r w:rsidRPr="00BE1A47">
        <w:rPr>
          <w:rFonts w:ascii="Arial" w:hAnsi="Arial" w:cs="Arial"/>
          <w:lang w:val="en-GB" w:eastAsia="ja-JP"/>
        </w:rPr>
        <w:t xml:space="preserve"> surgery and/or including scleral buckling in the study eye</w:t>
      </w:r>
    </w:p>
    <w:p w14:paraId="2A056EB4" w14:textId="5A564B7A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BE1A47">
        <w:rPr>
          <w:rFonts w:ascii="Arial" w:hAnsi="Arial" w:cs="Arial"/>
          <w:lang w:val="en-GB" w:eastAsia="ja-JP"/>
        </w:rPr>
        <w:t>Laser photocoagulation (</w:t>
      </w:r>
      <w:proofErr w:type="spellStart"/>
      <w:r w:rsidRPr="00BE1A47">
        <w:rPr>
          <w:rFonts w:ascii="Arial" w:hAnsi="Arial" w:cs="Arial"/>
          <w:lang w:val="en-GB" w:eastAsia="ja-JP"/>
        </w:rPr>
        <w:t>panretinal</w:t>
      </w:r>
      <w:proofErr w:type="spellEnd"/>
      <w:r w:rsidRPr="00BE1A47">
        <w:rPr>
          <w:rFonts w:ascii="Arial" w:hAnsi="Arial" w:cs="Arial"/>
          <w:lang w:val="en-GB" w:eastAsia="ja-JP"/>
        </w:rPr>
        <w:t xml:space="preserve"> or macular) in the study eye within 30 days before</w:t>
      </w:r>
      <w:r w:rsidRPr="00BE1A47">
        <w:rPr>
          <w:rFonts w:ascii="Arial" w:eastAsia="PMingLiU" w:hAnsi="Arial" w:cs="Arial" w:hint="eastAsia"/>
          <w:lang w:val="en-GB" w:eastAsia="zh-TW"/>
        </w:rPr>
        <w:t xml:space="preserve"> </w:t>
      </w:r>
      <w:r w:rsidR="00E974E2">
        <w:rPr>
          <w:rFonts w:ascii="Arial" w:hAnsi="Arial" w:cs="Arial"/>
          <w:lang w:val="en-GB" w:eastAsia="ja-JP"/>
        </w:rPr>
        <w:t>D</w:t>
      </w:r>
      <w:r w:rsidR="00E974E2" w:rsidRPr="00BE1A47">
        <w:rPr>
          <w:rFonts w:ascii="Arial" w:hAnsi="Arial" w:cs="Arial"/>
          <w:lang w:val="en-GB" w:eastAsia="ja-JP"/>
        </w:rPr>
        <w:t xml:space="preserve">ay </w:t>
      </w:r>
      <w:r w:rsidRPr="00BE1A47">
        <w:rPr>
          <w:rFonts w:ascii="Arial" w:hAnsi="Arial" w:cs="Arial"/>
          <w:lang w:val="en-GB" w:eastAsia="ja-JP"/>
        </w:rPr>
        <w:t xml:space="preserve">1 </w:t>
      </w:r>
    </w:p>
    <w:p w14:paraId="2D74A8CA" w14:textId="2CD61056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 xml:space="preserve">Previous use of intraocular or </w:t>
      </w:r>
      <w:proofErr w:type="spellStart"/>
      <w:r w:rsidRPr="00AB1E99">
        <w:rPr>
          <w:rFonts w:ascii="Arial" w:hAnsi="Arial" w:cs="Arial"/>
          <w:lang w:val="en-GB" w:eastAsia="ja-JP"/>
        </w:rPr>
        <w:t>periocular</w:t>
      </w:r>
      <w:proofErr w:type="spellEnd"/>
      <w:r w:rsidRPr="00AB1E99">
        <w:rPr>
          <w:rFonts w:ascii="Arial" w:hAnsi="Arial" w:cs="Arial"/>
          <w:lang w:val="en-GB" w:eastAsia="ja-JP"/>
        </w:rPr>
        <w:t xml:space="preserve"> corticosteroids in the study eye within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 xml:space="preserve">120 days before </w:t>
      </w:r>
      <w:r w:rsidR="00E974E2">
        <w:rPr>
          <w:rFonts w:ascii="Arial" w:hAnsi="Arial" w:cs="Arial"/>
          <w:lang w:val="en-GB" w:eastAsia="ja-JP"/>
        </w:rPr>
        <w:t>D</w:t>
      </w:r>
      <w:r w:rsidR="00E974E2" w:rsidRPr="00AB1E99">
        <w:rPr>
          <w:rFonts w:ascii="Arial" w:hAnsi="Arial" w:cs="Arial"/>
          <w:lang w:val="en-GB" w:eastAsia="ja-JP"/>
        </w:rPr>
        <w:t xml:space="preserve">ay </w:t>
      </w:r>
      <w:r w:rsidRPr="00AB1E99">
        <w:rPr>
          <w:rFonts w:ascii="Arial" w:hAnsi="Arial" w:cs="Arial"/>
          <w:lang w:val="en-GB" w:eastAsia="ja-JP"/>
        </w:rPr>
        <w:t>1</w:t>
      </w:r>
    </w:p>
    <w:p w14:paraId="6F7C061A" w14:textId="6F57FE78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Previous treatment with antiangiogenic drugs (</w:t>
      </w:r>
      <w:proofErr w:type="spellStart"/>
      <w:r w:rsidRPr="00AB1E99">
        <w:rPr>
          <w:rFonts w:ascii="Arial" w:hAnsi="Arial" w:cs="Arial"/>
          <w:lang w:val="en-GB" w:eastAsia="ja-JP"/>
        </w:rPr>
        <w:t>pegaptanib</w:t>
      </w:r>
      <w:proofErr w:type="spellEnd"/>
      <w:r w:rsidRPr="00AB1E99">
        <w:rPr>
          <w:rFonts w:ascii="Arial" w:hAnsi="Arial" w:cs="Arial"/>
          <w:lang w:val="en-GB" w:eastAsia="ja-JP"/>
        </w:rPr>
        <w:t xml:space="preserve"> sodium,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proofErr w:type="spellStart"/>
      <w:r w:rsidRPr="00AB1E99">
        <w:rPr>
          <w:rFonts w:ascii="Arial" w:hAnsi="Arial" w:cs="Arial"/>
          <w:lang w:val="en-GB" w:eastAsia="ja-JP"/>
        </w:rPr>
        <w:t>bevacizumab</w:t>
      </w:r>
      <w:proofErr w:type="spellEnd"/>
      <w:r w:rsidRPr="00AB1E99">
        <w:rPr>
          <w:rFonts w:ascii="Arial" w:hAnsi="Arial" w:cs="Arial"/>
          <w:lang w:val="en-GB" w:eastAsia="ja-JP"/>
        </w:rPr>
        <w:t xml:space="preserve">, </w:t>
      </w:r>
      <w:proofErr w:type="spellStart"/>
      <w:r w:rsidRPr="00AB1E99">
        <w:rPr>
          <w:rFonts w:ascii="Arial" w:hAnsi="Arial" w:cs="Arial"/>
          <w:lang w:val="en-GB" w:eastAsia="ja-JP"/>
        </w:rPr>
        <w:t>ranibizumab</w:t>
      </w:r>
      <w:proofErr w:type="spellEnd"/>
      <w:r>
        <w:rPr>
          <w:rFonts w:ascii="Arial" w:hAnsi="Arial" w:cs="Arial"/>
          <w:lang w:val="en-GB" w:eastAsia="ja-JP"/>
        </w:rPr>
        <w:t>,</w:t>
      </w:r>
      <w:r w:rsidRPr="00AB1E99">
        <w:rPr>
          <w:rFonts w:ascii="Arial" w:hAnsi="Arial" w:cs="Arial"/>
          <w:lang w:val="en-GB" w:eastAsia="ja-JP"/>
        </w:rPr>
        <w:t xml:space="preserve"> </w:t>
      </w:r>
      <w:proofErr w:type="spellStart"/>
      <w:r w:rsidRPr="00AB1E99">
        <w:rPr>
          <w:rFonts w:ascii="Arial" w:hAnsi="Arial" w:cs="Arial"/>
          <w:lang w:val="en-GB" w:eastAsia="ja-JP"/>
        </w:rPr>
        <w:t>etc</w:t>
      </w:r>
      <w:proofErr w:type="spellEnd"/>
      <w:r w:rsidRPr="00AB1E99">
        <w:rPr>
          <w:rFonts w:ascii="Arial" w:hAnsi="Arial" w:cs="Arial"/>
          <w:lang w:val="en-GB" w:eastAsia="ja-JP"/>
        </w:rPr>
        <w:t xml:space="preserve">) in either eye within 90 days before </w:t>
      </w:r>
      <w:r w:rsidR="00E974E2">
        <w:rPr>
          <w:rFonts w:ascii="Arial" w:hAnsi="Arial" w:cs="Arial"/>
          <w:lang w:val="en-GB" w:eastAsia="ja-JP"/>
        </w:rPr>
        <w:t>D</w:t>
      </w:r>
      <w:r w:rsidR="00E974E2" w:rsidRPr="00AB1E99">
        <w:rPr>
          <w:rFonts w:ascii="Arial" w:hAnsi="Arial" w:cs="Arial"/>
          <w:lang w:val="en-GB" w:eastAsia="ja-JP"/>
        </w:rPr>
        <w:t xml:space="preserve">ay </w:t>
      </w:r>
      <w:r w:rsidRPr="00AB1E99">
        <w:rPr>
          <w:rFonts w:ascii="Arial" w:hAnsi="Arial" w:cs="Arial"/>
          <w:lang w:val="en-GB" w:eastAsia="ja-JP"/>
        </w:rPr>
        <w:t>1</w:t>
      </w:r>
    </w:p>
    <w:p w14:paraId="0403008B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Active proliferative diabetic retinopathy in the study eye</w:t>
      </w:r>
    </w:p>
    <w:p w14:paraId="023899F5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History of idiopathic or autoimmune uveitis in the study eye</w:t>
      </w:r>
    </w:p>
    <w:p w14:paraId="50770E17" w14:textId="6F7C8C9F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 xml:space="preserve">Cataract surgery in the study eye within 90 days before </w:t>
      </w:r>
      <w:r w:rsidR="00E974E2">
        <w:rPr>
          <w:rFonts w:ascii="Arial" w:hAnsi="Arial" w:cs="Arial"/>
          <w:lang w:val="en-GB" w:eastAsia="ja-JP"/>
        </w:rPr>
        <w:t>D</w:t>
      </w:r>
      <w:r w:rsidR="00E974E2" w:rsidRPr="00AB1E99">
        <w:rPr>
          <w:rFonts w:ascii="Arial" w:hAnsi="Arial" w:cs="Arial"/>
          <w:lang w:val="en-GB" w:eastAsia="ja-JP"/>
        </w:rPr>
        <w:t xml:space="preserve">ay </w:t>
      </w:r>
      <w:r w:rsidRPr="00AB1E99">
        <w:rPr>
          <w:rFonts w:ascii="Arial" w:hAnsi="Arial" w:cs="Arial"/>
          <w:lang w:val="en-GB" w:eastAsia="ja-JP"/>
        </w:rPr>
        <w:t xml:space="preserve">1 </w:t>
      </w:r>
    </w:p>
    <w:p w14:paraId="02646A25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proofErr w:type="spellStart"/>
      <w:r w:rsidRPr="00AB1E99">
        <w:rPr>
          <w:rFonts w:ascii="Arial" w:hAnsi="Arial" w:cs="Arial"/>
          <w:lang w:val="en-GB" w:eastAsia="ja-JP"/>
        </w:rPr>
        <w:t>Aphakia</w:t>
      </w:r>
      <w:proofErr w:type="spellEnd"/>
      <w:r w:rsidRPr="00AB1E99">
        <w:rPr>
          <w:rFonts w:ascii="Arial" w:hAnsi="Arial" w:cs="Arial"/>
          <w:lang w:val="en-GB" w:eastAsia="ja-JP"/>
        </w:rPr>
        <w:t xml:space="preserve"> in the study eye</w:t>
      </w:r>
    </w:p>
    <w:p w14:paraId="6148B321" w14:textId="5B9DAFD8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 xml:space="preserve">Yttrium-aluminium-garnet </w:t>
      </w:r>
      <w:proofErr w:type="spellStart"/>
      <w:r w:rsidRPr="00AB1E99">
        <w:rPr>
          <w:rFonts w:ascii="Arial" w:hAnsi="Arial" w:cs="Arial"/>
          <w:lang w:val="en-GB" w:eastAsia="ja-JP"/>
        </w:rPr>
        <w:t>capsulotomy</w:t>
      </w:r>
      <w:proofErr w:type="spellEnd"/>
      <w:r w:rsidRPr="00AB1E99">
        <w:rPr>
          <w:rFonts w:ascii="Arial" w:hAnsi="Arial" w:cs="Arial"/>
          <w:lang w:val="en-GB" w:eastAsia="ja-JP"/>
        </w:rPr>
        <w:t xml:space="preserve"> in the study eye within 30 days before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="00E974E2">
        <w:rPr>
          <w:rFonts w:ascii="Arial" w:hAnsi="Arial" w:cs="Arial"/>
          <w:lang w:val="en-GB" w:eastAsia="ja-JP"/>
        </w:rPr>
        <w:t>D</w:t>
      </w:r>
      <w:r w:rsidR="00E974E2" w:rsidRPr="00AB1E99">
        <w:rPr>
          <w:rFonts w:ascii="Arial" w:hAnsi="Arial" w:cs="Arial"/>
          <w:lang w:val="en-GB" w:eastAsia="ja-JP"/>
        </w:rPr>
        <w:t xml:space="preserve">ay </w:t>
      </w:r>
      <w:r w:rsidRPr="00AB1E99">
        <w:rPr>
          <w:rFonts w:ascii="Arial" w:hAnsi="Arial" w:cs="Arial"/>
          <w:lang w:val="en-GB" w:eastAsia="ja-JP"/>
        </w:rPr>
        <w:t>1</w:t>
      </w:r>
    </w:p>
    <w:p w14:paraId="3D0CE0D7" w14:textId="1F2A1595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 xml:space="preserve">Any other intraocular surgery in the study eye within 90 days before </w:t>
      </w:r>
      <w:r w:rsidR="00E974E2">
        <w:rPr>
          <w:rFonts w:ascii="Arial" w:hAnsi="Arial" w:cs="Arial"/>
          <w:lang w:val="en-GB" w:eastAsia="ja-JP"/>
        </w:rPr>
        <w:t>D</w:t>
      </w:r>
      <w:r w:rsidR="00E974E2" w:rsidRPr="00AB1E99">
        <w:rPr>
          <w:rFonts w:ascii="Arial" w:hAnsi="Arial" w:cs="Arial"/>
          <w:lang w:val="en-GB" w:eastAsia="ja-JP"/>
        </w:rPr>
        <w:t xml:space="preserve">ay </w:t>
      </w:r>
      <w:r w:rsidRPr="00AB1E99">
        <w:rPr>
          <w:rFonts w:ascii="Arial" w:hAnsi="Arial" w:cs="Arial"/>
          <w:lang w:val="en-GB" w:eastAsia="ja-JP"/>
        </w:rPr>
        <w:t xml:space="preserve">1 </w:t>
      </w:r>
    </w:p>
    <w:p w14:paraId="321A7F82" w14:textId="2C8AC0CF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proofErr w:type="spellStart"/>
      <w:r w:rsidRPr="00AB1E99">
        <w:rPr>
          <w:rFonts w:ascii="Arial" w:hAnsi="Arial" w:cs="Arial"/>
          <w:lang w:val="en-GB" w:eastAsia="ja-JP"/>
        </w:rPr>
        <w:t>Vitreomacular</w:t>
      </w:r>
      <w:proofErr w:type="spellEnd"/>
      <w:r w:rsidRPr="00AB1E99">
        <w:rPr>
          <w:rFonts w:ascii="Arial" w:hAnsi="Arial" w:cs="Arial"/>
          <w:lang w:val="en-GB" w:eastAsia="ja-JP"/>
        </w:rPr>
        <w:t xml:space="preserve"> traction or </w:t>
      </w:r>
      <w:proofErr w:type="spellStart"/>
      <w:r w:rsidRPr="00AB1E99">
        <w:rPr>
          <w:rFonts w:ascii="Arial" w:hAnsi="Arial" w:cs="Arial"/>
          <w:lang w:val="en-GB" w:eastAsia="ja-JP"/>
        </w:rPr>
        <w:t>epiretinal</w:t>
      </w:r>
      <w:proofErr w:type="spellEnd"/>
      <w:r w:rsidRPr="00AB1E99">
        <w:rPr>
          <w:rFonts w:ascii="Arial" w:hAnsi="Arial" w:cs="Arial"/>
          <w:lang w:val="en-GB" w:eastAsia="ja-JP"/>
        </w:rPr>
        <w:t xml:space="preserve"> membrane in the study eye evident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proofErr w:type="spellStart"/>
      <w:r w:rsidRPr="00AB1E99">
        <w:rPr>
          <w:rFonts w:ascii="Arial" w:hAnsi="Arial" w:cs="Arial"/>
          <w:lang w:val="en-GB" w:eastAsia="ja-JP"/>
        </w:rPr>
        <w:t>biomicroscopically</w:t>
      </w:r>
      <w:proofErr w:type="spellEnd"/>
      <w:r w:rsidRPr="00AB1E99">
        <w:rPr>
          <w:rFonts w:ascii="Arial" w:hAnsi="Arial" w:cs="Arial"/>
          <w:lang w:val="en-GB" w:eastAsia="ja-JP"/>
        </w:rPr>
        <w:t xml:space="preserve"> or on </w:t>
      </w:r>
      <w:r w:rsidR="00E974E2">
        <w:rPr>
          <w:rFonts w:ascii="Arial" w:hAnsi="Arial" w:cs="Arial"/>
          <w:lang w:val="en-GB" w:eastAsia="ja-JP"/>
        </w:rPr>
        <w:t>optical coherence tomography</w:t>
      </w:r>
      <w:r w:rsidR="00E974E2" w:rsidRPr="00AB1E99">
        <w:rPr>
          <w:rFonts w:ascii="Arial" w:hAnsi="Arial" w:cs="Arial"/>
          <w:lang w:val="en-GB" w:eastAsia="ja-JP"/>
        </w:rPr>
        <w:t xml:space="preserve"> </w:t>
      </w:r>
      <w:r w:rsidRPr="00AB1E99">
        <w:rPr>
          <w:rFonts w:ascii="Arial" w:hAnsi="Arial" w:cs="Arial"/>
          <w:lang w:val="en-GB" w:eastAsia="ja-JP"/>
        </w:rPr>
        <w:t>that was thought to affect central vision</w:t>
      </w:r>
      <w:r>
        <w:rPr>
          <w:rFonts w:ascii="Arial" w:eastAsia="PMingLiU" w:hAnsi="Arial" w:cs="Arial" w:hint="eastAsia"/>
          <w:lang w:val="en-GB" w:eastAsia="zh-TW"/>
        </w:rPr>
        <w:t xml:space="preserve"> </w:t>
      </w:r>
    </w:p>
    <w:p w14:paraId="3D9A6B2E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lastRenderedPageBreak/>
        <w:t xml:space="preserve">Current iris neovascularization, vitreous </w:t>
      </w:r>
      <w:proofErr w:type="spellStart"/>
      <w:r w:rsidRPr="00AB1E99">
        <w:rPr>
          <w:rFonts w:ascii="Arial" w:hAnsi="Arial" w:cs="Arial"/>
          <w:lang w:val="en-GB" w:eastAsia="ja-JP"/>
        </w:rPr>
        <w:t>hemorrhage</w:t>
      </w:r>
      <w:proofErr w:type="spellEnd"/>
      <w:r w:rsidRPr="00AB1E99">
        <w:rPr>
          <w:rFonts w:ascii="Arial" w:hAnsi="Arial" w:cs="Arial"/>
          <w:lang w:val="en-GB" w:eastAsia="ja-JP"/>
        </w:rPr>
        <w:t xml:space="preserve">, or </w:t>
      </w:r>
      <w:proofErr w:type="spellStart"/>
      <w:r w:rsidRPr="00AB1E99">
        <w:rPr>
          <w:rFonts w:ascii="Arial" w:hAnsi="Arial" w:cs="Arial"/>
          <w:lang w:val="en-GB" w:eastAsia="ja-JP"/>
        </w:rPr>
        <w:t>tractional</w:t>
      </w:r>
      <w:proofErr w:type="spellEnd"/>
      <w:r w:rsidRPr="00AB1E99">
        <w:rPr>
          <w:rFonts w:ascii="Arial" w:hAnsi="Arial" w:cs="Arial"/>
          <w:lang w:val="en-GB" w:eastAsia="ja-JP"/>
        </w:rPr>
        <w:t xml:space="preserve"> retinal detachment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in the study eye</w:t>
      </w:r>
    </w:p>
    <w:p w14:paraId="680E8C17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proofErr w:type="spellStart"/>
      <w:r w:rsidRPr="00AB1E99">
        <w:rPr>
          <w:rFonts w:ascii="Arial" w:hAnsi="Arial" w:cs="Arial"/>
          <w:lang w:val="en-GB" w:eastAsia="ja-JP"/>
        </w:rPr>
        <w:t>Preretinal</w:t>
      </w:r>
      <w:proofErr w:type="spellEnd"/>
      <w:r w:rsidRPr="00AB1E99">
        <w:rPr>
          <w:rFonts w:ascii="Arial" w:hAnsi="Arial" w:cs="Arial"/>
          <w:lang w:val="en-GB" w:eastAsia="ja-JP"/>
        </w:rPr>
        <w:t xml:space="preserve"> fibrosis involving the macula in the study eye</w:t>
      </w:r>
    </w:p>
    <w:p w14:paraId="11213A08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 xml:space="preserve">Structural damage to the </w:t>
      </w:r>
      <w:proofErr w:type="spellStart"/>
      <w:r w:rsidRPr="00AB1E99">
        <w:rPr>
          <w:rFonts w:ascii="Arial" w:hAnsi="Arial" w:cs="Arial"/>
          <w:lang w:val="en-GB" w:eastAsia="ja-JP"/>
        </w:rPr>
        <w:t>center</w:t>
      </w:r>
      <w:proofErr w:type="spellEnd"/>
      <w:r w:rsidRPr="00AB1E99">
        <w:rPr>
          <w:rFonts w:ascii="Arial" w:hAnsi="Arial" w:cs="Arial"/>
          <w:lang w:val="en-GB" w:eastAsia="ja-JP"/>
        </w:rPr>
        <w:t xml:space="preserve"> of the macula in the study eye that was likely to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 xml:space="preserve">preclude improvement in </w:t>
      </w:r>
      <w:r>
        <w:rPr>
          <w:rFonts w:ascii="Arial" w:hAnsi="Arial" w:cs="Arial"/>
          <w:lang w:val="en-GB" w:eastAsia="ja-JP"/>
        </w:rPr>
        <w:t xml:space="preserve">best-corrected visual acuity </w:t>
      </w:r>
      <w:r w:rsidRPr="00AB1E99">
        <w:rPr>
          <w:rFonts w:ascii="Arial" w:hAnsi="Arial" w:cs="Arial"/>
          <w:lang w:val="en-GB" w:eastAsia="ja-JP"/>
        </w:rPr>
        <w:t xml:space="preserve">following the resolution of macular </w:t>
      </w:r>
      <w:proofErr w:type="spellStart"/>
      <w:r w:rsidRPr="00AB1E99">
        <w:rPr>
          <w:rFonts w:ascii="Arial" w:hAnsi="Arial" w:cs="Arial"/>
          <w:lang w:val="en-GB" w:eastAsia="ja-JP"/>
        </w:rPr>
        <w:t>edema</w:t>
      </w:r>
      <w:proofErr w:type="spellEnd"/>
      <w:r>
        <w:rPr>
          <w:rFonts w:ascii="Arial" w:hAnsi="Arial" w:cs="Arial"/>
          <w:lang w:val="en-GB" w:eastAsia="ja-JP"/>
        </w:rPr>
        <w:t>,</w:t>
      </w:r>
      <w:r w:rsidRPr="00AB1E99">
        <w:rPr>
          <w:rFonts w:ascii="Arial" w:hAnsi="Arial" w:cs="Arial"/>
          <w:lang w:val="en-GB" w:eastAsia="ja-JP"/>
        </w:rPr>
        <w:t xml:space="preserve"> including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 xml:space="preserve">atrophy of the retinal pigment epithelium, </w:t>
      </w:r>
      <w:proofErr w:type="spellStart"/>
      <w:r w:rsidRPr="00AB1E99">
        <w:rPr>
          <w:rFonts w:ascii="Arial" w:hAnsi="Arial" w:cs="Arial"/>
          <w:lang w:val="en-GB" w:eastAsia="ja-JP"/>
        </w:rPr>
        <w:t>subretinal</w:t>
      </w:r>
      <w:proofErr w:type="spellEnd"/>
      <w:r w:rsidRPr="00AB1E99">
        <w:rPr>
          <w:rFonts w:ascii="Arial" w:hAnsi="Arial" w:cs="Arial"/>
          <w:lang w:val="en-GB" w:eastAsia="ja-JP"/>
        </w:rPr>
        <w:t xml:space="preserve"> fibrosis or scar, significant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macular ischemia</w:t>
      </w:r>
      <w:r>
        <w:rPr>
          <w:rFonts w:ascii="Arial" w:hAnsi="Arial" w:cs="Arial"/>
          <w:lang w:val="en-GB" w:eastAsia="ja-JP"/>
        </w:rPr>
        <w:t>,</w:t>
      </w:r>
      <w:r w:rsidRPr="00AB1E99">
        <w:rPr>
          <w:rFonts w:ascii="Arial" w:hAnsi="Arial" w:cs="Arial"/>
          <w:lang w:val="en-GB" w:eastAsia="ja-JP"/>
        </w:rPr>
        <w:t xml:space="preserve"> or organized hard exudates</w:t>
      </w:r>
    </w:p>
    <w:p w14:paraId="42BBF90E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Ocular inflammation including trace or above in the study eye</w:t>
      </w:r>
    </w:p>
    <w:p w14:paraId="404E781C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 xml:space="preserve">Evidence of infectious </w:t>
      </w:r>
      <w:proofErr w:type="spellStart"/>
      <w:r w:rsidRPr="00AB1E99">
        <w:rPr>
          <w:rFonts w:ascii="Arial" w:hAnsi="Arial" w:cs="Arial"/>
          <w:lang w:val="en-GB" w:eastAsia="ja-JP"/>
        </w:rPr>
        <w:t>blepharitis</w:t>
      </w:r>
      <w:proofErr w:type="spellEnd"/>
      <w:r w:rsidRPr="00AB1E99">
        <w:rPr>
          <w:rFonts w:ascii="Arial" w:hAnsi="Arial" w:cs="Arial"/>
          <w:lang w:val="en-GB" w:eastAsia="ja-JP"/>
        </w:rPr>
        <w:t xml:space="preserve">, keratitis, </w:t>
      </w:r>
      <w:proofErr w:type="spellStart"/>
      <w:r w:rsidRPr="00AB1E99">
        <w:rPr>
          <w:rFonts w:ascii="Arial" w:hAnsi="Arial" w:cs="Arial"/>
          <w:lang w:val="en-GB" w:eastAsia="ja-JP"/>
        </w:rPr>
        <w:t>scleritis</w:t>
      </w:r>
      <w:proofErr w:type="spellEnd"/>
      <w:r w:rsidRPr="00AB1E99">
        <w:rPr>
          <w:rFonts w:ascii="Arial" w:hAnsi="Arial" w:cs="Arial"/>
          <w:lang w:val="en-GB" w:eastAsia="ja-JP"/>
        </w:rPr>
        <w:t>, or conjunctivitis in either eye</w:t>
      </w:r>
    </w:p>
    <w:p w14:paraId="1D62A4D6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Filtration surgery for glaucoma on the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 xml:space="preserve">study eye in the past or likely to be needed in the future </w:t>
      </w:r>
    </w:p>
    <w:p w14:paraId="6C5A7756" w14:textId="62138A35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Intraocular pressure ≥25 mmHg in the study eye</w:t>
      </w:r>
    </w:p>
    <w:p w14:paraId="65A11706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Myopia of a spherical equivalent prior to any possible refractive or cataract surgery of</w:t>
      </w:r>
      <w:r>
        <w:rPr>
          <w:rFonts w:ascii="Arial" w:hAnsi="Arial" w:cs="Arial"/>
          <w:lang w:val="en-GB" w:eastAsia="ja-JP"/>
        </w:rPr>
        <w:t xml:space="preserve"> –</w:t>
      </w:r>
      <w:r w:rsidRPr="00AB1E99">
        <w:rPr>
          <w:rFonts w:ascii="Arial" w:hAnsi="Arial" w:cs="Arial"/>
          <w:lang w:val="en-GB" w:eastAsia="ja-JP"/>
        </w:rPr>
        <w:t xml:space="preserve">8 </w:t>
      </w:r>
      <w:r>
        <w:rPr>
          <w:rFonts w:ascii="Arial" w:hAnsi="Arial" w:cs="Arial"/>
          <w:lang w:val="en-GB" w:eastAsia="ja-JP"/>
        </w:rPr>
        <w:t xml:space="preserve">or more </w:t>
      </w:r>
      <w:proofErr w:type="spellStart"/>
      <w:r w:rsidRPr="00AB1E99">
        <w:rPr>
          <w:rFonts w:ascii="Arial" w:hAnsi="Arial" w:cs="Arial"/>
          <w:lang w:val="en-GB" w:eastAsia="ja-JP"/>
        </w:rPr>
        <w:t>diopters</w:t>
      </w:r>
      <w:proofErr w:type="spellEnd"/>
    </w:p>
    <w:p w14:paraId="6FFD39E3" w14:textId="22A9F842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 xml:space="preserve">Concurrent disease in the study eye, other than </w:t>
      </w:r>
      <w:r w:rsidR="00E974E2">
        <w:rPr>
          <w:rFonts w:ascii="Arial" w:hAnsi="Arial" w:cs="Arial"/>
          <w:lang w:val="en-GB" w:eastAsia="ja-JP"/>
        </w:rPr>
        <w:t xml:space="preserve">diabetic macular </w:t>
      </w:r>
      <w:proofErr w:type="spellStart"/>
      <w:r w:rsidR="00E974E2">
        <w:rPr>
          <w:rFonts w:ascii="Arial" w:hAnsi="Arial" w:cs="Arial"/>
          <w:lang w:val="en-GB" w:eastAsia="ja-JP"/>
        </w:rPr>
        <w:t>edema</w:t>
      </w:r>
      <w:proofErr w:type="spellEnd"/>
      <w:r w:rsidRPr="00AB1E99">
        <w:rPr>
          <w:rFonts w:ascii="Arial" w:hAnsi="Arial" w:cs="Arial"/>
          <w:lang w:val="en-GB" w:eastAsia="ja-JP"/>
        </w:rPr>
        <w:t xml:space="preserve">, that could compromise </w:t>
      </w:r>
      <w:r>
        <w:rPr>
          <w:rFonts w:ascii="Arial" w:hAnsi="Arial" w:cs="Arial"/>
          <w:lang w:val="en-GB" w:eastAsia="ja-JP"/>
        </w:rPr>
        <w:t>visual acuity</w:t>
      </w:r>
      <w:r w:rsidRPr="00AB1E99">
        <w:rPr>
          <w:rFonts w:ascii="Arial" w:hAnsi="Arial" w:cs="Arial"/>
          <w:lang w:val="en-GB" w:eastAsia="ja-JP"/>
        </w:rPr>
        <w:t>,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require medical or surgical intervention during the study period, or confound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interpretation of the results (including retinal vascular occlusion, retinal detachment,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macular hole, or choroidal neovascularization of any cause)</w:t>
      </w:r>
    </w:p>
    <w:p w14:paraId="60A2AB34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Only 1 functional eye even if that eye was otherwise eligible for the study</w:t>
      </w:r>
    </w:p>
    <w:p w14:paraId="5B8EDFE7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 xml:space="preserve">Ocular media of insufficient quality to obtain fundus and </w:t>
      </w:r>
      <w:r>
        <w:rPr>
          <w:rFonts w:ascii="Arial" w:hAnsi="Arial" w:cs="Arial"/>
          <w:lang w:val="en-GB" w:eastAsia="ja-JP"/>
        </w:rPr>
        <w:t>optical coherence tomographic</w:t>
      </w:r>
      <w:r w:rsidRPr="00AB1E99">
        <w:rPr>
          <w:rFonts w:ascii="Arial" w:hAnsi="Arial" w:cs="Arial"/>
          <w:lang w:val="en-GB" w:eastAsia="ja-JP"/>
        </w:rPr>
        <w:t xml:space="preserve"> images</w:t>
      </w:r>
    </w:p>
    <w:p w14:paraId="13307DFB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Current treatment for a serious systemic infection</w:t>
      </w:r>
    </w:p>
    <w:p w14:paraId="465DD096" w14:textId="0D2E0E6E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 xml:space="preserve">Administration of systemic antiangiogenic agents within 180 days before </w:t>
      </w:r>
      <w:r w:rsidR="00E974E2">
        <w:rPr>
          <w:rFonts w:ascii="Arial" w:hAnsi="Arial" w:cs="Arial"/>
          <w:lang w:val="en-GB" w:eastAsia="ja-JP"/>
        </w:rPr>
        <w:t>D</w:t>
      </w:r>
      <w:r w:rsidR="00E974E2" w:rsidRPr="00AB1E99">
        <w:rPr>
          <w:rFonts w:ascii="Arial" w:hAnsi="Arial" w:cs="Arial"/>
          <w:lang w:val="en-GB" w:eastAsia="ja-JP"/>
        </w:rPr>
        <w:t xml:space="preserve">ay </w:t>
      </w:r>
      <w:r w:rsidRPr="00AB1E99">
        <w:rPr>
          <w:rFonts w:ascii="Arial" w:hAnsi="Arial" w:cs="Arial"/>
          <w:lang w:val="en-GB" w:eastAsia="ja-JP"/>
        </w:rPr>
        <w:t>1</w:t>
      </w:r>
    </w:p>
    <w:p w14:paraId="1817F27F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Uncontrolled diabetes mellitus, as defined by HbA</w:t>
      </w:r>
      <w:r w:rsidRPr="00BB0429">
        <w:rPr>
          <w:rFonts w:ascii="Arial" w:hAnsi="Arial" w:cs="Arial"/>
          <w:vertAlign w:val="subscript"/>
          <w:lang w:val="en-GB" w:eastAsia="ja-JP"/>
        </w:rPr>
        <w:t>1c</w:t>
      </w:r>
      <w:r w:rsidRPr="00AB1E99">
        <w:rPr>
          <w:rFonts w:ascii="Arial" w:hAnsi="Arial" w:cs="Arial"/>
          <w:lang w:val="en-GB" w:eastAsia="ja-JP"/>
        </w:rPr>
        <w:t xml:space="preserve"> &gt;12%</w:t>
      </w:r>
      <w:r>
        <w:rPr>
          <w:rFonts w:ascii="Arial" w:eastAsia="PMingLiU" w:hAnsi="Arial" w:cs="Arial" w:hint="eastAsia"/>
          <w:lang w:val="en-GB" w:eastAsia="zh-TW"/>
        </w:rPr>
        <w:t xml:space="preserve"> </w:t>
      </w:r>
    </w:p>
    <w:p w14:paraId="69BEAA1B" w14:textId="1610E146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Uncontrolled blood pressure (defined as systolic &gt;160 mmHg or diastolic &gt;95 mmHg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 xml:space="preserve">while </w:t>
      </w:r>
      <w:r>
        <w:rPr>
          <w:rFonts w:ascii="Arial" w:hAnsi="Arial" w:cs="Arial"/>
          <w:lang w:val="en-GB" w:eastAsia="ja-JP"/>
        </w:rPr>
        <w:t>patient</w:t>
      </w:r>
      <w:r w:rsidRPr="00AB1E99">
        <w:rPr>
          <w:rFonts w:ascii="Arial" w:hAnsi="Arial" w:cs="Arial"/>
          <w:lang w:val="en-GB" w:eastAsia="ja-JP"/>
        </w:rPr>
        <w:t xml:space="preserve"> is sitting)</w:t>
      </w:r>
    </w:p>
    <w:p w14:paraId="5290C1F2" w14:textId="0F9A869B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lastRenderedPageBreak/>
        <w:t>History of cerebral vascular accident and/or myocardial infarction within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 xml:space="preserve">180 days before </w:t>
      </w:r>
      <w:r w:rsidR="00E974E2">
        <w:rPr>
          <w:rFonts w:ascii="Arial" w:hAnsi="Arial" w:cs="Arial"/>
          <w:lang w:val="en-GB" w:eastAsia="ja-JP"/>
        </w:rPr>
        <w:t>D</w:t>
      </w:r>
      <w:r w:rsidR="00E974E2" w:rsidRPr="00AB1E99">
        <w:rPr>
          <w:rFonts w:ascii="Arial" w:hAnsi="Arial" w:cs="Arial"/>
          <w:lang w:val="en-GB" w:eastAsia="ja-JP"/>
        </w:rPr>
        <w:t xml:space="preserve">ay </w:t>
      </w:r>
      <w:r w:rsidRPr="00AB1E99">
        <w:rPr>
          <w:rFonts w:ascii="Arial" w:hAnsi="Arial" w:cs="Arial"/>
          <w:lang w:val="en-GB" w:eastAsia="ja-JP"/>
        </w:rPr>
        <w:t>1</w:t>
      </w:r>
    </w:p>
    <w:p w14:paraId="166D4F96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Renal failure requiring dialysis or renal transplant</w:t>
      </w:r>
    </w:p>
    <w:p w14:paraId="7A92EBD4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History of other disease, metabolic dysfunction, physical examination finding, or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clinical laboratory finding giving reasonable suspicion of a disease or condition that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contraindicated the use of an investigational drug, might affect interpretation of the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 xml:space="preserve">results of the study, or rendered the </w:t>
      </w:r>
      <w:r>
        <w:rPr>
          <w:rFonts w:ascii="Arial" w:hAnsi="Arial" w:cs="Arial"/>
          <w:lang w:val="en-GB" w:eastAsia="ja-JP"/>
        </w:rPr>
        <w:t>patient</w:t>
      </w:r>
      <w:r w:rsidRPr="00AB1E99">
        <w:rPr>
          <w:rFonts w:ascii="Arial" w:hAnsi="Arial" w:cs="Arial"/>
          <w:lang w:val="en-GB" w:eastAsia="ja-JP"/>
        </w:rPr>
        <w:t xml:space="preserve"> at high risk for treatment complications</w:t>
      </w:r>
    </w:p>
    <w:p w14:paraId="716E2903" w14:textId="362AADEB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Pregnant or breastfeeding women</w:t>
      </w:r>
    </w:p>
    <w:p w14:paraId="2A2841D1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Women of childbearing potential with either a positive pregnancy test result or no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 xml:space="preserve">pregnancy test at baseline. Postmenopausal women had to be </w:t>
      </w:r>
      <w:proofErr w:type="spellStart"/>
      <w:r w:rsidRPr="00AB1E99">
        <w:rPr>
          <w:rFonts w:ascii="Arial" w:hAnsi="Arial" w:cs="Arial"/>
          <w:lang w:val="en-GB" w:eastAsia="ja-JP"/>
        </w:rPr>
        <w:t>amenorrheic</w:t>
      </w:r>
      <w:proofErr w:type="spellEnd"/>
      <w:r w:rsidRPr="00AB1E99">
        <w:rPr>
          <w:rFonts w:ascii="Arial" w:hAnsi="Arial" w:cs="Arial"/>
          <w:lang w:val="en-GB" w:eastAsia="ja-JP"/>
        </w:rPr>
        <w:t xml:space="preserve"> for at least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12 months in order not to be considered of childbearing potential</w:t>
      </w:r>
    </w:p>
    <w:p w14:paraId="6571ADCA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Sexually active men or women of childbearing potential who were unwilling to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practice adequate contraception during the study are excluded (adequate contraceptive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measures included stable use of oral contraceptives or other prescription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pharmaceutical contraceptives for 2 or more menstrual cycles prior to screening;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intrauterine device; bilateral tubal ligation; vasectomy; condom plus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contraceptive sponge, foam, or jelly or diaphragm plus contraceptive sponge, foam, or</w:t>
      </w:r>
      <w:r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jelly)</w:t>
      </w:r>
    </w:p>
    <w:p w14:paraId="5525076E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Allergy to fluorescein</w:t>
      </w:r>
      <w:r>
        <w:rPr>
          <w:rFonts w:ascii="Arial" w:eastAsia="PMingLiU" w:hAnsi="Arial" w:cs="Arial" w:hint="eastAsia"/>
          <w:lang w:val="en-GB" w:eastAsia="zh-TW"/>
        </w:rPr>
        <w:t xml:space="preserve"> </w:t>
      </w:r>
    </w:p>
    <w:p w14:paraId="089AFA21" w14:textId="7777777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Participation in an investigational study within 30 days prior to screening visit that</w:t>
      </w:r>
      <w:r w:rsidRPr="00AB1E99"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involved treatment with any drug (excluding vitamins and minerals) or device</w:t>
      </w:r>
    </w:p>
    <w:p w14:paraId="3C7A7E6F" w14:textId="3F0FD237" w:rsidR="0010048A" w:rsidRPr="00AB1E99" w:rsidRDefault="0010048A" w:rsidP="0010048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lang w:val="en-GB" w:eastAsia="ja-JP"/>
        </w:rPr>
      </w:pPr>
      <w:r w:rsidRPr="00AB1E99">
        <w:rPr>
          <w:rFonts w:ascii="Arial" w:hAnsi="Arial" w:cs="Arial"/>
          <w:lang w:val="en-GB" w:eastAsia="ja-JP"/>
        </w:rPr>
        <w:t>Persons with close affiliation with the investigational site, e</w:t>
      </w:r>
      <w:r w:rsidR="00E974E2">
        <w:rPr>
          <w:rFonts w:ascii="Arial" w:hAnsi="Arial" w:cs="Arial"/>
          <w:lang w:val="en-GB" w:eastAsia="ja-JP"/>
        </w:rPr>
        <w:t>.</w:t>
      </w:r>
      <w:r w:rsidRPr="00AB1E99">
        <w:rPr>
          <w:rFonts w:ascii="Arial" w:hAnsi="Arial" w:cs="Arial"/>
          <w:lang w:val="en-GB" w:eastAsia="ja-JP"/>
        </w:rPr>
        <w:t>g</w:t>
      </w:r>
      <w:r w:rsidR="00E974E2">
        <w:rPr>
          <w:rFonts w:ascii="Arial" w:hAnsi="Arial" w:cs="Arial"/>
          <w:lang w:val="en-GB" w:eastAsia="ja-JP"/>
        </w:rPr>
        <w:t>.</w:t>
      </w:r>
      <w:r w:rsidRPr="00AB1E99">
        <w:rPr>
          <w:rFonts w:ascii="Arial" w:hAnsi="Arial" w:cs="Arial"/>
          <w:lang w:val="en-GB" w:eastAsia="ja-JP"/>
        </w:rPr>
        <w:t>, close relatives of the</w:t>
      </w:r>
      <w:r>
        <w:rPr>
          <w:rFonts w:ascii="Arial" w:eastAsia="PMingLiU" w:hAnsi="Arial" w:cs="Arial" w:hint="eastAsia"/>
          <w:lang w:val="en-GB" w:eastAsia="zh-TW"/>
        </w:rPr>
        <w:t xml:space="preserve"> </w:t>
      </w:r>
      <w:r w:rsidRPr="00AB1E99">
        <w:rPr>
          <w:rFonts w:ascii="Arial" w:hAnsi="Arial" w:cs="Arial"/>
          <w:lang w:val="en-GB" w:eastAsia="ja-JP"/>
        </w:rPr>
        <w:t>investigator, dependent persons, employees or students of the investigational site</w:t>
      </w:r>
    </w:p>
    <w:p w14:paraId="425135E0" w14:textId="77777777" w:rsidR="0010048A" w:rsidRPr="00BE1A47" w:rsidRDefault="0010048A" w:rsidP="0010048A">
      <w:pPr>
        <w:spacing w:line="480" w:lineRule="auto"/>
        <w:rPr>
          <w:rFonts w:ascii="Arial" w:hAnsi="Arial" w:cs="Arial"/>
          <w:b/>
          <w:lang w:val="en-GB" w:eastAsia="ja-JP"/>
        </w:rPr>
      </w:pPr>
    </w:p>
    <w:p w14:paraId="408CAC24" w14:textId="77777777" w:rsidR="0010048A" w:rsidRDefault="0010048A" w:rsidP="0010048A">
      <w:pPr>
        <w:rPr>
          <w:rFonts w:ascii="Arial" w:eastAsia="PMingLiU" w:hAnsi="Arial" w:cs="Arial"/>
          <w:b/>
          <w:lang w:val="en-GB" w:eastAsia="zh-TW"/>
        </w:rPr>
      </w:pPr>
      <w:r>
        <w:rPr>
          <w:rFonts w:ascii="Arial" w:eastAsia="PMingLiU" w:hAnsi="Arial" w:cs="Arial"/>
          <w:b/>
          <w:lang w:val="en-GB" w:eastAsia="zh-TW"/>
        </w:rPr>
        <w:br w:type="page"/>
      </w:r>
    </w:p>
    <w:p w14:paraId="6FB4ABC7" w14:textId="17593B2B" w:rsidR="0010048A" w:rsidRDefault="007162C8" w:rsidP="0010048A">
      <w:pPr>
        <w:spacing w:line="480" w:lineRule="auto"/>
        <w:rPr>
          <w:rFonts w:ascii="Arial" w:eastAsia="PMingLiU" w:hAnsi="Arial" w:cs="Arial"/>
          <w:b/>
          <w:lang w:val="en-GB" w:eastAsia="zh-TW"/>
        </w:rPr>
      </w:pPr>
      <w:r>
        <w:rPr>
          <w:rFonts w:ascii="Arial" w:eastAsia="PMingLiU" w:hAnsi="Arial" w:cs="Arial"/>
          <w:b/>
          <w:lang w:val="en-GB" w:eastAsia="zh-TW"/>
        </w:rPr>
        <w:lastRenderedPageBreak/>
        <w:t xml:space="preserve">2. </w:t>
      </w:r>
      <w:r w:rsidR="0010048A">
        <w:rPr>
          <w:rFonts w:ascii="Arial" w:eastAsia="PMingLiU" w:hAnsi="Arial" w:cs="Arial" w:hint="eastAsia"/>
          <w:b/>
          <w:lang w:val="en-GB" w:eastAsia="zh-TW"/>
        </w:rPr>
        <w:t>I</w:t>
      </w:r>
      <w:r w:rsidR="0010048A" w:rsidRPr="007469DE">
        <w:rPr>
          <w:rFonts w:ascii="Arial" w:hAnsi="Arial" w:cs="Arial"/>
          <w:b/>
          <w:lang w:val="en-GB" w:eastAsia="ja-JP"/>
        </w:rPr>
        <w:t>nvestigators</w:t>
      </w:r>
    </w:p>
    <w:p w14:paraId="012EF52C" w14:textId="77777777" w:rsidR="0010048A" w:rsidRDefault="0010048A" w:rsidP="0010048A">
      <w:pPr>
        <w:spacing w:line="480" w:lineRule="auto"/>
        <w:rPr>
          <w:rFonts w:ascii="Arial" w:eastAsia="PMingLiU" w:hAnsi="Arial" w:cs="Arial"/>
          <w:lang w:val="en-GB" w:eastAsia="zh-TW"/>
        </w:rPr>
      </w:pPr>
      <w:r w:rsidRPr="001F333F">
        <w:rPr>
          <w:rFonts w:ascii="Arial" w:hAnsi="Arial" w:cs="Arial"/>
          <w:lang w:val="en-GB" w:eastAsia="ja-JP"/>
        </w:rPr>
        <w:t xml:space="preserve">The </w:t>
      </w:r>
      <w:r w:rsidRPr="001F333F">
        <w:rPr>
          <w:rFonts w:ascii="Arial" w:eastAsia="PMingLiU" w:hAnsi="Arial" w:cs="Arial" w:hint="eastAsia"/>
          <w:lang w:val="en-GB" w:eastAsia="zh-TW"/>
        </w:rPr>
        <w:t xml:space="preserve">VIVID Japan </w:t>
      </w:r>
      <w:r w:rsidRPr="001F333F">
        <w:rPr>
          <w:rFonts w:ascii="Arial" w:hAnsi="Arial" w:cs="Arial"/>
          <w:lang w:val="en-GB" w:eastAsia="ja-JP"/>
        </w:rPr>
        <w:t xml:space="preserve">study was conducted at 17 study </w:t>
      </w:r>
      <w:proofErr w:type="spellStart"/>
      <w:r w:rsidRPr="001F333F">
        <w:rPr>
          <w:rFonts w:ascii="Arial" w:hAnsi="Arial" w:cs="Arial"/>
          <w:lang w:val="en-GB" w:eastAsia="ja-JP"/>
        </w:rPr>
        <w:t>centers</w:t>
      </w:r>
      <w:proofErr w:type="spellEnd"/>
      <w:r w:rsidRPr="001F333F">
        <w:rPr>
          <w:rFonts w:ascii="Arial" w:hAnsi="Arial" w:cs="Arial"/>
          <w:lang w:val="en-GB" w:eastAsia="ja-JP"/>
        </w:rPr>
        <w:t xml:space="preserve"> in Japan. Only investigators qualified by</w:t>
      </w:r>
      <w:r w:rsidRPr="001F333F">
        <w:rPr>
          <w:rFonts w:ascii="Arial" w:eastAsia="PMingLiU" w:hAnsi="Arial" w:cs="Arial" w:hint="eastAsia"/>
          <w:lang w:val="en-GB" w:eastAsia="zh-TW"/>
        </w:rPr>
        <w:t xml:space="preserve"> </w:t>
      </w:r>
      <w:r w:rsidRPr="001F333F">
        <w:rPr>
          <w:rFonts w:ascii="Arial" w:hAnsi="Arial" w:cs="Arial"/>
          <w:lang w:val="en-GB" w:eastAsia="ja-JP"/>
        </w:rPr>
        <w:t>training and experience were selected as appropriate experts to investigate the study drug. At</w:t>
      </w:r>
      <w:r w:rsidRPr="001F333F">
        <w:rPr>
          <w:rFonts w:ascii="Arial" w:eastAsia="PMingLiU" w:hAnsi="Arial" w:cs="Arial" w:hint="eastAsia"/>
          <w:lang w:val="en-GB" w:eastAsia="zh-TW"/>
        </w:rPr>
        <w:t xml:space="preserve"> </w:t>
      </w:r>
      <w:r w:rsidRPr="001F333F">
        <w:rPr>
          <w:rFonts w:ascii="Arial" w:hAnsi="Arial" w:cs="Arial"/>
          <w:lang w:val="en-GB" w:eastAsia="ja-JP"/>
        </w:rPr>
        <w:t xml:space="preserve">each </w:t>
      </w:r>
      <w:proofErr w:type="spellStart"/>
      <w:r w:rsidRPr="001F333F">
        <w:rPr>
          <w:rFonts w:ascii="Arial" w:hAnsi="Arial" w:cs="Arial"/>
          <w:lang w:val="en-GB" w:eastAsia="ja-JP"/>
        </w:rPr>
        <w:t>center</w:t>
      </w:r>
      <w:proofErr w:type="spellEnd"/>
      <w:r w:rsidRPr="001F333F">
        <w:rPr>
          <w:rFonts w:ascii="Arial" w:hAnsi="Arial" w:cs="Arial"/>
          <w:lang w:val="en-GB" w:eastAsia="ja-JP"/>
        </w:rPr>
        <w:t xml:space="preserve">, the principal investigator was responsible for the study. </w:t>
      </w:r>
    </w:p>
    <w:p w14:paraId="0180407A" w14:textId="77777777" w:rsidR="0010048A" w:rsidRDefault="0010048A" w:rsidP="0010048A">
      <w:pPr>
        <w:spacing w:line="480" w:lineRule="auto"/>
        <w:rPr>
          <w:rFonts w:ascii="Arial" w:eastAsia="PMingLiU" w:hAnsi="Arial" w:cs="Arial"/>
          <w:lang w:val="en-GB" w:eastAsia="zh-TW"/>
        </w:rPr>
      </w:pPr>
    </w:p>
    <w:p w14:paraId="3036313C" w14:textId="13A81B27" w:rsidR="0010048A" w:rsidRDefault="0010048A" w:rsidP="0010048A">
      <w:pPr>
        <w:spacing w:line="480" w:lineRule="auto"/>
        <w:rPr>
          <w:rFonts w:ascii="Arial" w:eastAsia="PMingLiU" w:hAnsi="Arial" w:cs="Arial"/>
          <w:lang w:val="fr-FR" w:eastAsia="zh-TW"/>
        </w:rPr>
      </w:pPr>
      <w:r>
        <w:rPr>
          <w:rFonts w:ascii="Arial" w:eastAsia="PMingLiU" w:hAnsi="Arial" w:cs="Arial" w:hint="eastAsia"/>
          <w:lang w:val="en-GB" w:eastAsia="zh-TW"/>
        </w:rPr>
        <w:t xml:space="preserve">VIVID DME </w:t>
      </w:r>
      <w:r>
        <w:rPr>
          <w:rFonts w:ascii="Arial" w:eastAsia="PMingLiU" w:hAnsi="Arial" w:cs="Arial"/>
          <w:lang w:val="en-GB" w:eastAsia="zh-TW"/>
        </w:rPr>
        <w:t xml:space="preserve">was </w:t>
      </w:r>
      <w:r w:rsidRPr="001F333F">
        <w:rPr>
          <w:rFonts w:ascii="Arial" w:eastAsia="PMingLiU" w:hAnsi="Arial" w:cs="Arial"/>
          <w:lang w:val="en-GB" w:eastAsia="zh-TW"/>
        </w:rPr>
        <w:t xml:space="preserve">conducted in </w:t>
      </w:r>
      <w:r>
        <w:rPr>
          <w:rFonts w:ascii="Arial" w:eastAsia="PMingLiU" w:hAnsi="Arial" w:cs="Arial" w:hint="eastAsia"/>
          <w:lang w:val="en-GB" w:eastAsia="zh-TW"/>
        </w:rPr>
        <w:t>90</w:t>
      </w:r>
      <w:r w:rsidRPr="001F333F">
        <w:rPr>
          <w:rFonts w:ascii="Arial" w:eastAsia="PMingLiU" w:hAnsi="Arial" w:cs="Arial"/>
          <w:lang w:val="en-GB" w:eastAsia="zh-TW"/>
        </w:rPr>
        <w:t xml:space="preserve"> </w:t>
      </w:r>
      <w:proofErr w:type="spellStart"/>
      <w:r w:rsidRPr="001F333F">
        <w:rPr>
          <w:rFonts w:ascii="Arial" w:eastAsia="PMingLiU" w:hAnsi="Arial" w:cs="Arial"/>
          <w:lang w:val="en-GB" w:eastAsia="zh-TW"/>
        </w:rPr>
        <w:t>centers</w:t>
      </w:r>
      <w:proofErr w:type="spellEnd"/>
      <w:r w:rsidRPr="001F333F">
        <w:rPr>
          <w:rFonts w:ascii="Arial" w:eastAsia="PMingLiU" w:hAnsi="Arial" w:cs="Arial"/>
          <w:lang w:val="en-GB" w:eastAsia="zh-TW"/>
        </w:rPr>
        <w:t xml:space="preserve"> in Japan</w:t>
      </w:r>
      <w:r>
        <w:rPr>
          <w:rFonts w:ascii="Arial" w:eastAsia="PMingLiU" w:hAnsi="Arial" w:cs="Arial" w:hint="eastAsia"/>
          <w:lang w:val="en-GB" w:eastAsia="zh-TW"/>
        </w:rPr>
        <w:t xml:space="preserve"> (n</w:t>
      </w:r>
      <w:r w:rsidR="00E974E2">
        <w:rPr>
          <w:rFonts w:ascii="Arial" w:eastAsia="PMingLiU" w:hAnsi="Arial" w:cs="Arial"/>
          <w:lang w:val="en-GB" w:eastAsia="zh-TW"/>
        </w:rPr>
        <w:t xml:space="preserve"> </w:t>
      </w:r>
      <w:r>
        <w:rPr>
          <w:rFonts w:ascii="Arial" w:eastAsia="PMingLiU" w:hAnsi="Arial" w:cs="Arial" w:hint="eastAsia"/>
          <w:lang w:val="en-GB" w:eastAsia="zh-TW"/>
        </w:rPr>
        <w:t>=</w:t>
      </w:r>
      <w:r w:rsidR="00E974E2">
        <w:rPr>
          <w:rFonts w:ascii="Arial" w:eastAsia="PMingLiU" w:hAnsi="Arial" w:cs="Arial"/>
          <w:lang w:val="en-GB" w:eastAsia="zh-TW"/>
        </w:rPr>
        <w:t xml:space="preserve"> </w:t>
      </w:r>
      <w:r>
        <w:rPr>
          <w:rFonts w:ascii="Arial" w:eastAsia="PMingLiU" w:hAnsi="Arial" w:cs="Arial" w:hint="eastAsia"/>
          <w:lang w:val="en-GB" w:eastAsia="zh-TW"/>
        </w:rPr>
        <w:t>19)</w:t>
      </w:r>
      <w:r w:rsidRPr="001F333F">
        <w:rPr>
          <w:rFonts w:ascii="Arial" w:eastAsia="PMingLiU" w:hAnsi="Arial" w:cs="Arial"/>
          <w:lang w:val="en-GB" w:eastAsia="zh-TW"/>
        </w:rPr>
        <w:t>, Europe</w:t>
      </w:r>
      <w:r>
        <w:rPr>
          <w:rFonts w:ascii="Arial" w:eastAsia="PMingLiU" w:hAnsi="Arial" w:cs="Arial" w:hint="eastAsia"/>
          <w:lang w:val="en-GB" w:eastAsia="zh-TW"/>
        </w:rPr>
        <w:t xml:space="preserve"> (n</w:t>
      </w:r>
      <w:r w:rsidR="00E974E2">
        <w:rPr>
          <w:rFonts w:ascii="Arial" w:eastAsia="PMingLiU" w:hAnsi="Arial" w:cs="Arial"/>
          <w:lang w:val="en-GB" w:eastAsia="zh-TW"/>
        </w:rPr>
        <w:t xml:space="preserve"> </w:t>
      </w:r>
      <w:r>
        <w:rPr>
          <w:rFonts w:ascii="Arial" w:eastAsia="PMingLiU" w:hAnsi="Arial" w:cs="Arial" w:hint="eastAsia"/>
          <w:lang w:val="en-GB" w:eastAsia="zh-TW"/>
        </w:rPr>
        <w:t>=</w:t>
      </w:r>
      <w:r w:rsidR="00E974E2">
        <w:rPr>
          <w:rFonts w:ascii="Arial" w:eastAsia="PMingLiU" w:hAnsi="Arial" w:cs="Arial"/>
          <w:lang w:val="en-GB" w:eastAsia="zh-TW"/>
        </w:rPr>
        <w:t xml:space="preserve"> </w:t>
      </w:r>
      <w:r>
        <w:rPr>
          <w:rFonts w:ascii="Arial" w:eastAsia="PMingLiU" w:hAnsi="Arial" w:cs="Arial" w:hint="eastAsia"/>
          <w:lang w:val="en-GB" w:eastAsia="zh-TW"/>
        </w:rPr>
        <w:t>64)</w:t>
      </w:r>
      <w:r w:rsidRPr="001F333F">
        <w:rPr>
          <w:rFonts w:ascii="Arial" w:eastAsia="PMingLiU" w:hAnsi="Arial" w:cs="Arial"/>
          <w:lang w:val="en-GB" w:eastAsia="zh-TW"/>
        </w:rPr>
        <w:t>, and Australia</w:t>
      </w:r>
      <w:r>
        <w:rPr>
          <w:rFonts w:ascii="Arial" w:eastAsia="PMingLiU" w:hAnsi="Arial" w:cs="Arial" w:hint="eastAsia"/>
          <w:lang w:val="en-GB" w:eastAsia="zh-TW"/>
        </w:rPr>
        <w:t xml:space="preserve"> (n</w:t>
      </w:r>
      <w:r w:rsidR="00E974E2">
        <w:rPr>
          <w:rFonts w:ascii="Arial" w:eastAsia="PMingLiU" w:hAnsi="Arial" w:cs="Arial"/>
          <w:lang w:val="en-GB" w:eastAsia="zh-TW"/>
        </w:rPr>
        <w:t xml:space="preserve"> </w:t>
      </w:r>
      <w:r>
        <w:rPr>
          <w:rFonts w:ascii="Arial" w:eastAsia="PMingLiU" w:hAnsi="Arial" w:cs="Arial" w:hint="eastAsia"/>
          <w:lang w:val="en-GB" w:eastAsia="zh-TW"/>
        </w:rPr>
        <w:t>=</w:t>
      </w:r>
      <w:r w:rsidR="00E974E2">
        <w:rPr>
          <w:rFonts w:ascii="Arial" w:eastAsia="PMingLiU" w:hAnsi="Arial" w:cs="Arial"/>
          <w:lang w:val="en-GB" w:eastAsia="zh-TW"/>
        </w:rPr>
        <w:t xml:space="preserve"> </w:t>
      </w:r>
      <w:r>
        <w:rPr>
          <w:rFonts w:ascii="Arial" w:eastAsia="PMingLiU" w:hAnsi="Arial" w:cs="Arial" w:hint="eastAsia"/>
          <w:lang w:val="en-GB" w:eastAsia="zh-TW"/>
        </w:rPr>
        <w:t>7)</w:t>
      </w:r>
      <w:r w:rsidRPr="001F333F">
        <w:rPr>
          <w:rFonts w:ascii="Arial" w:eastAsia="PMingLiU" w:hAnsi="Arial" w:cs="Arial"/>
          <w:lang w:val="en-GB" w:eastAsia="zh-TW"/>
        </w:rPr>
        <w:t xml:space="preserve">. </w:t>
      </w:r>
      <w:r w:rsidRPr="001F333F">
        <w:rPr>
          <w:rFonts w:ascii="Arial" w:eastAsia="PMingLiU" w:hAnsi="Arial" w:cs="Arial"/>
          <w:lang w:val="fr-FR" w:eastAsia="zh-TW"/>
        </w:rPr>
        <w:t>Prof</w:t>
      </w:r>
      <w:r w:rsidRPr="001F333F">
        <w:rPr>
          <w:rFonts w:ascii="Arial" w:eastAsia="PMingLiU" w:hAnsi="Arial" w:cs="Arial" w:hint="eastAsia"/>
          <w:lang w:val="fr-FR" w:eastAsia="zh-TW"/>
        </w:rPr>
        <w:t>e</w:t>
      </w:r>
      <w:r>
        <w:rPr>
          <w:rFonts w:ascii="Arial" w:eastAsia="PMingLiU" w:hAnsi="Arial" w:cs="Arial" w:hint="eastAsia"/>
          <w:lang w:val="fr-FR" w:eastAsia="zh-TW"/>
        </w:rPr>
        <w:t xml:space="preserve">ssor </w:t>
      </w:r>
      <w:r w:rsidRPr="001F333F">
        <w:rPr>
          <w:rFonts w:ascii="Arial" w:eastAsia="PMingLiU" w:hAnsi="Arial" w:cs="Arial"/>
          <w:lang w:val="fr-FR" w:eastAsia="zh-TW"/>
        </w:rPr>
        <w:t xml:space="preserve">Jean-François </w:t>
      </w:r>
      <w:proofErr w:type="spellStart"/>
      <w:r w:rsidRPr="001F333F">
        <w:rPr>
          <w:rFonts w:ascii="Arial" w:eastAsia="PMingLiU" w:hAnsi="Arial" w:cs="Arial"/>
          <w:lang w:val="fr-FR" w:eastAsia="zh-TW"/>
        </w:rPr>
        <w:t>Korobelnik</w:t>
      </w:r>
      <w:proofErr w:type="spellEnd"/>
      <w:r>
        <w:rPr>
          <w:rFonts w:ascii="Arial" w:eastAsia="PMingLiU" w:hAnsi="Arial" w:cs="Arial" w:hint="eastAsia"/>
          <w:lang w:val="fr-FR" w:eastAsia="zh-TW"/>
        </w:rPr>
        <w:t xml:space="preserve"> (</w:t>
      </w:r>
      <w:r w:rsidRPr="001F333F">
        <w:rPr>
          <w:rFonts w:ascii="Arial" w:eastAsia="PMingLiU" w:hAnsi="Arial" w:cs="Arial"/>
          <w:lang w:val="fr-FR" w:eastAsia="zh-TW"/>
        </w:rPr>
        <w:t xml:space="preserve">Unité </w:t>
      </w:r>
      <w:proofErr w:type="spellStart"/>
      <w:r w:rsidRPr="001F333F">
        <w:rPr>
          <w:rFonts w:ascii="Arial" w:eastAsia="PMingLiU" w:hAnsi="Arial" w:cs="Arial"/>
          <w:lang w:val="fr-FR" w:eastAsia="zh-TW"/>
        </w:rPr>
        <w:t>Mèdicale</w:t>
      </w:r>
      <w:proofErr w:type="spellEnd"/>
      <w:r w:rsidRPr="001F333F">
        <w:rPr>
          <w:rFonts w:ascii="Arial" w:eastAsia="PMingLiU" w:hAnsi="Arial" w:cs="Arial"/>
          <w:lang w:val="fr-FR" w:eastAsia="zh-TW"/>
        </w:rPr>
        <w:t xml:space="preserve"> Segment</w:t>
      </w:r>
      <w:r>
        <w:rPr>
          <w:rFonts w:ascii="Arial" w:eastAsia="PMingLiU" w:hAnsi="Arial" w:cs="Arial" w:hint="eastAsia"/>
          <w:lang w:val="fr-FR" w:eastAsia="zh-TW"/>
        </w:rPr>
        <w:t xml:space="preserve"> </w:t>
      </w:r>
      <w:r w:rsidRPr="001F333F">
        <w:rPr>
          <w:rFonts w:ascii="Arial" w:eastAsia="PMingLiU" w:hAnsi="Arial" w:cs="Arial"/>
          <w:lang w:val="fr-FR" w:eastAsia="zh-TW"/>
        </w:rPr>
        <w:t xml:space="preserve">Postérieur, Service d’Ophtalmologie C.H.U. </w:t>
      </w:r>
      <w:proofErr w:type="spellStart"/>
      <w:r w:rsidRPr="001F333F">
        <w:rPr>
          <w:rFonts w:ascii="Arial" w:eastAsia="PMingLiU" w:hAnsi="Arial" w:cs="Arial"/>
          <w:lang w:val="fr-FR" w:eastAsia="zh-TW"/>
        </w:rPr>
        <w:t>Pelligrin</w:t>
      </w:r>
      <w:proofErr w:type="spellEnd"/>
      <w:r w:rsidRPr="001F333F">
        <w:rPr>
          <w:rFonts w:ascii="Arial" w:eastAsia="PMingLiU" w:hAnsi="Arial" w:cs="Arial"/>
          <w:lang w:val="fr-FR" w:eastAsia="zh-TW"/>
        </w:rPr>
        <w:t>, Place</w:t>
      </w:r>
      <w:r>
        <w:rPr>
          <w:rFonts w:ascii="Arial" w:eastAsia="PMingLiU" w:hAnsi="Arial" w:cs="Arial" w:hint="eastAsia"/>
          <w:lang w:val="fr-FR" w:eastAsia="zh-TW"/>
        </w:rPr>
        <w:t xml:space="preserve"> </w:t>
      </w:r>
      <w:proofErr w:type="spellStart"/>
      <w:r w:rsidRPr="001F333F">
        <w:rPr>
          <w:rFonts w:ascii="Arial" w:eastAsia="PMingLiU" w:hAnsi="Arial" w:cs="Arial"/>
          <w:lang w:val="fr-FR" w:eastAsia="zh-TW"/>
        </w:rPr>
        <w:t>Amèlie</w:t>
      </w:r>
      <w:proofErr w:type="spellEnd"/>
      <w:r w:rsidRPr="001F333F">
        <w:rPr>
          <w:rFonts w:ascii="Arial" w:eastAsia="PMingLiU" w:hAnsi="Arial" w:cs="Arial"/>
          <w:lang w:val="fr-FR" w:eastAsia="zh-TW"/>
        </w:rPr>
        <w:t xml:space="preserve"> Raba Léon, 33000 Bordeaux, </w:t>
      </w:r>
      <w:r>
        <w:rPr>
          <w:rFonts w:ascii="Arial" w:eastAsia="PMingLiU" w:hAnsi="Arial" w:cs="Arial"/>
          <w:lang w:val="fr-FR" w:eastAsia="zh-TW"/>
        </w:rPr>
        <w:t>France</w:t>
      </w:r>
      <w:r>
        <w:rPr>
          <w:rFonts w:ascii="Arial" w:eastAsia="PMingLiU" w:hAnsi="Arial" w:cs="Arial" w:hint="eastAsia"/>
          <w:lang w:val="fr-FR" w:eastAsia="zh-TW"/>
        </w:rPr>
        <w:t xml:space="preserve">) </w:t>
      </w:r>
      <w:proofErr w:type="spellStart"/>
      <w:r>
        <w:rPr>
          <w:rFonts w:ascii="Arial" w:eastAsia="PMingLiU" w:hAnsi="Arial" w:cs="Arial" w:hint="eastAsia"/>
          <w:lang w:val="fr-FR" w:eastAsia="zh-TW"/>
        </w:rPr>
        <w:t>was</w:t>
      </w:r>
      <w:proofErr w:type="spellEnd"/>
      <w:r>
        <w:rPr>
          <w:rFonts w:ascii="Arial" w:eastAsia="PMingLiU" w:hAnsi="Arial" w:cs="Arial" w:hint="eastAsia"/>
          <w:lang w:val="fr-FR" w:eastAsia="zh-TW"/>
        </w:rPr>
        <w:t xml:space="preserve"> the </w:t>
      </w:r>
      <w:proofErr w:type="spellStart"/>
      <w:r>
        <w:rPr>
          <w:rFonts w:ascii="Arial" w:eastAsia="PMingLiU" w:hAnsi="Arial" w:cs="Arial" w:hint="eastAsia"/>
          <w:lang w:val="fr-FR" w:eastAsia="zh-TW"/>
        </w:rPr>
        <w:t>coordinating</w:t>
      </w:r>
      <w:proofErr w:type="spellEnd"/>
      <w:r>
        <w:rPr>
          <w:rFonts w:ascii="Arial" w:eastAsia="PMingLiU" w:hAnsi="Arial" w:cs="Arial" w:hint="eastAsia"/>
          <w:lang w:val="fr-FR" w:eastAsia="zh-TW"/>
        </w:rPr>
        <w:t xml:space="preserve"> </w:t>
      </w:r>
      <w:proofErr w:type="spellStart"/>
      <w:r>
        <w:rPr>
          <w:rFonts w:ascii="Arial" w:eastAsia="PMingLiU" w:hAnsi="Arial" w:cs="Arial" w:hint="eastAsia"/>
          <w:lang w:val="fr-FR" w:eastAsia="zh-TW"/>
        </w:rPr>
        <w:t>investigator</w:t>
      </w:r>
      <w:proofErr w:type="spellEnd"/>
      <w:r>
        <w:rPr>
          <w:rFonts w:ascii="Arial" w:eastAsia="PMingLiU" w:hAnsi="Arial" w:cs="Arial" w:hint="eastAsia"/>
          <w:lang w:val="fr-FR" w:eastAsia="zh-TW"/>
        </w:rPr>
        <w:t>.</w:t>
      </w:r>
      <w:r w:rsidRPr="001F333F">
        <w:rPr>
          <w:rFonts w:ascii="Arial" w:eastAsia="PMingLiU" w:hAnsi="Arial" w:cs="Arial"/>
          <w:lang w:val="fr-FR" w:eastAsia="zh-TW"/>
        </w:rPr>
        <w:t xml:space="preserve"> </w:t>
      </w:r>
    </w:p>
    <w:p w14:paraId="14B6E10A" w14:textId="77777777" w:rsidR="00B37FFC" w:rsidRDefault="00B37FFC" w:rsidP="0010048A">
      <w:pPr>
        <w:spacing w:line="480" w:lineRule="auto"/>
        <w:rPr>
          <w:rFonts w:ascii="Arial" w:eastAsia="PMingLiU" w:hAnsi="Arial" w:cs="Arial"/>
          <w:lang w:val="fr-FR" w:eastAsia="zh-TW"/>
        </w:rPr>
      </w:pPr>
    </w:p>
    <w:p w14:paraId="2A0B9084" w14:textId="6D620EFA" w:rsidR="0010048A" w:rsidRPr="001F333F" w:rsidRDefault="00C04E9F" w:rsidP="0010048A">
      <w:pPr>
        <w:spacing w:after="0" w:line="480" w:lineRule="auto"/>
        <w:rPr>
          <w:rFonts w:ascii="Arial" w:hAnsi="Arial" w:cs="Arial"/>
          <w:lang w:val="fr-FR"/>
        </w:rPr>
      </w:pPr>
      <w:proofErr w:type="spellStart"/>
      <w:r w:rsidRPr="00C04E9F">
        <w:rPr>
          <w:rFonts w:ascii="Arial" w:eastAsia="PMingLiU" w:hAnsi="Arial" w:cs="Arial"/>
          <w:lang w:val="fr-FR" w:eastAsia="zh-TW"/>
        </w:rPr>
        <w:t>Japanese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investigators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in VIVID DME and VIVID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Japan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were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as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follows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: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Tomohiro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Otani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Masahito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Ohji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Nagahisa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Yoshimura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Eiichi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Sato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Susumu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Ishida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Motohiro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Kamei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Yu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Sawada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Tetsuya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Baba,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Yuki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Morizane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Hiroshi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Kunikata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Shigehiko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Kitano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Taiji Sakamoto,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Akito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Hirakata,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Atsushi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Mizota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Shuichi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 Yamamoto,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Toshinori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Murata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Yuichiro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Ogura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Hiroko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Terasaki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Kunihiko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Shiraki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Kanji Takahashi,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Yasuhiro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Ikeda, Takashi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Kitaoka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Hitoshi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Takagi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Shizuya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Saika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Hiroyuki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Shimada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Shigeki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Yamanishi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Takashi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Oyamada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Nahoko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Ogata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Yasutaka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Uchihori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Takafumi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Koga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Yukihiro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Sato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Masaki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Sato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Yasutomo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Tsukahara</w:t>
      </w:r>
      <w:proofErr w:type="spellEnd"/>
      <w:r w:rsidRPr="00C04E9F">
        <w:rPr>
          <w:rFonts w:ascii="Arial" w:eastAsia="PMingLiU" w:hAnsi="Arial" w:cs="Arial"/>
          <w:lang w:val="fr-FR" w:eastAsia="zh-TW"/>
        </w:rPr>
        <w:t xml:space="preserve">, Yoko </w:t>
      </w:r>
      <w:proofErr w:type="spellStart"/>
      <w:r w:rsidRPr="00C04E9F">
        <w:rPr>
          <w:rFonts w:ascii="Arial" w:eastAsia="PMingLiU" w:hAnsi="Arial" w:cs="Arial"/>
          <w:lang w:val="fr-FR" w:eastAsia="zh-TW"/>
        </w:rPr>
        <w:t>Saigo</w:t>
      </w:r>
      <w:proofErr w:type="spellEnd"/>
    </w:p>
    <w:p w14:paraId="18B3EE9C" w14:textId="77777777" w:rsidR="0010048A" w:rsidRPr="0010048A" w:rsidRDefault="0010048A" w:rsidP="005F301B">
      <w:pPr>
        <w:spacing w:after="0" w:line="480" w:lineRule="auto"/>
        <w:rPr>
          <w:rFonts w:ascii="Arial" w:hAnsi="Arial" w:cs="Arial"/>
          <w:lang w:val="fr-FR"/>
        </w:rPr>
      </w:pPr>
    </w:p>
    <w:p w14:paraId="49D59FEA" w14:textId="77777777" w:rsidR="008F5183" w:rsidRPr="0010048A" w:rsidRDefault="008F5183" w:rsidP="005F301B">
      <w:pPr>
        <w:spacing w:after="0" w:line="480" w:lineRule="auto"/>
        <w:rPr>
          <w:rFonts w:ascii="Arial" w:hAnsi="Arial" w:cs="Arial"/>
          <w:lang w:val="fr-FR"/>
        </w:rPr>
      </w:pPr>
    </w:p>
    <w:p w14:paraId="2364AFE9" w14:textId="3B992A47" w:rsidR="002F62D0" w:rsidRPr="0010048A" w:rsidRDefault="002F62D0">
      <w:pPr>
        <w:spacing w:after="0" w:line="480" w:lineRule="auto"/>
        <w:rPr>
          <w:rFonts w:ascii="Arial" w:hAnsi="Arial" w:cs="Arial"/>
          <w:lang w:val="fr-FR"/>
        </w:rPr>
      </w:pPr>
    </w:p>
    <w:sectPr w:rsidR="002F62D0" w:rsidRPr="0010048A" w:rsidSect="005503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0E1ED" w14:textId="77777777" w:rsidR="00CB0341" w:rsidRDefault="00CB0341" w:rsidP="00645D08">
      <w:pPr>
        <w:spacing w:after="0" w:line="240" w:lineRule="auto"/>
      </w:pPr>
      <w:r>
        <w:separator/>
      </w:r>
    </w:p>
  </w:endnote>
  <w:endnote w:type="continuationSeparator" w:id="0">
    <w:p w14:paraId="3E16B95D" w14:textId="77777777" w:rsidR="00CB0341" w:rsidRDefault="00CB0341" w:rsidP="0064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693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6C75A8E" w14:textId="77777777" w:rsidR="005239EE" w:rsidRPr="00645D08" w:rsidRDefault="005239EE">
        <w:pPr>
          <w:pStyle w:val="Footer"/>
          <w:jc w:val="right"/>
          <w:rPr>
            <w:rFonts w:ascii="Arial" w:hAnsi="Arial" w:cs="Arial"/>
          </w:rPr>
        </w:pPr>
        <w:r w:rsidRPr="00645D08">
          <w:rPr>
            <w:rFonts w:ascii="Arial" w:hAnsi="Arial" w:cs="Arial"/>
          </w:rPr>
          <w:fldChar w:fldCharType="begin"/>
        </w:r>
        <w:r w:rsidRPr="00645D08">
          <w:rPr>
            <w:rFonts w:ascii="Arial" w:hAnsi="Arial" w:cs="Arial"/>
          </w:rPr>
          <w:instrText xml:space="preserve"> PAGE   \* MERGEFORMAT </w:instrText>
        </w:r>
        <w:r w:rsidRPr="00645D08">
          <w:rPr>
            <w:rFonts w:ascii="Arial" w:hAnsi="Arial" w:cs="Arial"/>
          </w:rPr>
          <w:fldChar w:fldCharType="separate"/>
        </w:r>
        <w:r w:rsidR="00BB0429">
          <w:rPr>
            <w:rFonts w:ascii="Arial" w:hAnsi="Arial" w:cs="Arial"/>
            <w:noProof/>
          </w:rPr>
          <w:t>4</w:t>
        </w:r>
        <w:r w:rsidRPr="00645D08">
          <w:rPr>
            <w:rFonts w:ascii="Arial" w:hAnsi="Arial" w:cs="Arial"/>
            <w:noProof/>
          </w:rPr>
          <w:fldChar w:fldCharType="end"/>
        </w:r>
      </w:p>
    </w:sdtContent>
  </w:sdt>
  <w:p w14:paraId="38E9E94E" w14:textId="77777777" w:rsidR="005239EE" w:rsidRDefault="00523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5C382" w14:textId="77777777" w:rsidR="00CB0341" w:rsidRDefault="00CB0341" w:rsidP="00645D08">
      <w:pPr>
        <w:spacing w:after="0" w:line="240" w:lineRule="auto"/>
      </w:pPr>
      <w:r>
        <w:separator/>
      </w:r>
    </w:p>
  </w:footnote>
  <w:footnote w:type="continuationSeparator" w:id="0">
    <w:p w14:paraId="0F7CF45B" w14:textId="77777777" w:rsidR="00CB0341" w:rsidRDefault="00CB0341" w:rsidP="0064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D86"/>
    <w:multiLevelType w:val="hybridMultilevel"/>
    <w:tmpl w:val="98A8D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A6B42"/>
    <w:multiLevelType w:val="hybridMultilevel"/>
    <w:tmpl w:val="1A0CB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675F8"/>
    <w:multiLevelType w:val="hybridMultilevel"/>
    <w:tmpl w:val="0AF241C8"/>
    <w:lvl w:ilvl="0" w:tplc="EC8C5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E5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CF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A6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CD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8A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E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03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0F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EA76F5"/>
    <w:multiLevelType w:val="hybridMultilevel"/>
    <w:tmpl w:val="DA22D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1A7A39"/>
    <w:multiLevelType w:val="hybridMultilevel"/>
    <w:tmpl w:val="4EE294AA"/>
    <w:lvl w:ilvl="0" w:tplc="D82E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03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5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AF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E7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8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AD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E1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8F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3476D0"/>
    <w:multiLevelType w:val="hybridMultilevel"/>
    <w:tmpl w:val="D6368830"/>
    <w:lvl w:ilvl="0" w:tplc="C0B69D10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BA54862"/>
    <w:multiLevelType w:val="hybridMultilevel"/>
    <w:tmpl w:val="58623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016CEA"/>
    <w:multiLevelType w:val="hybridMultilevel"/>
    <w:tmpl w:val="74A07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4E434A"/>
    <w:multiLevelType w:val="hybridMultilevel"/>
    <w:tmpl w:val="5EDE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42CAB"/>
    <w:multiLevelType w:val="hybridMultilevel"/>
    <w:tmpl w:val="8AD81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C0D28"/>
    <w:multiLevelType w:val="hybridMultilevel"/>
    <w:tmpl w:val="E2C89910"/>
    <w:lvl w:ilvl="0" w:tplc="8490178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E509A6"/>
    <w:multiLevelType w:val="hybridMultilevel"/>
    <w:tmpl w:val="9F668E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65C5F"/>
    <w:multiLevelType w:val="hybridMultilevel"/>
    <w:tmpl w:val="FE70D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9A3B1D"/>
    <w:multiLevelType w:val="hybridMultilevel"/>
    <w:tmpl w:val="FFB8F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617A9A"/>
    <w:multiLevelType w:val="hybridMultilevel"/>
    <w:tmpl w:val="53182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6B728F"/>
    <w:multiLevelType w:val="hybridMultilevel"/>
    <w:tmpl w:val="6A968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664E5"/>
    <w:multiLevelType w:val="hybridMultilevel"/>
    <w:tmpl w:val="F1587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8518EA"/>
    <w:multiLevelType w:val="hybridMultilevel"/>
    <w:tmpl w:val="0E9A64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A84441F"/>
    <w:multiLevelType w:val="hybridMultilevel"/>
    <w:tmpl w:val="2736C5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D4E9D"/>
    <w:multiLevelType w:val="hybridMultilevel"/>
    <w:tmpl w:val="5C3E22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46531B"/>
    <w:multiLevelType w:val="hybridMultilevel"/>
    <w:tmpl w:val="DDCA50BC"/>
    <w:lvl w:ilvl="0" w:tplc="A948AD00">
      <w:start w:val="1"/>
      <w:numFmt w:val="bullet"/>
      <w:lvlText w:val="•"/>
      <w:lvlJc w:val="left"/>
      <w:pPr>
        <w:tabs>
          <w:tab w:val="num" w:pos="376"/>
        </w:tabs>
        <w:ind w:left="376" w:hanging="360"/>
      </w:pPr>
      <w:rPr>
        <w:rFonts w:ascii="Arial" w:hAnsi="Arial" w:hint="default"/>
      </w:rPr>
    </w:lvl>
    <w:lvl w:ilvl="1" w:tplc="8C484458" w:tentative="1">
      <w:start w:val="1"/>
      <w:numFmt w:val="bullet"/>
      <w:lvlText w:val="•"/>
      <w:lvlJc w:val="left"/>
      <w:pPr>
        <w:tabs>
          <w:tab w:val="num" w:pos="1096"/>
        </w:tabs>
        <w:ind w:left="1096" w:hanging="360"/>
      </w:pPr>
      <w:rPr>
        <w:rFonts w:ascii="Arial" w:hAnsi="Arial" w:hint="default"/>
      </w:rPr>
    </w:lvl>
    <w:lvl w:ilvl="2" w:tplc="722A50A8" w:tentative="1">
      <w:start w:val="1"/>
      <w:numFmt w:val="bullet"/>
      <w:lvlText w:val="•"/>
      <w:lvlJc w:val="left"/>
      <w:pPr>
        <w:tabs>
          <w:tab w:val="num" w:pos="1816"/>
        </w:tabs>
        <w:ind w:left="1816" w:hanging="360"/>
      </w:pPr>
      <w:rPr>
        <w:rFonts w:ascii="Arial" w:hAnsi="Arial" w:hint="default"/>
      </w:rPr>
    </w:lvl>
    <w:lvl w:ilvl="3" w:tplc="D3DC2616" w:tentative="1">
      <w:start w:val="1"/>
      <w:numFmt w:val="bullet"/>
      <w:lvlText w:val="•"/>
      <w:lvlJc w:val="left"/>
      <w:pPr>
        <w:tabs>
          <w:tab w:val="num" w:pos="2536"/>
        </w:tabs>
        <w:ind w:left="2536" w:hanging="360"/>
      </w:pPr>
      <w:rPr>
        <w:rFonts w:ascii="Arial" w:hAnsi="Arial" w:hint="default"/>
      </w:rPr>
    </w:lvl>
    <w:lvl w:ilvl="4" w:tplc="629A28A2" w:tentative="1">
      <w:start w:val="1"/>
      <w:numFmt w:val="bullet"/>
      <w:lvlText w:val="•"/>
      <w:lvlJc w:val="left"/>
      <w:pPr>
        <w:tabs>
          <w:tab w:val="num" w:pos="3256"/>
        </w:tabs>
        <w:ind w:left="3256" w:hanging="360"/>
      </w:pPr>
      <w:rPr>
        <w:rFonts w:ascii="Arial" w:hAnsi="Arial" w:hint="default"/>
      </w:rPr>
    </w:lvl>
    <w:lvl w:ilvl="5" w:tplc="4CD625A8" w:tentative="1">
      <w:start w:val="1"/>
      <w:numFmt w:val="bullet"/>
      <w:lvlText w:val="•"/>
      <w:lvlJc w:val="left"/>
      <w:pPr>
        <w:tabs>
          <w:tab w:val="num" w:pos="3976"/>
        </w:tabs>
        <w:ind w:left="3976" w:hanging="360"/>
      </w:pPr>
      <w:rPr>
        <w:rFonts w:ascii="Arial" w:hAnsi="Arial" w:hint="default"/>
      </w:rPr>
    </w:lvl>
    <w:lvl w:ilvl="6" w:tplc="0DA01BDC" w:tentative="1">
      <w:start w:val="1"/>
      <w:numFmt w:val="bullet"/>
      <w:lvlText w:val="•"/>
      <w:lvlJc w:val="left"/>
      <w:pPr>
        <w:tabs>
          <w:tab w:val="num" w:pos="4696"/>
        </w:tabs>
        <w:ind w:left="4696" w:hanging="360"/>
      </w:pPr>
      <w:rPr>
        <w:rFonts w:ascii="Arial" w:hAnsi="Arial" w:hint="default"/>
      </w:rPr>
    </w:lvl>
    <w:lvl w:ilvl="7" w:tplc="0690FFE6" w:tentative="1">
      <w:start w:val="1"/>
      <w:numFmt w:val="bullet"/>
      <w:lvlText w:val="•"/>
      <w:lvlJc w:val="left"/>
      <w:pPr>
        <w:tabs>
          <w:tab w:val="num" w:pos="5416"/>
        </w:tabs>
        <w:ind w:left="5416" w:hanging="360"/>
      </w:pPr>
      <w:rPr>
        <w:rFonts w:ascii="Arial" w:hAnsi="Arial" w:hint="default"/>
      </w:rPr>
    </w:lvl>
    <w:lvl w:ilvl="8" w:tplc="9DB0EBDC" w:tentative="1">
      <w:start w:val="1"/>
      <w:numFmt w:val="bullet"/>
      <w:lvlText w:val="•"/>
      <w:lvlJc w:val="left"/>
      <w:pPr>
        <w:tabs>
          <w:tab w:val="num" w:pos="6136"/>
        </w:tabs>
        <w:ind w:left="6136" w:hanging="360"/>
      </w:pPr>
      <w:rPr>
        <w:rFonts w:ascii="Arial" w:hAnsi="Arial" w:hint="default"/>
      </w:rPr>
    </w:lvl>
  </w:abstractNum>
  <w:abstractNum w:abstractNumId="21">
    <w:nsid w:val="66453B48"/>
    <w:multiLevelType w:val="hybridMultilevel"/>
    <w:tmpl w:val="E1D2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549A0"/>
    <w:multiLevelType w:val="hybridMultilevel"/>
    <w:tmpl w:val="A7365CF2"/>
    <w:lvl w:ilvl="0" w:tplc="2B1062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B2BA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C050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A295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046C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DE52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4C3C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5A07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86C7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69814783"/>
    <w:multiLevelType w:val="hybridMultilevel"/>
    <w:tmpl w:val="3D4C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B46F8E"/>
    <w:multiLevelType w:val="hybridMultilevel"/>
    <w:tmpl w:val="23166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D87CBB"/>
    <w:multiLevelType w:val="hybridMultilevel"/>
    <w:tmpl w:val="BC7C9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F252D6"/>
    <w:multiLevelType w:val="hybridMultilevel"/>
    <w:tmpl w:val="51FC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5705F"/>
    <w:multiLevelType w:val="hybridMultilevel"/>
    <w:tmpl w:val="90A82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24"/>
  </w:num>
  <w:num w:numId="6">
    <w:abstractNumId w:val="14"/>
  </w:num>
  <w:num w:numId="7">
    <w:abstractNumId w:val="23"/>
  </w:num>
  <w:num w:numId="8">
    <w:abstractNumId w:val="20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7"/>
  </w:num>
  <w:num w:numId="15">
    <w:abstractNumId w:val="22"/>
  </w:num>
  <w:num w:numId="16">
    <w:abstractNumId w:val="27"/>
  </w:num>
  <w:num w:numId="17">
    <w:abstractNumId w:val="2"/>
  </w:num>
  <w:num w:numId="18">
    <w:abstractNumId w:val="11"/>
  </w:num>
  <w:num w:numId="19">
    <w:abstractNumId w:val="19"/>
  </w:num>
  <w:num w:numId="20">
    <w:abstractNumId w:val="15"/>
  </w:num>
  <w:num w:numId="21">
    <w:abstractNumId w:val="10"/>
  </w:num>
  <w:num w:numId="22">
    <w:abstractNumId w:val="5"/>
  </w:num>
  <w:num w:numId="23">
    <w:abstractNumId w:val="16"/>
  </w:num>
  <w:num w:numId="24">
    <w:abstractNumId w:val="26"/>
  </w:num>
  <w:num w:numId="25">
    <w:abstractNumId w:val="21"/>
  </w:num>
  <w:num w:numId="26">
    <w:abstractNumId w:val="17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revisionView w:inkAnnotations="0"/>
  <w:trackRevisions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O:\RefMan_Output styles\AMA 10th edition 10.os&lt;/Style&gt;&lt;LeftDelim&gt;{&lt;/LeftDelim&gt;&lt;RightDelim&gt;}&lt;/RightDelim&gt;&lt;FontName&gt;Arial&lt;/FontName&gt;&lt;FontSize&gt;11&lt;/FontSize&gt;&lt;ReflistTitle&gt;&lt;style face=&quot;bold&quot;&gt;References&lt;/style&gt;&lt;/ReflistTitle&gt;&lt;StartingRefnum&gt;1&lt;/StartingRefnum&gt;&lt;FirstLineIndent&gt;0&lt;/FirstLineIndent&gt;&lt;HangingIndent&gt;36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vivid japan&lt;/item&gt;&lt;/Libraries&gt;&lt;/ENLibraries&gt;"/>
  </w:docVars>
  <w:rsids>
    <w:rsidRoot w:val="0000436E"/>
    <w:rsid w:val="00000DE2"/>
    <w:rsid w:val="00000F49"/>
    <w:rsid w:val="00003781"/>
    <w:rsid w:val="0000436E"/>
    <w:rsid w:val="00014A31"/>
    <w:rsid w:val="000165C5"/>
    <w:rsid w:val="00017CDA"/>
    <w:rsid w:val="00022780"/>
    <w:rsid w:val="0002297C"/>
    <w:rsid w:val="00023FFA"/>
    <w:rsid w:val="0002706D"/>
    <w:rsid w:val="000305A8"/>
    <w:rsid w:val="00030826"/>
    <w:rsid w:val="00035F03"/>
    <w:rsid w:val="00040F64"/>
    <w:rsid w:val="0004314C"/>
    <w:rsid w:val="00043BC7"/>
    <w:rsid w:val="00044EBB"/>
    <w:rsid w:val="0005044B"/>
    <w:rsid w:val="00051B32"/>
    <w:rsid w:val="00052C9F"/>
    <w:rsid w:val="00054C3D"/>
    <w:rsid w:val="000553BC"/>
    <w:rsid w:val="00055960"/>
    <w:rsid w:val="000563E1"/>
    <w:rsid w:val="00062677"/>
    <w:rsid w:val="00064783"/>
    <w:rsid w:val="00081D6D"/>
    <w:rsid w:val="0008375F"/>
    <w:rsid w:val="00093D51"/>
    <w:rsid w:val="00096247"/>
    <w:rsid w:val="000A0C9B"/>
    <w:rsid w:val="000B203A"/>
    <w:rsid w:val="000B25C7"/>
    <w:rsid w:val="000B4AF0"/>
    <w:rsid w:val="000B5528"/>
    <w:rsid w:val="000B6E05"/>
    <w:rsid w:val="000C2F1F"/>
    <w:rsid w:val="000C37D4"/>
    <w:rsid w:val="000C69FF"/>
    <w:rsid w:val="000D475C"/>
    <w:rsid w:val="000D687E"/>
    <w:rsid w:val="000D7C68"/>
    <w:rsid w:val="000D7D8B"/>
    <w:rsid w:val="000E07B3"/>
    <w:rsid w:val="000E0D07"/>
    <w:rsid w:val="000E646B"/>
    <w:rsid w:val="000E6473"/>
    <w:rsid w:val="000E713B"/>
    <w:rsid w:val="000F366E"/>
    <w:rsid w:val="000F4C1D"/>
    <w:rsid w:val="0010048A"/>
    <w:rsid w:val="00105EB4"/>
    <w:rsid w:val="00112F9E"/>
    <w:rsid w:val="001138F6"/>
    <w:rsid w:val="00114707"/>
    <w:rsid w:val="001160D3"/>
    <w:rsid w:val="00120D58"/>
    <w:rsid w:val="00120FF3"/>
    <w:rsid w:val="00127282"/>
    <w:rsid w:val="00141410"/>
    <w:rsid w:val="00142253"/>
    <w:rsid w:val="00145185"/>
    <w:rsid w:val="0014611D"/>
    <w:rsid w:val="001466FD"/>
    <w:rsid w:val="00152C12"/>
    <w:rsid w:val="0015583D"/>
    <w:rsid w:val="0015596C"/>
    <w:rsid w:val="00161222"/>
    <w:rsid w:val="00161EFC"/>
    <w:rsid w:val="00162EF8"/>
    <w:rsid w:val="00164672"/>
    <w:rsid w:val="00164BF1"/>
    <w:rsid w:val="00165BEE"/>
    <w:rsid w:val="0016638B"/>
    <w:rsid w:val="00167290"/>
    <w:rsid w:val="00172D35"/>
    <w:rsid w:val="00177684"/>
    <w:rsid w:val="001779BF"/>
    <w:rsid w:val="00180262"/>
    <w:rsid w:val="001808A1"/>
    <w:rsid w:val="00185F2D"/>
    <w:rsid w:val="001912FF"/>
    <w:rsid w:val="0019144F"/>
    <w:rsid w:val="001916A2"/>
    <w:rsid w:val="001933FF"/>
    <w:rsid w:val="00196CD0"/>
    <w:rsid w:val="001A0D8B"/>
    <w:rsid w:val="001A26D8"/>
    <w:rsid w:val="001A56CB"/>
    <w:rsid w:val="001A5D44"/>
    <w:rsid w:val="001B4297"/>
    <w:rsid w:val="001B4AD3"/>
    <w:rsid w:val="001B4B6E"/>
    <w:rsid w:val="001B5185"/>
    <w:rsid w:val="001B5A58"/>
    <w:rsid w:val="001B62A5"/>
    <w:rsid w:val="001B7955"/>
    <w:rsid w:val="001C09D5"/>
    <w:rsid w:val="001C5CD0"/>
    <w:rsid w:val="001C67B7"/>
    <w:rsid w:val="001C6EF7"/>
    <w:rsid w:val="001D153B"/>
    <w:rsid w:val="001D3241"/>
    <w:rsid w:val="001D3D76"/>
    <w:rsid w:val="001D507F"/>
    <w:rsid w:val="001D51E7"/>
    <w:rsid w:val="001D5D77"/>
    <w:rsid w:val="001D7332"/>
    <w:rsid w:val="001E31F1"/>
    <w:rsid w:val="001E44D5"/>
    <w:rsid w:val="001F0A06"/>
    <w:rsid w:val="001F2D1D"/>
    <w:rsid w:val="001F5972"/>
    <w:rsid w:val="001F691D"/>
    <w:rsid w:val="001F6DA2"/>
    <w:rsid w:val="00200473"/>
    <w:rsid w:val="00200A59"/>
    <w:rsid w:val="00201810"/>
    <w:rsid w:val="002039FC"/>
    <w:rsid w:val="00203D9B"/>
    <w:rsid w:val="00204357"/>
    <w:rsid w:val="00207647"/>
    <w:rsid w:val="002134F8"/>
    <w:rsid w:val="00220DCB"/>
    <w:rsid w:val="0022197B"/>
    <w:rsid w:val="00223765"/>
    <w:rsid w:val="002241AE"/>
    <w:rsid w:val="00225793"/>
    <w:rsid w:val="00230D85"/>
    <w:rsid w:val="00235596"/>
    <w:rsid w:val="00242FAE"/>
    <w:rsid w:val="00247DF0"/>
    <w:rsid w:val="00250444"/>
    <w:rsid w:val="00250A1C"/>
    <w:rsid w:val="002603E2"/>
    <w:rsid w:val="00263D1D"/>
    <w:rsid w:val="00265143"/>
    <w:rsid w:val="0026780E"/>
    <w:rsid w:val="00267C5C"/>
    <w:rsid w:val="00272BA9"/>
    <w:rsid w:val="002825D9"/>
    <w:rsid w:val="00282E72"/>
    <w:rsid w:val="00284207"/>
    <w:rsid w:val="00285155"/>
    <w:rsid w:val="002853CC"/>
    <w:rsid w:val="0029113E"/>
    <w:rsid w:val="00292568"/>
    <w:rsid w:val="00293A4C"/>
    <w:rsid w:val="00295FD8"/>
    <w:rsid w:val="002A3EB6"/>
    <w:rsid w:val="002A4E0C"/>
    <w:rsid w:val="002A5652"/>
    <w:rsid w:val="002B0DF9"/>
    <w:rsid w:val="002B26FA"/>
    <w:rsid w:val="002B3BCC"/>
    <w:rsid w:val="002C0B55"/>
    <w:rsid w:val="002C1BFD"/>
    <w:rsid w:val="002C621B"/>
    <w:rsid w:val="002D0297"/>
    <w:rsid w:val="002D3F76"/>
    <w:rsid w:val="002D5177"/>
    <w:rsid w:val="002E002E"/>
    <w:rsid w:val="002E7B57"/>
    <w:rsid w:val="002F218F"/>
    <w:rsid w:val="002F2E98"/>
    <w:rsid w:val="002F2F5C"/>
    <w:rsid w:val="002F3AFA"/>
    <w:rsid w:val="002F4086"/>
    <w:rsid w:val="002F4961"/>
    <w:rsid w:val="002F53CC"/>
    <w:rsid w:val="002F62D0"/>
    <w:rsid w:val="00303209"/>
    <w:rsid w:val="003060BC"/>
    <w:rsid w:val="00306359"/>
    <w:rsid w:val="00310F69"/>
    <w:rsid w:val="0031193D"/>
    <w:rsid w:val="00313435"/>
    <w:rsid w:val="003147C8"/>
    <w:rsid w:val="003237A9"/>
    <w:rsid w:val="00323F61"/>
    <w:rsid w:val="00326928"/>
    <w:rsid w:val="003316DD"/>
    <w:rsid w:val="003345D1"/>
    <w:rsid w:val="003347AA"/>
    <w:rsid w:val="00335D65"/>
    <w:rsid w:val="003362E2"/>
    <w:rsid w:val="00336570"/>
    <w:rsid w:val="00341E1C"/>
    <w:rsid w:val="00344248"/>
    <w:rsid w:val="003457EA"/>
    <w:rsid w:val="00351212"/>
    <w:rsid w:val="00352560"/>
    <w:rsid w:val="0035316D"/>
    <w:rsid w:val="00354E18"/>
    <w:rsid w:val="00355217"/>
    <w:rsid w:val="00355472"/>
    <w:rsid w:val="00355B10"/>
    <w:rsid w:val="00357269"/>
    <w:rsid w:val="00357CDA"/>
    <w:rsid w:val="003614E0"/>
    <w:rsid w:val="0036241F"/>
    <w:rsid w:val="00362747"/>
    <w:rsid w:val="00365DC6"/>
    <w:rsid w:val="003668DA"/>
    <w:rsid w:val="003672DE"/>
    <w:rsid w:val="00367541"/>
    <w:rsid w:val="00374CE4"/>
    <w:rsid w:val="00375760"/>
    <w:rsid w:val="00382063"/>
    <w:rsid w:val="00383D31"/>
    <w:rsid w:val="0038566B"/>
    <w:rsid w:val="00385FD4"/>
    <w:rsid w:val="00392490"/>
    <w:rsid w:val="00392ACE"/>
    <w:rsid w:val="00394BC2"/>
    <w:rsid w:val="00397087"/>
    <w:rsid w:val="00397E0F"/>
    <w:rsid w:val="003A09D2"/>
    <w:rsid w:val="003A1E35"/>
    <w:rsid w:val="003A68BC"/>
    <w:rsid w:val="003B1650"/>
    <w:rsid w:val="003B2D99"/>
    <w:rsid w:val="003B50BB"/>
    <w:rsid w:val="003B5D3C"/>
    <w:rsid w:val="003B7966"/>
    <w:rsid w:val="003D0635"/>
    <w:rsid w:val="003D06B3"/>
    <w:rsid w:val="003D0C77"/>
    <w:rsid w:val="003D1599"/>
    <w:rsid w:val="003D3D6D"/>
    <w:rsid w:val="003E11EB"/>
    <w:rsid w:val="003E1857"/>
    <w:rsid w:val="003E7B32"/>
    <w:rsid w:val="003F089A"/>
    <w:rsid w:val="003F511E"/>
    <w:rsid w:val="003F5954"/>
    <w:rsid w:val="004010B8"/>
    <w:rsid w:val="004015A0"/>
    <w:rsid w:val="00401C22"/>
    <w:rsid w:val="00404276"/>
    <w:rsid w:val="00404E40"/>
    <w:rsid w:val="004056A6"/>
    <w:rsid w:val="00410153"/>
    <w:rsid w:val="00410CFC"/>
    <w:rsid w:val="0041177D"/>
    <w:rsid w:val="0041186B"/>
    <w:rsid w:val="00412342"/>
    <w:rsid w:val="004131B1"/>
    <w:rsid w:val="00414F67"/>
    <w:rsid w:val="00416584"/>
    <w:rsid w:val="00417E73"/>
    <w:rsid w:val="00420D59"/>
    <w:rsid w:val="00423983"/>
    <w:rsid w:val="00426989"/>
    <w:rsid w:val="00431E4D"/>
    <w:rsid w:val="00436E33"/>
    <w:rsid w:val="004419EC"/>
    <w:rsid w:val="0044314F"/>
    <w:rsid w:val="004502DC"/>
    <w:rsid w:val="00453025"/>
    <w:rsid w:val="0046290A"/>
    <w:rsid w:val="00467811"/>
    <w:rsid w:val="00473583"/>
    <w:rsid w:val="004808F4"/>
    <w:rsid w:val="00487F0A"/>
    <w:rsid w:val="004900EF"/>
    <w:rsid w:val="004A0C95"/>
    <w:rsid w:val="004A1230"/>
    <w:rsid w:val="004A300C"/>
    <w:rsid w:val="004A3DB3"/>
    <w:rsid w:val="004A3FB6"/>
    <w:rsid w:val="004A6E44"/>
    <w:rsid w:val="004B11AB"/>
    <w:rsid w:val="004B22BD"/>
    <w:rsid w:val="004C77EE"/>
    <w:rsid w:val="004D2813"/>
    <w:rsid w:val="004D46AE"/>
    <w:rsid w:val="004D63F3"/>
    <w:rsid w:val="004E3404"/>
    <w:rsid w:val="004E3B3C"/>
    <w:rsid w:val="004F2276"/>
    <w:rsid w:val="004F7B6E"/>
    <w:rsid w:val="0050169C"/>
    <w:rsid w:val="00501A08"/>
    <w:rsid w:val="005053E9"/>
    <w:rsid w:val="0050768F"/>
    <w:rsid w:val="005105FC"/>
    <w:rsid w:val="00511CB3"/>
    <w:rsid w:val="00514525"/>
    <w:rsid w:val="00520141"/>
    <w:rsid w:val="005239EE"/>
    <w:rsid w:val="00525475"/>
    <w:rsid w:val="005306F4"/>
    <w:rsid w:val="00531873"/>
    <w:rsid w:val="0054390E"/>
    <w:rsid w:val="00547641"/>
    <w:rsid w:val="00547B50"/>
    <w:rsid w:val="00550304"/>
    <w:rsid w:val="00550CBE"/>
    <w:rsid w:val="00560E51"/>
    <w:rsid w:val="00564007"/>
    <w:rsid w:val="0056676E"/>
    <w:rsid w:val="00581601"/>
    <w:rsid w:val="00581A81"/>
    <w:rsid w:val="00581D63"/>
    <w:rsid w:val="005856A6"/>
    <w:rsid w:val="0058795B"/>
    <w:rsid w:val="00594C41"/>
    <w:rsid w:val="005A07F1"/>
    <w:rsid w:val="005A0F03"/>
    <w:rsid w:val="005A3959"/>
    <w:rsid w:val="005A439C"/>
    <w:rsid w:val="005A5CFA"/>
    <w:rsid w:val="005B406F"/>
    <w:rsid w:val="005B40F8"/>
    <w:rsid w:val="005B6F22"/>
    <w:rsid w:val="005B7789"/>
    <w:rsid w:val="005B7DAA"/>
    <w:rsid w:val="005C14F4"/>
    <w:rsid w:val="005C2DF2"/>
    <w:rsid w:val="005C391C"/>
    <w:rsid w:val="005C6B56"/>
    <w:rsid w:val="005D3661"/>
    <w:rsid w:val="005D54FA"/>
    <w:rsid w:val="005E32CB"/>
    <w:rsid w:val="005E450B"/>
    <w:rsid w:val="005E5B28"/>
    <w:rsid w:val="005E5E70"/>
    <w:rsid w:val="005F232D"/>
    <w:rsid w:val="005F301B"/>
    <w:rsid w:val="005F5FBD"/>
    <w:rsid w:val="006030F8"/>
    <w:rsid w:val="00613EAA"/>
    <w:rsid w:val="006157EF"/>
    <w:rsid w:val="0062632B"/>
    <w:rsid w:val="00626C6A"/>
    <w:rsid w:val="006278DD"/>
    <w:rsid w:val="00630FC7"/>
    <w:rsid w:val="00631A50"/>
    <w:rsid w:val="00631F98"/>
    <w:rsid w:val="006325F7"/>
    <w:rsid w:val="0063284B"/>
    <w:rsid w:val="006351B5"/>
    <w:rsid w:val="006419EB"/>
    <w:rsid w:val="006428B6"/>
    <w:rsid w:val="00645D08"/>
    <w:rsid w:val="00652893"/>
    <w:rsid w:val="00652A67"/>
    <w:rsid w:val="00652E55"/>
    <w:rsid w:val="00655A7D"/>
    <w:rsid w:val="0065658F"/>
    <w:rsid w:val="006613FC"/>
    <w:rsid w:val="00661FAC"/>
    <w:rsid w:val="006658C3"/>
    <w:rsid w:val="00665A39"/>
    <w:rsid w:val="006670F9"/>
    <w:rsid w:val="0066722D"/>
    <w:rsid w:val="006678E4"/>
    <w:rsid w:val="00676DCF"/>
    <w:rsid w:val="00682325"/>
    <w:rsid w:val="00684B8B"/>
    <w:rsid w:val="0069232E"/>
    <w:rsid w:val="00692557"/>
    <w:rsid w:val="006954A3"/>
    <w:rsid w:val="00695A9B"/>
    <w:rsid w:val="00697DD7"/>
    <w:rsid w:val="006A0B7F"/>
    <w:rsid w:val="006A1C5F"/>
    <w:rsid w:val="006A41A6"/>
    <w:rsid w:val="006A5B31"/>
    <w:rsid w:val="006A7E90"/>
    <w:rsid w:val="006B4357"/>
    <w:rsid w:val="006B6F5E"/>
    <w:rsid w:val="006C0C58"/>
    <w:rsid w:val="006C653C"/>
    <w:rsid w:val="006D376A"/>
    <w:rsid w:val="006D732D"/>
    <w:rsid w:val="006D7DA7"/>
    <w:rsid w:val="006E1CBA"/>
    <w:rsid w:val="006E4C96"/>
    <w:rsid w:val="006F0941"/>
    <w:rsid w:val="006F1797"/>
    <w:rsid w:val="006F3255"/>
    <w:rsid w:val="007000D5"/>
    <w:rsid w:val="00700583"/>
    <w:rsid w:val="00700FDC"/>
    <w:rsid w:val="00703404"/>
    <w:rsid w:val="00704A5D"/>
    <w:rsid w:val="00706072"/>
    <w:rsid w:val="007162C8"/>
    <w:rsid w:val="007163DC"/>
    <w:rsid w:val="007266FD"/>
    <w:rsid w:val="007309CD"/>
    <w:rsid w:val="00732FA0"/>
    <w:rsid w:val="0073498C"/>
    <w:rsid w:val="0073603F"/>
    <w:rsid w:val="0073660C"/>
    <w:rsid w:val="00740C51"/>
    <w:rsid w:val="007435A8"/>
    <w:rsid w:val="00744508"/>
    <w:rsid w:val="00746FB3"/>
    <w:rsid w:val="00747F5A"/>
    <w:rsid w:val="00750399"/>
    <w:rsid w:val="007504C0"/>
    <w:rsid w:val="00750E5F"/>
    <w:rsid w:val="00753438"/>
    <w:rsid w:val="00756572"/>
    <w:rsid w:val="00757027"/>
    <w:rsid w:val="00760272"/>
    <w:rsid w:val="00765ABC"/>
    <w:rsid w:val="00765C02"/>
    <w:rsid w:val="00770E4B"/>
    <w:rsid w:val="0077226A"/>
    <w:rsid w:val="00776448"/>
    <w:rsid w:val="007779C8"/>
    <w:rsid w:val="00785A17"/>
    <w:rsid w:val="0078600C"/>
    <w:rsid w:val="00791107"/>
    <w:rsid w:val="00792291"/>
    <w:rsid w:val="00794D45"/>
    <w:rsid w:val="0079671B"/>
    <w:rsid w:val="00796C18"/>
    <w:rsid w:val="007971F2"/>
    <w:rsid w:val="007972BB"/>
    <w:rsid w:val="007A03E7"/>
    <w:rsid w:val="007A1A8B"/>
    <w:rsid w:val="007A239E"/>
    <w:rsid w:val="007A6338"/>
    <w:rsid w:val="007A7598"/>
    <w:rsid w:val="007B0656"/>
    <w:rsid w:val="007B4902"/>
    <w:rsid w:val="007B573C"/>
    <w:rsid w:val="007C6313"/>
    <w:rsid w:val="007D6856"/>
    <w:rsid w:val="007D784F"/>
    <w:rsid w:val="007E1FAD"/>
    <w:rsid w:val="007E5660"/>
    <w:rsid w:val="007E5F57"/>
    <w:rsid w:val="007E6AB7"/>
    <w:rsid w:val="007E745A"/>
    <w:rsid w:val="00800CC1"/>
    <w:rsid w:val="00801F3B"/>
    <w:rsid w:val="0080350D"/>
    <w:rsid w:val="008046A7"/>
    <w:rsid w:val="00804D98"/>
    <w:rsid w:val="00804FF1"/>
    <w:rsid w:val="008116C5"/>
    <w:rsid w:val="00811EF7"/>
    <w:rsid w:val="008133EF"/>
    <w:rsid w:val="0081363D"/>
    <w:rsid w:val="00817C5C"/>
    <w:rsid w:val="00820248"/>
    <w:rsid w:val="00822D82"/>
    <w:rsid w:val="00823EC7"/>
    <w:rsid w:val="00825080"/>
    <w:rsid w:val="00826ED9"/>
    <w:rsid w:val="00832CF5"/>
    <w:rsid w:val="0084198C"/>
    <w:rsid w:val="008442F1"/>
    <w:rsid w:val="0084484F"/>
    <w:rsid w:val="0084511A"/>
    <w:rsid w:val="00850DFF"/>
    <w:rsid w:val="008512D2"/>
    <w:rsid w:val="00851906"/>
    <w:rsid w:val="00853D51"/>
    <w:rsid w:val="008548A5"/>
    <w:rsid w:val="00862CD8"/>
    <w:rsid w:val="00862ED7"/>
    <w:rsid w:val="008634E1"/>
    <w:rsid w:val="008645E0"/>
    <w:rsid w:val="00864A60"/>
    <w:rsid w:val="008658C0"/>
    <w:rsid w:val="00870EF8"/>
    <w:rsid w:val="0087799C"/>
    <w:rsid w:val="008804E7"/>
    <w:rsid w:val="00882A1E"/>
    <w:rsid w:val="00886A9F"/>
    <w:rsid w:val="00890194"/>
    <w:rsid w:val="00891010"/>
    <w:rsid w:val="00891435"/>
    <w:rsid w:val="00897BC2"/>
    <w:rsid w:val="00897EEA"/>
    <w:rsid w:val="008A0EFC"/>
    <w:rsid w:val="008A54D8"/>
    <w:rsid w:val="008A559F"/>
    <w:rsid w:val="008A7856"/>
    <w:rsid w:val="008A7C63"/>
    <w:rsid w:val="008B025C"/>
    <w:rsid w:val="008B48AC"/>
    <w:rsid w:val="008B5FBF"/>
    <w:rsid w:val="008B7998"/>
    <w:rsid w:val="008C1260"/>
    <w:rsid w:val="008C7896"/>
    <w:rsid w:val="008D03D4"/>
    <w:rsid w:val="008D322E"/>
    <w:rsid w:val="008D3488"/>
    <w:rsid w:val="008D5354"/>
    <w:rsid w:val="008D688F"/>
    <w:rsid w:val="008D6A84"/>
    <w:rsid w:val="008E01FC"/>
    <w:rsid w:val="008E0589"/>
    <w:rsid w:val="008E08D9"/>
    <w:rsid w:val="008E10B5"/>
    <w:rsid w:val="008E2788"/>
    <w:rsid w:val="008E51A0"/>
    <w:rsid w:val="008E5A20"/>
    <w:rsid w:val="008E6039"/>
    <w:rsid w:val="008F13BE"/>
    <w:rsid w:val="008F14D9"/>
    <w:rsid w:val="008F4C6E"/>
    <w:rsid w:val="008F4E72"/>
    <w:rsid w:val="008F5183"/>
    <w:rsid w:val="008F771F"/>
    <w:rsid w:val="009025D7"/>
    <w:rsid w:val="009032F1"/>
    <w:rsid w:val="00905284"/>
    <w:rsid w:val="009126E2"/>
    <w:rsid w:val="009167EB"/>
    <w:rsid w:val="00916DD0"/>
    <w:rsid w:val="00922F65"/>
    <w:rsid w:val="009249A4"/>
    <w:rsid w:val="00924A4D"/>
    <w:rsid w:val="00924D9E"/>
    <w:rsid w:val="009251C1"/>
    <w:rsid w:val="00931964"/>
    <w:rsid w:val="009477E2"/>
    <w:rsid w:val="00953505"/>
    <w:rsid w:val="00953CDB"/>
    <w:rsid w:val="00955800"/>
    <w:rsid w:val="00955973"/>
    <w:rsid w:val="009579B5"/>
    <w:rsid w:val="00957AB6"/>
    <w:rsid w:val="0096108F"/>
    <w:rsid w:val="0096375E"/>
    <w:rsid w:val="009642B9"/>
    <w:rsid w:val="00964974"/>
    <w:rsid w:val="00970741"/>
    <w:rsid w:val="00972710"/>
    <w:rsid w:val="009731A6"/>
    <w:rsid w:val="00977DD4"/>
    <w:rsid w:val="00981675"/>
    <w:rsid w:val="009825E6"/>
    <w:rsid w:val="00986E5E"/>
    <w:rsid w:val="0099014D"/>
    <w:rsid w:val="0099106D"/>
    <w:rsid w:val="00993079"/>
    <w:rsid w:val="009A37A8"/>
    <w:rsid w:val="009A3843"/>
    <w:rsid w:val="009A3DA5"/>
    <w:rsid w:val="009A42F0"/>
    <w:rsid w:val="009A46E2"/>
    <w:rsid w:val="009A55FB"/>
    <w:rsid w:val="009A65EE"/>
    <w:rsid w:val="009B01FC"/>
    <w:rsid w:val="009B1788"/>
    <w:rsid w:val="009B3450"/>
    <w:rsid w:val="009B494B"/>
    <w:rsid w:val="009C00E1"/>
    <w:rsid w:val="009C656A"/>
    <w:rsid w:val="009C6BA9"/>
    <w:rsid w:val="009C7500"/>
    <w:rsid w:val="009C7ADA"/>
    <w:rsid w:val="009C7D13"/>
    <w:rsid w:val="009D1478"/>
    <w:rsid w:val="009D653C"/>
    <w:rsid w:val="009D6A63"/>
    <w:rsid w:val="009E04FE"/>
    <w:rsid w:val="009E61DA"/>
    <w:rsid w:val="009F1DD6"/>
    <w:rsid w:val="009F4B98"/>
    <w:rsid w:val="00A03B54"/>
    <w:rsid w:val="00A10D76"/>
    <w:rsid w:val="00A121A8"/>
    <w:rsid w:val="00A160A5"/>
    <w:rsid w:val="00A17D7E"/>
    <w:rsid w:val="00A2212B"/>
    <w:rsid w:val="00A2299F"/>
    <w:rsid w:val="00A23085"/>
    <w:rsid w:val="00A23CC9"/>
    <w:rsid w:val="00A31A90"/>
    <w:rsid w:val="00A32C1E"/>
    <w:rsid w:val="00A3312A"/>
    <w:rsid w:val="00A400E4"/>
    <w:rsid w:val="00A422F0"/>
    <w:rsid w:val="00A43759"/>
    <w:rsid w:val="00A447D7"/>
    <w:rsid w:val="00A53339"/>
    <w:rsid w:val="00A538AE"/>
    <w:rsid w:val="00A563DE"/>
    <w:rsid w:val="00A571A5"/>
    <w:rsid w:val="00A6124F"/>
    <w:rsid w:val="00A619F2"/>
    <w:rsid w:val="00A620C3"/>
    <w:rsid w:val="00A66EE1"/>
    <w:rsid w:val="00A704D6"/>
    <w:rsid w:val="00A742CD"/>
    <w:rsid w:val="00A7551E"/>
    <w:rsid w:val="00A813CC"/>
    <w:rsid w:val="00A86EF2"/>
    <w:rsid w:val="00A929AF"/>
    <w:rsid w:val="00A93BAC"/>
    <w:rsid w:val="00A940BF"/>
    <w:rsid w:val="00A95016"/>
    <w:rsid w:val="00A97924"/>
    <w:rsid w:val="00AA053A"/>
    <w:rsid w:val="00AA7129"/>
    <w:rsid w:val="00AA76C0"/>
    <w:rsid w:val="00AA7EF1"/>
    <w:rsid w:val="00AB5102"/>
    <w:rsid w:val="00AB76C3"/>
    <w:rsid w:val="00AC602B"/>
    <w:rsid w:val="00AC744E"/>
    <w:rsid w:val="00AD12EB"/>
    <w:rsid w:val="00AD6499"/>
    <w:rsid w:val="00AE29C1"/>
    <w:rsid w:val="00AE3498"/>
    <w:rsid w:val="00AF47FE"/>
    <w:rsid w:val="00AF4989"/>
    <w:rsid w:val="00B02E6A"/>
    <w:rsid w:val="00B05175"/>
    <w:rsid w:val="00B063BE"/>
    <w:rsid w:val="00B1036E"/>
    <w:rsid w:val="00B12A7B"/>
    <w:rsid w:val="00B1319D"/>
    <w:rsid w:val="00B278A7"/>
    <w:rsid w:val="00B33FCA"/>
    <w:rsid w:val="00B344DE"/>
    <w:rsid w:val="00B34BD9"/>
    <w:rsid w:val="00B37FFC"/>
    <w:rsid w:val="00B40763"/>
    <w:rsid w:val="00B40833"/>
    <w:rsid w:val="00B47910"/>
    <w:rsid w:val="00B53662"/>
    <w:rsid w:val="00B54E67"/>
    <w:rsid w:val="00B56F4E"/>
    <w:rsid w:val="00B5706A"/>
    <w:rsid w:val="00B611ED"/>
    <w:rsid w:val="00B647D4"/>
    <w:rsid w:val="00B65B0F"/>
    <w:rsid w:val="00B672EB"/>
    <w:rsid w:val="00B717B6"/>
    <w:rsid w:val="00B730A1"/>
    <w:rsid w:val="00B74257"/>
    <w:rsid w:val="00B74849"/>
    <w:rsid w:val="00B75E34"/>
    <w:rsid w:val="00B80536"/>
    <w:rsid w:val="00B8357B"/>
    <w:rsid w:val="00B8414B"/>
    <w:rsid w:val="00B863E2"/>
    <w:rsid w:val="00B87957"/>
    <w:rsid w:val="00B9293A"/>
    <w:rsid w:val="00B9633E"/>
    <w:rsid w:val="00B96759"/>
    <w:rsid w:val="00B96957"/>
    <w:rsid w:val="00B9729D"/>
    <w:rsid w:val="00B97A21"/>
    <w:rsid w:val="00BA1AE6"/>
    <w:rsid w:val="00BA2719"/>
    <w:rsid w:val="00BB0429"/>
    <w:rsid w:val="00BB1D64"/>
    <w:rsid w:val="00BB4F83"/>
    <w:rsid w:val="00BB72D4"/>
    <w:rsid w:val="00BC1EB7"/>
    <w:rsid w:val="00BC3C03"/>
    <w:rsid w:val="00BC4B09"/>
    <w:rsid w:val="00BD01BD"/>
    <w:rsid w:val="00BD2778"/>
    <w:rsid w:val="00BD299D"/>
    <w:rsid w:val="00BD3083"/>
    <w:rsid w:val="00BD7D1C"/>
    <w:rsid w:val="00BE27DE"/>
    <w:rsid w:val="00BE3318"/>
    <w:rsid w:val="00BE501F"/>
    <w:rsid w:val="00BE564A"/>
    <w:rsid w:val="00BF2D25"/>
    <w:rsid w:val="00BF52D8"/>
    <w:rsid w:val="00BF5C31"/>
    <w:rsid w:val="00C0010D"/>
    <w:rsid w:val="00C00111"/>
    <w:rsid w:val="00C02517"/>
    <w:rsid w:val="00C03227"/>
    <w:rsid w:val="00C040A1"/>
    <w:rsid w:val="00C04E9F"/>
    <w:rsid w:val="00C0522C"/>
    <w:rsid w:val="00C060CC"/>
    <w:rsid w:val="00C07033"/>
    <w:rsid w:val="00C148B8"/>
    <w:rsid w:val="00C23B98"/>
    <w:rsid w:val="00C24FFB"/>
    <w:rsid w:val="00C32EB5"/>
    <w:rsid w:val="00C33101"/>
    <w:rsid w:val="00C365F1"/>
    <w:rsid w:val="00C3679F"/>
    <w:rsid w:val="00C37959"/>
    <w:rsid w:val="00C411B0"/>
    <w:rsid w:val="00C43C20"/>
    <w:rsid w:val="00C44A8C"/>
    <w:rsid w:val="00C477F2"/>
    <w:rsid w:val="00C501C1"/>
    <w:rsid w:val="00C5652C"/>
    <w:rsid w:val="00C56922"/>
    <w:rsid w:val="00C71955"/>
    <w:rsid w:val="00C722A1"/>
    <w:rsid w:val="00C7730F"/>
    <w:rsid w:val="00C8022B"/>
    <w:rsid w:val="00C80242"/>
    <w:rsid w:val="00C86A76"/>
    <w:rsid w:val="00C96E81"/>
    <w:rsid w:val="00CA2CAC"/>
    <w:rsid w:val="00CA65C7"/>
    <w:rsid w:val="00CB0341"/>
    <w:rsid w:val="00CB264C"/>
    <w:rsid w:val="00CC3771"/>
    <w:rsid w:val="00CC5017"/>
    <w:rsid w:val="00CC7746"/>
    <w:rsid w:val="00CD1324"/>
    <w:rsid w:val="00CD58E6"/>
    <w:rsid w:val="00CE0462"/>
    <w:rsid w:val="00CE0AC3"/>
    <w:rsid w:val="00CE69CD"/>
    <w:rsid w:val="00CF1E87"/>
    <w:rsid w:val="00CF20B6"/>
    <w:rsid w:val="00CF49B2"/>
    <w:rsid w:val="00CF52DA"/>
    <w:rsid w:val="00CF6112"/>
    <w:rsid w:val="00CF7993"/>
    <w:rsid w:val="00D111EB"/>
    <w:rsid w:val="00D13995"/>
    <w:rsid w:val="00D14BD6"/>
    <w:rsid w:val="00D14CF2"/>
    <w:rsid w:val="00D14FFC"/>
    <w:rsid w:val="00D21EB6"/>
    <w:rsid w:val="00D2300A"/>
    <w:rsid w:val="00D274AE"/>
    <w:rsid w:val="00D27B0E"/>
    <w:rsid w:val="00D31C94"/>
    <w:rsid w:val="00D34671"/>
    <w:rsid w:val="00D350E1"/>
    <w:rsid w:val="00D35BA4"/>
    <w:rsid w:val="00D40043"/>
    <w:rsid w:val="00D4187B"/>
    <w:rsid w:val="00D41E1D"/>
    <w:rsid w:val="00D4238C"/>
    <w:rsid w:val="00D43D2D"/>
    <w:rsid w:val="00D45640"/>
    <w:rsid w:val="00D45DB8"/>
    <w:rsid w:val="00D46669"/>
    <w:rsid w:val="00D46FD1"/>
    <w:rsid w:val="00D5086C"/>
    <w:rsid w:val="00D508A8"/>
    <w:rsid w:val="00D55194"/>
    <w:rsid w:val="00D612D0"/>
    <w:rsid w:val="00D6209A"/>
    <w:rsid w:val="00D62975"/>
    <w:rsid w:val="00D72A93"/>
    <w:rsid w:val="00D7532A"/>
    <w:rsid w:val="00D76E6A"/>
    <w:rsid w:val="00D84EAA"/>
    <w:rsid w:val="00DA1326"/>
    <w:rsid w:val="00DA2271"/>
    <w:rsid w:val="00DA2674"/>
    <w:rsid w:val="00DA4EB6"/>
    <w:rsid w:val="00DA612B"/>
    <w:rsid w:val="00DA7346"/>
    <w:rsid w:val="00DB3354"/>
    <w:rsid w:val="00DB4A45"/>
    <w:rsid w:val="00DB6000"/>
    <w:rsid w:val="00DB74A8"/>
    <w:rsid w:val="00DC5560"/>
    <w:rsid w:val="00DD1F7A"/>
    <w:rsid w:val="00DD3A44"/>
    <w:rsid w:val="00DD5622"/>
    <w:rsid w:val="00DD5FC6"/>
    <w:rsid w:val="00DE0178"/>
    <w:rsid w:val="00DE1CBF"/>
    <w:rsid w:val="00DE531C"/>
    <w:rsid w:val="00DF2851"/>
    <w:rsid w:val="00DF41D6"/>
    <w:rsid w:val="00E03DF2"/>
    <w:rsid w:val="00E063DF"/>
    <w:rsid w:val="00E07FC1"/>
    <w:rsid w:val="00E10021"/>
    <w:rsid w:val="00E1491C"/>
    <w:rsid w:val="00E166DF"/>
    <w:rsid w:val="00E16E0D"/>
    <w:rsid w:val="00E17B7D"/>
    <w:rsid w:val="00E17D22"/>
    <w:rsid w:val="00E17DCB"/>
    <w:rsid w:val="00E201D5"/>
    <w:rsid w:val="00E2134C"/>
    <w:rsid w:val="00E25CD3"/>
    <w:rsid w:val="00E27C4C"/>
    <w:rsid w:val="00E31C7B"/>
    <w:rsid w:val="00E348E9"/>
    <w:rsid w:val="00E37F52"/>
    <w:rsid w:val="00E43ECD"/>
    <w:rsid w:val="00E47F9F"/>
    <w:rsid w:val="00E535F3"/>
    <w:rsid w:val="00E623AD"/>
    <w:rsid w:val="00E6460A"/>
    <w:rsid w:val="00E64B99"/>
    <w:rsid w:val="00E651FA"/>
    <w:rsid w:val="00E655CD"/>
    <w:rsid w:val="00E675FD"/>
    <w:rsid w:val="00E728FD"/>
    <w:rsid w:val="00E7438F"/>
    <w:rsid w:val="00E75D8A"/>
    <w:rsid w:val="00E8556D"/>
    <w:rsid w:val="00E871D5"/>
    <w:rsid w:val="00E9263F"/>
    <w:rsid w:val="00E974E2"/>
    <w:rsid w:val="00EA5131"/>
    <w:rsid w:val="00EA7375"/>
    <w:rsid w:val="00EB0F51"/>
    <w:rsid w:val="00EB1669"/>
    <w:rsid w:val="00EB7411"/>
    <w:rsid w:val="00EC014C"/>
    <w:rsid w:val="00EC4C15"/>
    <w:rsid w:val="00EC74C4"/>
    <w:rsid w:val="00ED0AA7"/>
    <w:rsid w:val="00ED6B1A"/>
    <w:rsid w:val="00ED7370"/>
    <w:rsid w:val="00EE02EC"/>
    <w:rsid w:val="00EE2570"/>
    <w:rsid w:val="00EE5F17"/>
    <w:rsid w:val="00EE6878"/>
    <w:rsid w:val="00EF18C9"/>
    <w:rsid w:val="00EF4430"/>
    <w:rsid w:val="00EF5F4F"/>
    <w:rsid w:val="00F016D5"/>
    <w:rsid w:val="00F10C81"/>
    <w:rsid w:val="00F133FD"/>
    <w:rsid w:val="00F1677D"/>
    <w:rsid w:val="00F17D94"/>
    <w:rsid w:val="00F20654"/>
    <w:rsid w:val="00F20ED0"/>
    <w:rsid w:val="00F24394"/>
    <w:rsid w:val="00F27844"/>
    <w:rsid w:val="00F37338"/>
    <w:rsid w:val="00F4038D"/>
    <w:rsid w:val="00F45634"/>
    <w:rsid w:val="00F50186"/>
    <w:rsid w:val="00F560C2"/>
    <w:rsid w:val="00F571E2"/>
    <w:rsid w:val="00F61341"/>
    <w:rsid w:val="00F633EB"/>
    <w:rsid w:val="00F64A60"/>
    <w:rsid w:val="00F64B05"/>
    <w:rsid w:val="00F6644F"/>
    <w:rsid w:val="00F71BE4"/>
    <w:rsid w:val="00F73AC6"/>
    <w:rsid w:val="00F7686B"/>
    <w:rsid w:val="00F771FA"/>
    <w:rsid w:val="00F816C8"/>
    <w:rsid w:val="00F8224F"/>
    <w:rsid w:val="00F8278D"/>
    <w:rsid w:val="00F82FB1"/>
    <w:rsid w:val="00F8302A"/>
    <w:rsid w:val="00F84D0F"/>
    <w:rsid w:val="00F85003"/>
    <w:rsid w:val="00F91013"/>
    <w:rsid w:val="00F932FB"/>
    <w:rsid w:val="00FA4304"/>
    <w:rsid w:val="00FA446D"/>
    <w:rsid w:val="00FB05FB"/>
    <w:rsid w:val="00FB14FA"/>
    <w:rsid w:val="00FB57FB"/>
    <w:rsid w:val="00FC1BA1"/>
    <w:rsid w:val="00FC36AB"/>
    <w:rsid w:val="00FD10B5"/>
    <w:rsid w:val="00FD43E0"/>
    <w:rsid w:val="00FE0E63"/>
    <w:rsid w:val="00FE3E6E"/>
    <w:rsid w:val="00FE4817"/>
    <w:rsid w:val="00FF0C9B"/>
    <w:rsid w:val="00FF2D5D"/>
    <w:rsid w:val="00FF2E3A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5A5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08"/>
  </w:style>
  <w:style w:type="paragraph" w:styleId="Footer">
    <w:name w:val="footer"/>
    <w:basedOn w:val="Normal"/>
    <w:link w:val="FooterChar"/>
    <w:uiPriority w:val="99"/>
    <w:unhideWhenUsed/>
    <w:rsid w:val="0064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08"/>
  </w:style>
  <w:style w:type="paragraph" w:styleId="NormalWeb">
    <w:name w:val="Normal (Web)"/>
    <w:basedOn w:val="Normal"/>
    <w:uiPriority w:val="99"/>
    <w:semiHidden/>
    <w:unhideWhenUsed/>
    <w:rsid w:val="0064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112"/>
    <w:pPr>
      <w:spacing w:line="240" w:lineRule="auto"/>
    </w:pPr>
    <w:rPr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112"/>
    <w:rPr>
      <w:rFonts w:eastAsiaTheme="minorEastAsia"/>
      <w:sz w:val="20"/>
      <w:szCs w:val="20"/>
      <w:lang w:val="en-GB" w:eastAsia="ja-JP"/>
    </w:rPr>
  </w:style>
  <w:style w:type="character" w:customStyle="1" w:styleId="st1">
    <w:name w:val="st1"/>
    <w:basedOn w:val="DefaultParagraphFont"/>
    <w:rsid w:val="003D3D6D"/>
  </w:style>
  <w:style w:type="character" w:styleId="Hyperlink">
    <w:name w:val="Hyperlink"/>
    <w:basedOn w:val="DefaultParagraphFont"/>
    <w:uiPriority w:val="99"/>
    <w:unhideWhenUsed/>
    <w:rsid w:val="00FD10B5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E37F5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37F52"/>
    <w:rPr>
      <w:rFonts w:ascii="Calibri" w:hAnsi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983"/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983"/>
    <w:rPr>
      <w:rFonts w:eastAsiaTheme="minorEastAsia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8D5354"/>
    <w:pPr>
      <w:spacing w:after="0" w:line="240" w:lineRule="auto"/>
    </w:pPr>
  </w:style>
  <w:style w:type="paragraph" w:customStyle="1" w:styleId="Table100">
    <w:name w:val="Table10:0"/>
    <w:basedOn w:val="Normal"/>
    <w:link w:val="Table100Char"/>
    <w:uiPriority w:val="99"/>
    <w:rsid w:val="0004314C"/>
    <w:pPr>
      <w:keepNext/>
      <w:spacing w:before="60" w:after="60" w:line="240" w:lineRule="auto"/>
    </w:pPr>
    <w:rPr>
      <w:rFonts w:ascii="Times New Roman" w:eastAsia="MS ??" w:hAnsi="Times New Roman" w:cs="Times New Roman"/>
      <w:sz w:val="20"/>
      <w:szCs w:val="20"/>
      <w:lang w:val="de-DE" w:eastAsia="de-DE"/>
    </w:rPr>
  </w:style>
  <w:style w:type="character" w:customStyle="1" w:styleId="Table100Char">
    <w:name w:val="Table10:0 Char"/>
    <w:link w:val="Table100"/>
    <w:uiPriority w:val="99"/>
    <w:locked/>
    <w:rsid w:val="0004314C"/>
    <w:rPr>
      <w:rFonts w:ascii="Times New Roman" w:eastAsia="MS ??" w:hAnsi="Times New Roman" w:cs="Times New Roman"/>
      <w:sz w:val="20"/>
      <w:szCs w:val="20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63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08"/>
  </w:style>
  <w:style w:type="paragraph" w:styleId="Footer">
    <w:name w:val="footer"/>
    <w:basedOn w:val="Normal"/>
    <w:link w:val="FooterChar"/>
    <w:uiPriority w:val="99"/>
    <w:unhideWhenUsed/>
    <w:rsid w:val="0064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08"/>
  </w:style>
  <w:style w:type="paragraph" w:styleId="NormalWeb">
    <w:name w:val="Normal (Web)"/>
    <w:basedOn w:val="Normal"/>
    <w:uiPriority w:val="99"/>
    <w:semiHidden/>
    <w:unhideWhenUsed/>
    <w:rsid w:val="0064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112"/>
    <w:pPr>
      <w:spacing w:line="240" w:lineRule="auto"/>
    </w:pPr>
    <w:rPr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112"/>
    <w:rPr>
      <w:rFonts w:eastAsiaTheme="minorEastAsia"/>
      <w:sz w:val="20"/>
      <w:szCs w:val="20"/>
      <w:lang w:val="en-GB" w:eastAsia="ja-JP"/>
    </w:rPr>
  </w:style>
  <w:style w:type="character" w:customStyle="1" w:styleId="st1">
    <w:name w:val="st1"/>
    <w:basedOn w:val="DefaultParagraphFont"/>
    <w:rsid w:val="003D3D6D"/>
  </w:style>
  <w:style w:type="character" w:styleId="Hyperlink">
    <w:name w:val="Hyperlink"/>
    <w:basedOn w:val="DefaultParagraphFont"/>
    <w:uiPriority w:val="99"/>
    <w:unhideWhenUsed/>
    <w:rsid w:val="00FD10B5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E37F5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37F52"/>
    <w:rPr>
      <w:rFonts w:ascii="Calibri" w:hAnsi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983"/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983"/>
    <w:rPr>
      <w:rFonts w:eastAsiaTheme="minorEastAsia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8D5354"/>
    <w:pPr>
      <w:spacing w:after="0" w:line="240" w:lineRule="auto"/>
    </w:pPr>
  </w:style>
  <w:style w:type="paragraph" w:customStyle="1" w:styleId="Table100">
    <w:name w:val="Table10:0"/>
    <w:basedOn w:val="Normal"/>
    <w:link w:val="Table100Char"/>
    <w:uiPriority w:val="99"/>
    <w:rsid w:val="0004314C"/>
    <w:pPr>
      <w:keepNext/>
      <w:spacing w:before="60" w:after="60" w:line="240" w:lineRule="auto"/>
    </w:pPr>
    <w:rPr>
      <w:rFonts w:ascii="Times New Roman" w:eastAsia="MS ??" w:hAnsi="Times New Roman" w:cs="Times New Roman"/>
      <w:sz w:val="20"/>
      <w:szCs w:val="20"/>
      <w:lang w:val="de-DE" w:eastAsia="de-DE"/>
    </w:rPr>
  </w:style>
  <w:style w:type="character" w:customStyle="1" w:styleId="Table100Char">
    <w:name w:val="Table10:0 Char"/>
    <w:link w:val="Table100"/>
    <w:uiPriority w:val="99"/>
    <w:locked/>
    <w:rsid w:val="0004314C"/>
    <w:rPr>
      <w:rFonts w:ascii="Times New Roman" w:eastAsia="MS ??" w:hAnsi="Times New Roman" w:cs="Times New Roman"/>
      <w:sz w:val="20"/>
      <w:szCs w:val="20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63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1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42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48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13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62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899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51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6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7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E3E8-D059-4E16-811F-94BDE557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2017-01-09T09:44:00Z</dcterms:created>
  <dcterms:modified xsi:type="dcterms:W3CDTF">2017-01-09T09:44:00Z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-2048883604</vt:i4>
  </property>
  <property fmtid="{D5CDD505-2E9C-101B-9397-08002B2CF9AE}" pid="4" name="_ReviewingToolsShownOnce">
    <vt:lpwstr/>
  </property>
</Properties>
</file>