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64D9" w14:textId="6A1124B2" w:rsidR="00FF4CD9" w:rsidRPr="00FF4CD9" w:rsidRDefault="00FF4CD9">
      <w:pPr>
        <w:widowControl/>
        <w:jc w:val="left"/>
        <w:rPr>
          <w:b/>
          <w:bCs/>
        </w:rPr>
      </w:pPr>
      <w:r w:rsidRPr="00FF4CD9">
        <w:rPr>
          <w:rFonts w:hint="eastAsia"/>
          <w:b/>
          <w:bCs/>
        </w:rPr>
        <w:t>T</w:t>
      </w:r>
      <w:r w:rsidRPr="00FF4CD9">
        <w:rPr>
          <w:b/>
          <w:bCs/>
        </w:rPr>
        <w:t>able S1 Risk of bias for RCT studies</w:t>
      </w:r>
      <w:r>
        <w:rPr>
          <w:b/>
          <w:bCs/>
        </w:rPr>
        <w:t xml:space="preserve"> using Cochrane Collaboration’s Tool</w:t>
      </w:r>
    </w:p>
    <w:tbl>
      <w:tblPr>
        <w:tblW w:w="13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91"/>
        <w:gridCol w:w="1907"/>
        <w:gridCol w:w="1666"/>
        <w:gridCol w:w="1687"/>
        <w:gridCol w:w="1504"/>
        <w:gridCol w:w="1201"/>
      </w:tblGrid>
      <w:tr w:rsidR="00952847" w14:paraId="6B150469" w14:textId="77777777" w:rsidTr="00952847">
        <w:trPr>
          <w:trHeight w:val="246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1559C" w14:textId="77777777" w:rsidR="00FF4CD9" w:rsidRPr="00952847" w:rsidRDefault="00FF4CD9">
            <w:pPr>
              <w:widowControl/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EB2F" w14:textId="77777777" w:rsidR="00FF4CD9" w:rsidRPr="00952847" w:rsidRDefault="00FF4CD9">
            <w:pPr>
              <w:jc w:val="left"/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Selection Bias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35AC" w14:textId="77777777" w:rsidR="00FF4CD9" w:rsidRPr="00952847" w:rsidRDefault="00FF4CD9">
            <w:pPr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Performance Bias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C1241" w14:textId="77777777" w:rsidR="00FF4CD9" w:rsidRPr="00952847" w:rsidRDefault="00FF4CD9">
            <w:pPr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Detection Bias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0A60" w14:textId="77777777" w:rsidR="00FF4CD9" w:rsidRPr="00952847" w:rsidRDefault="00FF4CD9">
            <w:pPr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Attrition Bias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D8A6" w14:textId="77777777" w:rsidR="00FF4CD9" w:rsidRPr="00952847" w:rsidRDefault="00FF4CD9">
            <w:pPr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Reporting Bias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0EA1" w14:textId="77777777" w:rsidR="00FF4CD9" w:rsidRPr="00952847" w:rsidRDefault="00FF4CD9">
            <w:pPr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952847" w14:paraId="138744EB" w14:textId="77777777" w:rsidTr="00952847">
        <w:trPr>
          <w:trHeight w:val="611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72CC1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9E49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Random sequence generation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3CDF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Allocation concealment</w:t>
            </w:r>
          </w:p>
        </w:tc>
        <w:tc>
          <w:tcPr>
            <w:tcW w:w="1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157E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Blinding of participants and personnel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84D9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Blinding of outcome assessment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5F42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Incomplete outcome data addressed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4C81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Selective reporting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CF6C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Other bias</w:t>
            </w:r>
          </w:p>
        </w:tc>
      </w:tr>
      <w:tr w:rsidR="00952847" w14:paraId="6833320D" w14:textId="77777777" w:rsidTr="00952847">
        <w:trPr>
          <w:trHeight w:val="121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A750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Russo 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8DE5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37E6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B44C0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5D8E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E855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BACE4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48085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Unclear</w:t>
            </w:r>
          </w:p>
        </w:tc>
      </w:tr>
      <w:tr w:rsidR="00952847" w14:paraId="4F6FAFF6" w14:textId="77777777" w:rsidTr="00952847">
        <w:trPr>
          <w:trHeight w:val="12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FE5C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Morescalch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1B68A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7890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2181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08A3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42697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2C5F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1739" w14:textId="77777777" w:rsidR="00FF4CD9" w:rsidRDefault="00FF4CD9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Unclear</w:t>
            </w:r>
          </w:p>
        </w:tc>
      </w:tr>
    </w:tbl>
    <w:p w14:paraId="590B34C6" w14:textId="32CF3898" w:rsidR="00FF4CD9" w:rsidRDefault="00FF4CD9" w:rsidP="00FF4CD9">
      <w:pPr>
        <w:widowControl/>
        <w:jc w:val="left"/>
        <w:rPr>
          <w:b/>
          <w:bCs/>
        </w:rPr>
      </w:pPr>
      <w:r>
        <w:t xml:space="preserve"> </w:t>
      </w:r>
      <w:r>
        <w:br w:type="page"/>
      </w:r>
      <w:r w:rsidRPr="00FF4CD9">
        <w:rPr>
          <w:rFonts w:hint="eastAsia"/>
          <w:b/>
          <w:bCs/>
        </w:rPr>
        <w:lastRenderedPageBreak/>
        <w:t>T</w:t>
      </w:r>
      <w:r w:rsidRPr="00FF4CD9">
        <w:rPr>
          <w:b/>
          <w:bCs/>
        </w:rPr>
        <w:t>able S</w:t>
      </w:r>
      <w:r>
        <w:rPr>
          <w:b/>
          <w:bCs/>
        </w:rPr>
        <w:t>2</w:t>
      </w:r>
      <w:r w:rsidRPr="00FF4CD9">
        <w:rPr>
          <w:b/>
          <w:bCs/>
        </w:rPr>
        <w:t xml:space="preserve"> Risk of bias </w:t>
      </w:r>
      <w:r>
        <w:rPr>
          <w:b/>
          <w:bCs/>
        </w:rPr>
        <w:t>cohort</w:t>
      </w:r>
      <w:r w:rsidRPr="00FF4CD9">
        <w:rPr>
          <w:b/>
          <w:bCs/>
        </w:rPr>
        <w:t xml:space="preserve"> studies</w:t>
      </w:r>
      <w:r>
        <w:rPr>
          <w:b/>
          <w:bCs/>
        </w:rPr>
        <w:t xml:space="preserve"> using Newcastle-Ottawa Quality Assessment Scale</w:t>
      </w:r>
    </w:p>
    <w:p w14:paraId="1B68568F" w14:textId="0C224E43" w:rsidR="00952847" w:rsidRDefault="00952847">
      <w:pPr>
        <w:widowControl/>
        <w:jc w:val="left"/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1231"/>
        <w:gridCol w:w="1903"/>
        <w:gridCol w:w="1278"/>
        <w:gridCol w:w="1499"/>
        <w:gridCol w:w="1524"/>
        <w:gridCol w:w="1723"/>
        <w:gridCol w:w="1255"/>
        <w:gridCol w:w="1060"/>
        <w:gridCol w:w="1108"/>
        <w:gridCol w:w="1017"/>
      </w:tblGrid>
      <w:tr w:rsidR="00952847" w:rsidRPr="00274221" w14:paraId="33CC4447" w14:textId="77777777" w:rsidTr="00952847">
        <w:trPr>
          <w:trHeight w:val="187"/>
        </w:trPr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6725" w14:textId="77777777" w:rsidR="00952847" w:rsidRPr="00274221" w:rsidRDefault="00952847" w:rsidP="001B1FDE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b/>
                <w:bCs/>
                <w:color w:val="000000"/>
                <w:kern w:val="0"/>
                <w:sz w:val="22"/>
                <w:szCs w:val="22"/>
              </w:rPr>
              <w:t>Study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BCF3" w14:textId="77777777" w:rsidR="00952847" w:rsidRPr="00274221" w:rsidRDefault="00952847" w:rsidP="001B1FD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274221">
              <w:rPr>
                <w:rFonts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Selection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8D32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74221">
              <w:rPr>
                <w:rFonts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Comparability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859E" w14:textId="77777777" w:rsidR="00952847" w:rsidRPr="00274221" w:rsidRDefault="00952847" w:rsidP="001B1FDE">
            <w:pPr>
              <w:widowControl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274221">
              <w:rPr>
                <w:rFonts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Outcome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B8B1" w14:textId="77777777" w:rsidR="00952847" w:rsidRPr="00274221" w:rsidRDefault="00952847" w:rsidP="001B1FDE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</w:rPr>
            </w:pPr>
            <w:r w:rsidRPr="00274221">
              <w:rPr>
                <w:rFonts w:eastAsia="等线" w:cs="Times New Roman"/>
                <w:b/>
                <w:bCs/>
                <w:color w:val="000000"/>
                <w:kern w:val="0"/>
              </w:rPr>
              <w:t>Total</w:t>
            </w:r>
          </w:p>
        </w:tc>
      </w:tr>
      <w:tr w:rsidR="00952847" w:rsidRPr="00274221" w14:paraId="00FA121C" w14:textId="77777777" w:rsidTr="00952847">
        <w:trPr>
          <w:trHeight w:val="173"/>
        </w:trPr>
        <w:tc>
          <w:tcPr>
            <w:tcW w:w="1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439CD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376E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Representativeness of the exposed cohort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3526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Selection of the non exposed cohort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E9DE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Ascertainment of exposure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B540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Demonstration that outcome of interest was not present at start of study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3CA7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Comparability of cases and controls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BBCA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Assessment of outcome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2E85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follow-up long enough for outcomes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5AA3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Adequacy of follow up </w:t>
            </w: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51382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</w:rPr>
            </w:pPr>
          </w:p>
        </w:tc>
      </w:tr>
      <w:tr w:rsidR="00952847" w:rsidRPr="00274221" w14:paraId="3114F5B1" w14:textId="77777777" w:rsidTr="00952847">
        <w:trPr>
          <w:trHeight w:val="173"/>
        </w:trPr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57246" w14:textId="77777777" w:rsidR="00952847" w:rsidRPr="00274221" w:rsidRDefault="00952847" w:rsidP="001B1FDE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Murphy 2019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A074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49E2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4D0D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BF91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0155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E3D5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46EF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0F86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5334" w14:textId="77777777" w:rsidR="00952847" w:rsidRPr="00274221" w:rsidRDefault="00952847" w:rsidP="001B1FDE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274221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</w:tr>
    </w:tbl>
    <w:p w14:paraId="29B851E7" w14:textId="57E9F77A" w:rsidR="00952847" w:rsidRDefault="00952847">
      <w:pPr>
        <w:widowControl/>
        <w:jc w:val="left"/>
      </w:pPr>
    </w:p>
    <w:p w14:paraId="45C7F596" w14:textId="77777777" w:rsidR="00952847" w:rsidRDefault="00952847">
      <w:pPr>
        <w:widowControl/>
        <w:jc w:val="left"/>
      </w:pPr>
      <w:r>
        <w:br w:type="page"/>
      </w:r>
    </w:p>
    <w:p w14:paraId="47BA7A13" w14:textId="7CD28CC7" w:rsidR="00FF4CD9" w:rsidRDefault="00952847">
      <w:pPr>
        <w:widowControl/>
        <w:jc w:val="left"/>
      </w:pPr>
      <w:r w:rsidRPr="00952847">
        <w:rPr>
          <w:rFonts w:hint="eastAsia"/>
          <w:b/>
          <w:bCs/>
        </w:rPr>
        <w:t>T</w:t>
      </w:r>
      <w:r w:rsidRPr="00952847">
        <w:rPr>
          <w:b/>
          <w:bCs/>
        </w:rPr>
        <w:t xml:space="preserve">able S3 </w:t>
      </w:r>
      <w:r w:rsidRPr="00FF4CD9">
        <w:rPr>
          <w:b/>
          <w:bCs/>
        </w:rPr>
        <w:t xml:space="preserve">Risk of bias </w:t>
      </w:r>
      <w:r>
        <w:rPr>
          <w:b/>
          <w:bCs/>
        </w:rPr>
        <w:t>case control</w:t>
      </w:r>
      <w:r w:rsidRPr="00FF4CD9">
        <w:rPr>
          <w:b/>
          <w:bCs/>
        </w:rPr>
        <w:t xml:space="preserve"> studies</w:t>
      </w:r>
      <w:r>
        <w:rPr>
          <w:b/>
          <w:bCs/>
        </w:rPr>
        <w:t xml:space="preserve"> using Newcastle-Ottawa Quality Assessment Scale</w:t>
      </w:r>
    </w:p>
    <w:p w14:paraId="055F6F5D" w14:textId="762D5DF7" w:rsidR="00952847" w:rsidRDefault="00952847">
      <w:pPr>
        <w:widowControl/>
        <w:jc w:val="left"/>
      </w:pPr>
    </w:p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99"/>
        <w:gridCol w:w="1294"/>
        <w:gridCol w:w="1135"/>
        <w:gridCol w:w="1081"/>
        <w:gridCol w:w="1758"/>
        <w:gridCol w:w="1273"/>
        <w:gridCol w:w="2268"/>
        <w:gridCol w:w="1275"/>
        <w:gridCol w:w="709"/>
      </w:tblGrid>
      <w:tr w:rsidR="00952847" w:rsidRPr="00952847" w14:paraId="04F4C582" w14:textId="77777777" w:rsidTr="00952847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A594" w14:textId="77777777" w:rsidR="00952847" w:rsidRPr="00952847" w:rsidRDefault="00952847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086A" w14:textId="77777777" w:rsidR="00952847" w:rsidRPr="00952847" w:rsidRDefault="00952847">
            <w:pPr>
              <w:jc w:val="center"/>
              <w:rPr>
                <w:rFonts w:eastAsia="等线" w:cs="Times New Roman"/>
                <w:b/>
                <w:bCs/>
                <w:color w:val="000000"/>
                <w:sz w:val="24"/>
                <w:szCs w:val="24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</w:rPr>
              <w:t>Selection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DA8D8" w14:textId="77777777" w:rsidR="00952847" w:rsidRPr="00952847" w:rsidRDefault="00952847">
            <w:pPr>
              <w:jc w:val="left"/>
              <w:rPr>
                <w:rFonts w:eastAsia="等线" w:cs="Times New Roman"/>
                <w:b/>
                <w:bCs/>
                <w:color w:val="000000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</w:rPr>
              <w:t>Comparability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343F" w14:textId="77777777" w:rsidR="00952847" w:rsidRPr="00952847" w:rsidRDefault="00952847">
            <w:pPr>
              <w:jc w:val="center"/>
              <w:rPr>
                <w:rFonts w:eastAsia="等线" w:cs="Times New Roman"/>
                <w:b/>
                <w:bCs/>
                <w:color w:val="000000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1D32" w14:textId="77777777" w:rsidR="00952847" w:rsidRPr="00952847" w:rsidRDefault="00952847">
            <w:pPr>
              <w:jc w:val="center"/>
              <w:rPr>
                <w:rFonts w:eastAsia="等线" w:cs="Times New Roman"/>
                <w:b/>
                <w:bCs/>
                <w:color w:val="000000"/>
              </w:rPr>
            </w:pPr>
            <w:r w:rsidRPr="00952847">
              <w:rPr>
                <w:rFonts w:eastAsia="等线" w:cs="Times New Roman"/>
                <w:b/>
                <w:bCs/>
                <w:color w:val="000000"/>
              </w:rPr>
              <w:t>Total</w:t>
            </w:r>
          </w:p>
        </w:tc>
      </w:tr>
      <w:tr w:rsidR="00952847" w:rsidRPr="00952847" w14:paraId="14F74AF8" w14:textId="77777777" w:rsidTr="00952847">
        <w:trPr>
          <w:trHeight w:val="278"/>
        </w:trPr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9C480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425C9" w14:textId="777E1BD8" w:rsidR="00952847" w:rsidRPr="00952847" w:rsidRDefault="00E96F53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>
              <w:rPr>
                <w:rFonts w:eastAsia="等线" w:cs="Times New Roman"/>
                <w:color w:val="000000"/>
                <w:sz w:val="22"/>
                <w:szCs w:val="22"/>
              </w:rPr>
              <w:t>A</w:t>
            </w:r>
            <w:r w:rsidR="00952847" w:rsidRPr="00952847">
              <w:rPr>
                <w:rFonts w:eastAsia="等线" w:cs="Times New Roman"/>
                <w:color w:val="000000"/>
                <w:sz w:val="22"/>
                <w:szCs w:val="22"/>
              </w:rPr>
              <w:t xml:space="preserve">dequate case definition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A6E35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Representativeness of the cases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A717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Selection of Controls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1445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Definition of Controls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358BB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 xml:space="preserve">Comparability of cases and controls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EA94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Ascertainment of exposure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1825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Same method of ascertainment for cases and controls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5F7E4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Non-Response rate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43C55C" w14:textId="77777777" w:rsidR="00952847" w:rsidRPr="00952847" w:rsidRDefault="00952847">
            <w:pPr>
              <w:rPr>
                <w:rFonts w:eastAsia="等线" w:cs="Times New Roman"/>
                <w:color w:val="000000"/>
              </w:rPr>
            </w:pPr>
          </w:p>
        </w:tc>
      </w:tr>
      <w:tr w:rsidR="00952847" w:rsidRPr="00952847" w14:paraId="5ECA86A5" w14:textId="77777777" w:rsidTr="00952847">
        <w:trPr>
          <w:trHeight w:val="278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3B8F9" w14:textId="77777777" w:rsidR="00952847" w:rsidRPr="00952847" w:rsidRDefault="00952847">
            <w:pPr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Ho(3) 2019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211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E5A4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375B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3E3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27CE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FEA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06F6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F15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9F0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52847" w:rsidRPr="00952847" w14:paraId="5FB6237C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4860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Tian 2018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15BF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1414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566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A6365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404B1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BC7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EE39F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FBB1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803B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847" w:rsidRPr="00952847" w14:paraId="68BC79A9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33E5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Wang(1) 2018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FCEF4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3CA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AE6F4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AE405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9BA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2885F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869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4624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DB38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52847" w:rsidRPr="00952847" w14:paraId="6B798D20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36C4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Wang(2) 2019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5C60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1006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9E54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E8CA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52EB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CA6E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954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E0C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863C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952847" w:rsidRPr="00952847" w14:paraId="5B4B29BD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802F5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Itoh 2019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2E1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43C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F275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240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4233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7ECCA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EC3B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6E06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A6CE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52847" w:rsidRPr="00952847" w14:paraId="41AB9E70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3011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Elwan 2019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F86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8DEA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259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2A8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26AB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5AB80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3B5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83BF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11BFE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52847" w:rsidRPr="00952847" w14:paraId="47781C34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0D3F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Ho(2) 2014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0C9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F90F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7AE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F0B8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0171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2CBF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71B5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E9D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CF88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52847" w:rsidRPr="00952847" w14:paraId="1EC6055F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CEB4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Wang(3) 2019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CCB1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53A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1C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3D6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77A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165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C4D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0957E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B727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52847" w:rsidRPr="00952847" w14:paraId="763111CD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DBD0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Shimada 2012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58D4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F161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D12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D65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FBBB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2840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E7A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F72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BA69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52847" w:rsidRPr="00952847" w14:paraId="0D376EC7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E680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Ho(1) 2014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8E40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E740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25FE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4D66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3C56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99D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9F68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36BD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2E85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952847" w:rsidRPr="00952847" w14:paraId="355285D6" w14:textId="77777777" w:rsidTr="00952847">
        <w:trPr>
          <w:trHeight w:val="278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18BBB" w14:textId="77777777" w:rsidR="00952847" w:rsidRPr="00952847" w:rsidRDefault="00952847">
            <w:pPr>
              <w:jc w:val="lef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Iwasaki 2020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4AB2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4643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449A4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9CF20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E174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0F61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002F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0655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FBD00" w14:textId="77777777" w:rsidR="00952847" w:rsidRPr="00952847" w:rsidRDefault="00952847">
            <w:pPr>
              <w:jc w:val="right"/>
              <w:rPr>
                <w:rFonts w:eastAsia="等线" w:cs="Times New Roman"/>
                <w:color w:val="000000"/>
                <w:sz w:val="22"/>
                <w:szCs w:val="22"/>
              </w:rPr>
            </w:pPr>
            <w:r w:rsidRPr="00952847">
              <w:rPr>
                <w:rFonts w:eastAsia="等线" w:cs="Times New Roman"/>
                <w:color w:val="000000"/>
                <w:sz w:val="22"/>
                <w:szCs w:val="22"/>
              </w:rPr>
              <w:t>7</w:t>
            </w:r>
          </w:p>
        </w:tc>
      </w:tr>
    </w:tbl>
    <w:p w14:paraId="40862B06" w14:textId="63FF2C4B" w:rsidR="00952847" w:rsidRDefault="00952847">
      <w:pPr>
        <w:widowControl/>
        <w:jc w:val="left"/>
      </w:pPr>
      <w:r>
        <w:t xml:space="preserve"> </w:t>
      </w:r>
    </w:p>
    <w:sectPr w:rsidR="00952847" w:rsidSect="009528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61D38"/>
    <w:multiLevelType w:val="multilevel"/>
    <w:tmpl w:val="9FF2933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F996610"/>
    <w:multiLevelType w:val="multilevel"/>
    <w:tmpl w:val="7BCA78F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63BE425F"/>
    <w:multiLevelType w:val="multilevel"/>
    <w:tmpl w:val="8D600634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74193184"/>
    <w:multiLevelType w:val="multilevel"/>
    <w:tmpl w:val="3332740A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765F6E8F"/>
    <w:multiLevelType w:val="multilevel"/>
    <w:tmpl w:val="7C66B2BA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7C5219DD"/>
    <w:multiLevelType w:val="multilevel"/>
    <w:tmpl w:val="C6AE89D2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C1"/>
    <w:rsid w:val="00082AA9"/>
    <w:rsid w:val="000B2B60"/>
    <w:rsid w:val="0018106C"/>
    <w:rsid w:val="002D3B34"/>
    <w:rsid w:val="004264FE"/>
    <w:rsid w:val="0056145C"/>
    <w:rsid w:val="005A1B59"/>
    <w:rsid w:val="005C0FC1"/>
    <w:rsid w:val="006B6026"/>
    <w:rsid w:val="00815B2E"/>
    <w:rsid w:val="00952847"/>
    <w:rsid w:val="00C94305"/>
    <w:rsid w:val="00DA3391"/>
    <w:rsid w:val="00E96F53"/>
    <w:rsid w:val="00F057F1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3780"/>
  <w15:chartTrackingRefBased/>
  <w15:docId w15:val="{7FCB1A56-CF02-44E0-B6CD-F9925A01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2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815B2E"/>
    <w:pPr>
      <w:keepNext/>
      <w:keepLines/>
      <w:numPr>
        <w:numId w:val="26"/>
      </w:numPr>
      <w:adjustRightInd w:val="0"/>
      <w:snapToGrid w:val="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5B2E"/>
    <w:pPr>
      <w:keepNext/>
      <w:keepLines/>
      <w:numPr>
        <w:ilvl w:val="1"/>
        <w:numId w:val="26"/>
      </w:numPr>
      <w:adjustRightInd w:val="0"/>
      <w:snapToGrid w:val="0"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5B2E"/>
    <w:pPr>
      <w:keepNext/>
      <w:keepLines/>
      <w:numPr>
        <w:ilvl w:val="2"/>
        <w:numId w:val="26"/>
      </w:numPr>
      <w:adjustRightInd w:val="0"/>
      <w:snapToGrid w:val="0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15B2E"/>
    <w:pPr>
      <w:keepNext/>
      <w:keepLines/>
      <w:numPr>
        <w:ilvl w:val="3"/>
        <w:numId w:val="27"/>
      </w:numPr>
      <w:adjustRightInd w:val="0"/>
      <w:snapToGrid w:val="0"/>
      <w:outlineLvl w:val="3"/>
    </w:pPr>
    <w:rPr>
      <w:rFonts w:asciiTheme="minorHAnsi" w:eastAsiaTheme="minorEastAsia" w:hAnsiTheme="min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5B2E"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815B2E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Title"/>
    <w:basedOn w:val="a"/>
    <w:next w:val="a"/>
    <w:link w:val="a4"/>
    <w:uiPriority w:val="10"/>
    <w:qFormat/>
    <w:rsid w:val="00815B2E"/>
    <w:pPr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15B2E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15B2E"/>
    <w:rPr>
      <w:rFonts w:ascii="Times New Roman" w:eastAsia="宋体" w:hAnsi="Times New Roman"/>
      <w:b/>
      <w:bCs/>
      <w:szCs w:val="32"/>
    </w:rPr>
  </w:style>
  <w:style w:type="character" w:customStyle="1" w:styleId="40">
    <w:name w:val="标题 4 字符"/>
    <w:basedOn w:val="a0"/>
    <w:link w:val="4"/>
    <w:uiPriority w:val="9"/>
    <w:rsid w:val="00815B2E"/>
    <w:rPr>
      <w:rFonts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B47A-BDE1-49F4-8CD7-7A67F6C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王月麟</dc:creator>
  <cp:keywords/>
  <dc:description/>
  <cp:lastModifiedBy>王月麟</cp:lastModifiedBy>
  <cp:revision>7</cp:revision>
  <dcterms:created xsi:type="dcterms:W3CDTF">2020-06-25T10:02:00Z</dcterms:created>
  <dcterms:modified xsi:type="dcterms:W3CDTF">2020-07-26T02:50:00Z</dcterms:modified>
</cp:coreProperties>
</file>