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88C3F9" w14:textId="77777777" w:rsidR="00076ADC" w:rsidRDefault="00076ADC" w:rsidP="00076ADC">
      <w:pPr>
        <w:rPr>
          <w:rFonts w:ascii="Arial" w:hAnsi="Arial" w:cs="Arial"/>
        </w:rPr>
      </w:pPr>
      <w:bookmarkStart w:id="0" w:name="_GoBack"/>
      <w:bookmarkEnd w:id="0"/>
      <w:r w:rsidRPr="007A5287">
        <w:rPr>
          <w:rFonts w:ascii="Arial" w:hAnsi="Arial" w:cs="Arial"/>
        </w:rPr>
        <w:t>Supplementa</w:t>
      </w:r>
      <w:r>
        <w:rPr>
          <w:rFonts w:ascii="Arial" w:hAnsi="Arial" w:cs="Arial"/>
        </w:rPr>
        <w:t xml:space="preserve">ry </w:t>
      </w:r>
      <w:r w:rsidRPr="007A5287">
        <w:rPr>
          <w:rFonts w:ascii="Arial" w:hAnsi="Arial" w:cs="Arial"/>
        </w:rPr>
        <w:t>Table 2.</w:t>
      </w:r>
      <w:r>
        <w:rPr>
          <w:rFonts w:ascii="Arial" w:hAnsi="Arial" w:cs="Arial"/>
        </w:rPr>
        <w:t xml:space="preserve"> Summary of treatment-emergent adverse event rates prior to and after dose escalation for patients who escalated from every other week dosing to weekly dosing during the double-blind maintenance phase</w:t>
      </w:r>
    </w:p>
    <w:tbl>
      <w:tblPr>
        <w:tblW w:w="9288" w:type="dxa"/>
        <w:tblLook w:val="01E0" w:firstRow="1" w:lastRow="1" w:firstColumn="1" w:lastColumn="1" w:noHBand="0" w:noVBand="0"/>
      </w:tblPr>
      <w:tblGrid>
        <w:gridCol w:w="4068"/>
        <w:gridCol w:w="2610"/>
        <w:gridCol w:w="2610"/>
      </w:tblGrid>
      <w:tr w:rsidR="00076ADC" w:rsidRPr="00655D5B" w14:paraId="65AE2DE7" w14:textId="77777777" w:rsidTr="00387115">
        <w:trPr>
          <w:trHeight w:val="675"/>
        </w:trPr>
        <w:tc>
          <w:tcPr>
            <w:tcW w:w="4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D31394" w14:textId="77777777" w:rsidR="00076ADC" w:rsidRPr="00655D5B" w:rsidRDefault="00076ADC" w:rsidP="00387115">
            <w:pPr>
              <w:tabs>
                <w:tab w:val="left" w:pos="1305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A2F2CE" w14:textId="77777777" w:rsidR="00076ADC" w:rsidRPr="00655D5B" w:rsidRDefault="00076ADC" w:rsidP="0038711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Prior to dose escalation </w:t>
            </w:r>
          </w:p>
          <w:p w14:paraId="4B497ABD" w14:textId="77777777" w:rsidR="00076ADC" w:rsidRPr="00655D5B" w:rsidRDefault="00076ADC" w:rsidP="0038711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N=83, 29.0PY</w:t>
            </w:r>
          </w:p>
          <w:p w14:paraId="5CF67D73" w14:textId="77777777" w:rsidR="00076ADC" w:rsidRPr="00655D5B" w:rsidRDefault="00076ADC" w:rsidP="0038711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Events (E/100PY) 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3787FB" w14:textId="77777777" w:rsidR="00076ADC" w:rsidRDefault="00076ADC" w:rsidP="0038711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After dose escalation</w:t>
            </w:r>
          </w:p>
          <w:p w14:paraId="286894E8" w14:textId="77777777" w:rsidR="00076ADC" w:rsidRPr="00655D5B" w:rsidRDefault="00076ADC" w:rsidP="0038711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N=83, 27.0PY</w:t>
            </w:r>
          </w:p>
          <w:p w14:paraId="4F255156" w14:textId="77777777" w:rsidR="00076ADC" w:rsidRPr="00655D5B" w:rsidRDefault="00076ADC" w:rsidP="0038711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Events (E/100PY)</w:t>
            </w:r>
          </w:p>
        </w:tc>
      </w:tr>
      <w:tr w:rsidR="00076ADC" w:rsidRPr="00655D5B" w14:paraId="4D9E04A9" w14:textId="77777777" w:rsidTr="00387115">
        <w:trPr>
          <w:trHeight w:val="432"/>
        </w:trPr>
        <w:tc>
          <w:tcPr>
            <w:tcW w:w="40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23D2B4" w14:textId="77777777" w:rsidR="00076ADC" w:rsidRPr="00655D5B" w:rsidRDefault="00076ADC" w:rsidP="0038711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Any adverse event (AE)</w:t>
            </w:r>
          </w:p>
        </w:tc>
        <w:tc>
          <w:tcPr>
            <w:tcW w:w="26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5730CA" w14:textId="77777777" w:rsidR="00076ADC" w:rsidRPr="00655D5B" w:rsidRDefault="00076ADC" w:rsidP="003871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296 (1020.7)</w:t>
            </w:r>
          </w:p>
        </w:tc>
        <w:tc>
          <w:tcPr>
            <w:tcW w:w="26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F7705A" w14:textId="77777777" w:rsidR="00076ADC" w:rsidRPr="00655D5B" w:rsidRDefault="00076ADC" w:rsidP="003871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249 (922.2)</w:t>
            </w:r>
          </w:p>
        </w:tc>
      </w:tr>
      <w:tr w:rsidR="00076ADC" w:rsidRPr="00655D5B" w14:paraId="5AE3BB52" w14:textId="77777777" w:rsidTr="00387115">
        <w:trPr>
          <w:trHeight w:val="432"/>
        </w:trPr>
        <w:tc>
          <w:tcPr>
            <w:tcW w:w="4068" w:type="dxa"/>
            <w:shd w:val="clear" w:color="auto" w:fill="auto"/>
            <w:vAlign w:val="center"/>
          </w:tcPr>
          <w:p w14:paraId="4225AAAD" w14:textId="77777777" w:rsidR="00076ADC" w:rsidRPr="00655D5B" w:rsidRDefault="00076ADC" w:rsidP="0038711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Serious AE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3A117C2D" w14:textId="77777777" w:rsidR="00076ADC" w:rsidRPr="00655D5B" w:rsidRDefault="00076ADC" w:rsidP="003871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 (44.8)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4BD58F35" w14:textId="77777777" w:rsidR="00076ADC" w:rsidRPr="00655D5B" w:rsidRDefault="00076ADC" w:rsidP="003871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 (77.8)</w:t>
            </w:r>
          </w:p>
        </w:tc>
      </w:tr>
      <w:tr w:rsidR="00076ADC" w:rsidRPr="00655D5B" w14:paraId="0F7F07A4" w14:textId="77777777" w:rsidTr="00387115">
        <w:trPr>
          <w:trHeight w:val="432"/>
        </w:trPr>
        <w:tc>
          <w:tcPr>
            <w:tcW w:w="4068" w:type="dxa"/>
            <w:shd w:val="clear" w:color="auto" w:fill="auto"/>
            <w:vAlign w:val="center"/>
          </w:tcPr>
          <w:p w14:paraId="6D96152C" w14:textId="77777777" w:rsidR="00076ADC" w:rsidRPr="00655D5B" w:rsidRDefault="00076ADC" w:rsidP="0038711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AE leading to discontinuation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31B737C4" w14:textId="77777777" w:rsidR="00076ADC" w:rsidRPr="00655D5B" w:rsidRDefault="00076ADC" w:rsidP="003871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 (13.8)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5CE31A91" w14:textId="77777777" w:rsidR="00076ADC" w:rsidRPr="00655D5B" w:rsidRDefault="00076ADC" w:rsidP="003871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 (48.1)</w:t>
            </w:r>
          </w:p>
        </w:tc>
      </w:tr>
      <w:tr w:rsidR="00076ADC" w:rsidRPr="00655D5B" w14:paraId="38945B00" w14:textId="77777777" w:rsidTr="00387115">
        <w:trPr>
          <w:trHeight w:val="432"/>
        </w:trPr>
        <w:tc>
          <w:tcPr>
            <w:tcW w:w="4068" w:type="dxa"/>
            <w:shd w:val="clear" w:color="auto" w:fill="auto"/>
            <w:vAlign w:val="center"/>
          </w:tcPr>
          <w:p w14:paraId="1754E5B0" w14:textId="77777777" w:rsidR="00076ADC" w:rsidRPr="00655D5B" w:rsidRDefault="00076ADC" w:rsidP="0038711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Injection site reaction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2EFC52E0" w14:textId="77777777" w:rsidR="00076ADC" w:rsidRPr="00655D5B" w:rsidRDefault="00076ADC" w:rsidP="003871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 (58.6)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21042F39" w14:textId="77777777" w:rsidR="00076ADC" w:rsidRPr="00655D5B" w:rsidRDefault="00076ADC" w:rsidP="003871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 (55.6)</w:t>
            </w:r>
          </w:p>
        </w:tc>
      </w:tr>
      <w:tr w:rsidR="00076ADC" w:rsidRPr="00655D5B" w14:paraId="07C2B469" w14:textId="77777777" w:rsidTr="00387115">
        <w:trPr>
          <w:trHeight w:val="432"/>
        </w:trPr>
        <w:tc>
          <w:tcPr>
            <w:tcW w:w="4068" w:type="dxa"/>
            <w:shd w:val="clear" w:color="auto" w:fill="auto"/>
            <w:vAlign w:val="center"/>
          </w:tcPr>
          <w:p w14:paraId="2E73D8CE" w14:textId="77777777" w:rsidR="00076ADC" w:rsidRPr="00655D5B" w:rsidRDefault="00076ADC" w:rsidP="0038711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Serious infection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2D512D74" w14:textId="77777777" w:rsidR="00076ADC" w:rsidRPr="00655D5B" w:rsidRDefault="00076ADC" w:rsidP="003871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 (13.8)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1E499415" w14:textId="77777777" w:rsidR="00076ADC" w:rsidRPr="00655D5B" w:rsidRDefault="00076ADC" w:rsidP="003871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 (14.8)</w:t>
            </w:r>
          </w:p>
        </w:tc>
      </w:tr>
      <w:tr w:rsidR="00076ADC" w:rsidRPr="00655D5B" w14:paraId="09B21281" w14:textId="77777777" w:rsidTr="00387115">
        <w:trPr>
          <w:trHeight w:val="432"/>
        </w:trPr>
        <w:tc>
          <w:tcPr>
            <w:tcW w:w="4068" w:type="dxa"/>
            <w:shd w:val="clear" w:color="auto" w:fill="auto"/>
            <w:vAlign w:val="center"/>
          </w:tcPr>
          <w:p w14:paraId="538FDE42" w14:textId="77777777" w:rsidR="00076ADC" w:rsidRPr="00655D5B" w:rsidRDefault="00076ADC" w:rsidP="0038711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Opportunistic infection (excluding TB)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514E7A12" w14:textId="77777777" w:rsidR="00076ADC" w:rsidRPr="00655D5B" w:rsidRDefault="00076ADC" w:rsidP="003871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4AADD430" w14:textId="77777777" w:rsidR="00076ADC" w:rsidRPr="00655D5B" w:rsidRDefault="00076ADC" w:rsidP="003871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076ADC" w:rsidRPr="00655D5B" w14:paraId="003C8589" w14:textId="77777777" w:rsidTr="00387115">
        <w:trPr>
          <w:trHeight w:val="432"/>
        </w:trPr>
        <w:tc>
          <w:tcPr>
            <w:tcW w:w="4068" w:type="dxa"/>
            <w:shd w:val="clear" w:color="auto" w:fill="auto"/>
            <w:vAlign w:val="center"/>
          </w:tcPr>
          <w:p w14:paraId="0F7C82E8" w14:textId="77777777" w:rsidR="00076ADC" w:rsidRDefault="00076ADC" w:rsidP="0038711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Congestive heart failure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36B6BFEB" w14:textId="77777777" w:rsidR="00076ADC" w:rsidRDefault="00076ADC" w:rsidP="003871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1BED78B5" w14:textId="77777777" w:rsidR="00076ADC" w:rsidRDefault="00076ADC" w:rsidP="003871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076ADC" w:rsidRPr="00655D5B" w14:paraId="465BC8A1" w14:textId="77777777" w:rsidTr="00387115">
        <w:trPr>
          <w:trHeight w:val="432"/>
        </w:trPr>
        <w:tc>
          <w:tcPr>
            <w:tcW w:w="4068" w:type="dxa"/>
            <w:shd w:val="clear" w:color="auto" w:fill="auto"/>
            <w:vAlign w:val="center"/>
          </w:tcPr>
          <w:p w14:paraId="2CDB7AB7" w14:textId="77777777" w:rsidR="00076ADC" w:rsidRDefault="00076ADC" w:rsidP="0038711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Demyelinating disease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7AFF7CD2" w14:textId="77777777" w:rsidR="00076ADC" w:rsidRDefault="00076ADC" w:rsidP="003871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36647150" w14:textId="77777777" w:rsidR="00076ADC" w:rsidRDefault="00076ADC" w:rsidP="003871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076ADC" w:rsidRPr="00655D5B" w14:paraId="35B914F9" w14:textId="77777777" w:rsidTr="00387115">
        <w:trPr>
          <w:trHeight w:val="432"/>
        </w:trPr>
        <w:tc>
          <w:tcPr>
            <w:tcW w:w="4068" w:type="dxa"/>
            <w:shd w:val="clear" w:color="auto" w:fill="auto"/>
            <w:vAlign w:val="center"/>
          </w:tcPr>
          <w:p w14:paraId="4A2C95AA" w14:textId="77777777" w:rsidR="00076ADC" w:rsidRDefault="00076ADC" w:rsidP="0038711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Any malignancy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2B76780C" w14:textId="77777777" w:rsidR="00076ADC" w:rsidRDefault="00076ADC" w:rsidP="003871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7AE81D4D" w14:textId="77777777" w:rsidR="00076ADC" w:rsidRDefault="00076ADC" w:rsidP="003871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076ADC" w:rsidRPr="00655D5B" w14:paraId="49A4927F" w14:textId="77777777" w:rsidTr="00387115">
        <w:trPr>
          <w:trHeight w:val="432"/>
        </w:trPr>
        <w:tc>
          <w:tcPr>
            <w:tcW w:w="4068" w:type="dxa"/>
            <w:shd w:val="clear" w:color="auto" w:fill="auto"/>
            <w:vAlign w:val="center"/>
          </w:tcPr>
          <w:p w14:paraId="186673FE" w14:textId="77777777" w:rsidR="00076ADC" w:rsidRPr="00655D5B" w:rsidRDefault="00076ADC" w:rsidP="0038711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Hematologic event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2D7CA174" w14:textId="77777777" w:rsidR="00076ADC" w:rsidRPr="00655D5B" w:rsidRDefault="00076ADC" w:rsidP="003871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 (17.2)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214AB23D" w14:textId="77777777" w:rsidR="00076ADC" w:rsidRPr="00655D5B" w:rsidRDefault="00076ADC" w:rsidP="003871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 (14.8)</w:t>
            </w:r>
          </w:p>
        </w:tc>
      </w:tr>
      <w:tr w:rsidR="00076ADC" w:rsidRPr="00655D5B" w14:paraId="110803E0" w14:textId="77777777" w:rsidTr="00387115">
        <w:trPr>
          <w:trHeight w:val="432"/>
        </w:trPr>
        <w:tc>
          <w:tcPr>
            <w:tcW w:w="4068" w:type="dxa"/>
            <w:shd w:val="clear" w:color="auto" w:fill="auto"/>
            <w:vAlign w:val="center"/>
          </w:tcPr>
          <w:p w14:paraId="4994DECA" w14:textId="77777777" w:rsidR="00076ADC" w:rsidRPr="00655D5B" w:rsidRDefault="00076ADC" w:rsidP="0038711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Hepatic events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6F33BE40" w14:textId="77777777" w:rsidR="00076ADC" w:rsidRPr="00655D5B" w:rsidRDefault="00076ADC" w:rsidP="003871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(13.8)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2F169968" w14:textId="77777777" w:rsidR="00076ADC" w:rsidRPr="00655D5B" w:rsidRDefault="00076ADC" w:rsidP="003871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(3.7)</w:t>
            </w:r>
          </w:p>
        </w:tc>
      </w:tr>
      <w:tr w:rsidR="00076ADC" w:rsidRPr="00655D5B" w14:paraId="4AD683B0" w14:textId="77777777" w:rsidTr="00387115">
        <w:trPr>
          <w:trHeight w:val="432"/>
        </w:trPr>
        <w:tc>
          <w:tcPr>
            <w:tcW w:w="40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895AB9" w14:textId="77777777" w:rsidR="00076ADC" w:rsidRDefault="00076ADC" w:rsidP="0038711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Deaths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6A6DCE" w14:textId="77777777" w:rsidR="00076ADC" w:rsidRDefault="00076ADC" w:rsidP="003871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0368C2" w14:textId="77777777" w:rsidR="00076ADC" w:rsidRDefault="00076ADC" w:rsidP="003871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</w:tbl>
    <w:p w14:paraId="2286CD08" w14:textId="77777777" w:rsidR="00076ADC" w:rsidRDefault="00076ADC" w:rsidP="00076ADC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PY, patient-years</w:t>
      </w:r>
    </w:p>
    <w:p w14:paraId="28747A6F" w14:textId="77777777" w:rsidR="00076ADC" w:rsidRDefault="00076ADC" w:rsidP="00076ADC">
      <w:pPr>
        <w:spacing w:after="0" w:line="480" w:lineRule="auto"/>
        <w:rPr>
          <w:rFonts w:ascii="Arial" w:hAnsi="Arial" w:cs="Arial"/>
        </w:rPr>
      </w:pPr>
      <w:r w:rsidRPr="000D2A7E">
        <w:rPr>
          <w:rFonts w:ascii="Arial" w:hAnsi="Arial" w:cs="Arial"/>
        </w:rPr>
        <w:t>Three adverse events were counted prior to dose escalation and after dose escalation because of only partial information about onset date relative to the date of dose escalation.</w:t>
      </w:r>
    </w:p>
    <w:p w14:paraId="1789B597" w14:textId="77777777" w:rsidR="00076ADC" w:rsidRDefault="00076ADC" w:rsidP="00076ADC">
      <w:pPr>
        <w:rPr>
          <w:rFonts w:ascii="Arial" w:hAnsi="Arial" w:cs="Arial"/>
        </w:rPr>
      </w:pPr>
    </w:p>
    <w:p w14:paraId="19081D5A" w14:textId="77777777" w:rsidR="000306EE" w:rsidRDefault="000306EE"/>
    <w:sectPr w:rsidR="000306EE" w:rsidSect="00CB0BE1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41D8A6" w14:textId="77777777" w:rsidR="00BA680E" w:rsidRDefault="00BA680E">
      <w:pPr>
        <w:spacing w:after="0" w:line="240" w:lineRule="auto"/>
      </w:pPr>
      <w:r>
        <w:separator/>
      </w:r>
    </w:p>
  </w:endnote>
  <w:endnote w:type="continuationSeparator" w:id="0">
    <w:p w14:paraId="242710D5" w14:textId="77777777" w:rsidR="00BA680E" w:rsidRDefault="00BA6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5AC1B6" w14:textId="77777777" w:rsidR="003B17AD" w:rsidRDefault="00076ADC" w:rsidP="00F2429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27</w:t>
    </w:r>
    <w:r>
      <w:rPr>
        <w:rStyle w:val="PageNumber"/>
      </w:rPr>
      <w:fldChar w:fldCharType="end"/>
    </w:r>
  </w:p>
  <w:p w14:paraId="1FC64FEA" w14:textId="77777777" w:rsidR="003B17AD" w:rsidRDefault="00BA68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DCF093" w14:textId="77777777" w:rsidR="003B17AD" w:rsidRDefault="00076ADC" w:rsidP="00F2429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35A7">
      <w:rPr>
        <w:rStyle w:val="PageNumber"/>
        <w:noProof/>
      </w:rPr>
      <w:t>1</w:t>
    </w:r>
    <w:r>
      <w:rPr>
        <w:rStyle w:val="PageNumber"/>
      </w:rPr>
      <w:fldChar w:fldCharType="end"/>
    </w:r>
  </w:p>
  <w:p w14:paraId="510617AF" w14:textId="77777777" w:rsidR="003B17AD" w:rsidRDefault="00BA68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B34BF6" w14:textId="77777777" w:rsidR="00BA680E" w:rsidRDefault="00BA680E">
      <w:pPr>
        <w:spacing w:after="0" w:line="240" w:lineRule="auto"/>
      </w:pPr>
      <w:r>
        <w:separator/>
      </w:r>
    </w:p>
  </w:footnote>
  <w:footnote w:type="continuationSeparator" w:id="0">
    <w:p w14:paraId="333D05EA" w14:textId="77777777" w:rsidR="00BA680E" w:rsidRDefault="00BA68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ADC"/>
    <w:rsid w:val="000306EE"/>
    <w:rsid w:val="00076ADC"/>
    <w:rsid w:val="001224AE"/>
    <w:rsid w:val="0067165A"/>
    <w:rsid w:val="00A335A7"/>
    <w:rsid w:val="00BA680E"/>
    <w:rsid w:val="00C8283F"/>
    <w:rsid w:val="00EF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38D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ADC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76ADC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FooterChar">
    <w:name w:val="Footer Char"/>
    <w:basedOn w:val="DefaultParagraphFont"/>
    <w:link w:val="Footer"/>
    <w:rsid w:val="00076ADC"/>
    <w:rPr>
      <w:rFonts w:ascii="Times New Roman" w:eastAsia="MS Mincho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76A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ADC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76ADC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FooterChar">
    <w:name w:val="Footer Char"/>
    <w:basedOn w:val="DefaultParagraphFont"/>
    <w:link w:val="Footer"/>
    <w:rsid w:val="00076ADC"/>
    <w:rPr>
      <w:rFonts w:ascii="Times New Roman" w:eastAsia="MS Mincho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76A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2015-10-22T18:53:00Z</dcterms:created>
  <dcterms:modified xsi:type="dcterms:W3CDTF">2015-10-22T18:53:00Z</dcterms:modified>
</cp:coreProperties>
</file>