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pPr w:leftFromText="141" w:rightFromText="141" w:vertAnchor="page" w:horzAnchor="margin" w:tblpY="28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29"/>
        <w:gridCol w:w="938"/>
        <w:gridCol w:w="890"/>
        <w:gridCol w:w="890"/>
        <w:gridCol w:w="1199"/>
        <w:gridCol w:w="1088"/>
        <w:gridCol w:w="1022"/>
        <w:gridCol w:w="1199"/>
        <w:gridCol w:w="1088"/>
        <w:gridCol w:w="1022"/>
      </w:tblGrid>
      <w:tr w:rsidR="0098605A" w:rsidRPr="00406E92" w:rsidTr="0098605A">
        <w:tc>
          <w:tcPr>
            <w:tcW w:w="0" w:type="auto"/>
            <w:tcBorders>
              <w:top w:val="single" w:sz="12" w:space="0" w:color="auto"/>
              <w:bottom w:val="single" w:sz="12" w:space="0" w:color="auto"/>
            </w:tcBorders>
          </w:tcPr>
          <w:p w:rsidR="0098605A" w:rsidRPr="00CA5ABA" w:rsidRDefault="0098605A" w:rsidP="0098605A">
            <w:pPr>
              <w:spacing w:line="480" w:lineRule="auto"/>
              <w:rPr>
                <w:sz w:val="20"/>
                <w:szCs w:val="20"/>
                <w:lang w:val="en-US"/>
              </w:rPr>
            </w:pPr>
          </w:p>
        </w:tc>
        <w:tc>
          <w:tcPr>
            <w:tcW w:w="0" w:type="auto"/>
            <w:gridSpan w:val="3"/>
            <w:tcBorders>
              <w:top w:val="single" w:sz="12" w:space="0" w:color="auto"/>
              <w:bottom w:val="single" w:sz="12" w:space="0" w:color="auto"/>
            </w:tcBorders>
          </w:tcPr>
          <w:p w:rsidR="0098605A" w:rsidRPr="00CA5ABA" w:rsidRDefault="0098605A" w:rsidP="0098605A">
            <w:pPr>
              <w:spacing w:line="480" w:lineRule="auto"/>
              <w:rPr>
                <w:sz w:val="20"/>
                <w:szCs w:val="20"/>
                <w:lang w:val="en-US"/>
              </w:rPr>
            </w:pPr>
            <w:r>
              <w:rPr>
                <w:sz w:val="20"/>
                <w:szCs w:val="20"/>
                <w:lang w:val="en-US"/>
              </w:rPr>
              <w:t xml:space="preserve">No variant in </w:t>
            </w:r>
            <w:r w:rsidRPr="00406E92">
              <w:rPr>
                <w:i/>
                <w:sz w:val="20"/>
                <w:szCs w:val="20"/>
                <w:lang w:val="en-US"/>
              </w:rPr>
              <w:t>TPMT</w:t>
            </w:r>
          </w:p>
        </w:tc>
        <w:tc>
          <w:tcPr>
            <w:tcW w:w="0" w:type="auto"/>
            <w:gridSpan w:val="3"/>
            <w:tcBorders>
              <w:top w:val="single" w:sz="12" w:space="0" w:color="auto"/>
              <w:bottom w:val="single" w:sz="12" w:space="0" w:color="auto"/>
            </w:tcBorders>
          </w:tcPr>
          <w:p w:rsidR="00505A1E" w:rsidRDefault="0098605A" w:rsidP="0098605A">
            <w:pPr>
              <w:spacing w:line="480" w:lineRule="auto"/>
              <w:rPr>
                <w:sz w:val="20"/>
                <w:szCs w:val="20"/>
                <w:lang w:val="en-US"/>
              </w:rPr>
            </w:pPr>
            <w:r w:rsidRPr="00CA5ABA">
              <w:rPr>
                <w:sz w:val="20"/>
                <w:szCs w:val="20"/>
                <w:lang w:val="en-US"/>
              </w:rPr>
              <w:t>Heterozygous</w:t>
            </w:r>
            <w:r>
              <w:rPr>
                <w:sz w:val="20"/>
                <w:szCs w:val="20"/>
                <w:lang w:val="en-US"/>
              </w:rPr>
              <w:t xml:space="preserve"> variant in </w:t>
            </w:r>
            <w:r w:rsidRPr="00406E92">
              <w:rPr>
                <w:i/>
                <w:sz w:val="20"/>
                <w:szCs w:val="20"/>
                <w:lang w:val="en-US"/>
              </w:rPr>
              <w:t>TPMT</w:t>
            </w:r>
            <w:r>
              <w:rPr>
                <w:sz w:val="20"/>
                <w:szCs w:val="20"/>
                <w:lang w:val="en-US"/>
              </w:rPr>
              <w:t xml:space="preserve"> treated </w:t>
            </w:r>
          </w:p>
          <w:p w:rsidR="0098605A" w:rsidRPr="00CA5ABA" w:rsidRDefault="0098605A" w:rsidP="0098605A">
            <w:pPr>
              <w:spacing w:line="480" w:lineRule="auto"/>
              <w:rPr>
                <w:sz w:val="20"/>
                <w:szCs w:val="20"/>
                <w:lang w:val="en-US"/>
              </w:rPr>
            </w:pPr>
            <w:r>
              <w:rPr>
                <w:sz w:val="20"/>
                <w:szCs w:val="20"/>
                <w:lang w:val="en-US"/>
              </w:rPr>
              <w:t>with the standard dose</w:t>
            </w:r>
          </w:p>
        </w:tc>
        <w:tc>
          <w:tcPr>
            <w:tcW w:w="0" w:type="auto"/>
            <w:gridSpan w:val="3"/>
            <w:tcBorders>
              <w:top w:val="single" w:sz="12" w:space="0" w:color="auto"/>
              <w:bottom w:val="single" w:sz="12" w:space="0" w:color="auto"/>
            </w:tcBorders>
          </w:tcPr>
          <w:p w:rsidR="00505A1E" w:rsidRDefault="0098605A" w:rsidP="0098605A">
            <w:pPr>
              <w:spacing w:line="480" w:lineRule="auto"/>
              <w:rPr>
                <w:sz w:val="20"/>
                <w:szCs w:val="20"/>
                <w:lang w:val="en-US"/>
              </w:rPr>
            </w:pPr>
            <w:r w:rsidRPr="00CA5ABA">
              <w:rPr>
                <w:sz w:val="20"/>
                <w:szCs w:val="20"/>
                <w:lang w:val="en-US"/>
              </w:rPr>
              <w:t>Heterozygous</w:t>
            </w:r>
            <w:r>
              <w:rPr>
                <w:sz w:val="20"/>
                <w:szCs w:val="20"/>
                <w:lang w:val="en-US"/>
              </w:rPr>
              <w:t xml:space="preserve"> variant in </w:t>
            </w:r>
            <w:r w:rsidRPr="00406E92">
              <w:rPr>
                <w:i/>
                <w:sz w:val="20"/>
                <w:szCs w:val="20"/>
                <w:lang w:val="en-US"/>
              </w:rPr>
              <w:t>TPMT</w:t>
            </w:r>
            <w:r>
              <w:rPr>
                <w:sz w:val="20"/>
                <w:szCs w:val="20"/>
                <w:lang w:val="en-US"/>
              </w:rPr>
              <w:t xml:space="preserve"> treated </w:t>
            </w:r>
          </w:p>
          <w:p w:rsidR="0098605A" w:rsidRPr="00CA5ABA" w:rsidRDefault="0098605A" w:rsidP="0098605A">
            <w:pPr>
              <w:spacing w:line="480" w:lineRule="auto"/>
              <w:rPr>
                <w:sz w:val="20"/>
                <w:szCs w:val="20"/>
                <w:lang w:val="en-US"/>
              </w:rPr>
            </w:pPr>
            <w:r>
              <w:rPr>
                <w:sz w:val="20"/>
                <w:szCs w:val="20"/>
                <w:lang w:val="en-US"/>
              </w:rPr>
              <w:t>with</w:t>
            </w:r>
            <w:r w:rsidRPr="00CA5ABA">
              <w:rPr>
                <w:sz w:val="20"/>
                <w:szCs w:val="20"/>
                <w:lang w:val="en-US"/>
              </w:rPr>
              <w:t xml:space="preserve"> 50%</w:t>
            </w:r>
            <w:r>
              <w:rPr>
                <w:sz w:val="20"/>
                <w:szCs w:val="20"/>
                <w:lang w:val="en-US"/>
              </w:rPr>
              <w:t xml:space="preserve"> of the standard</w:t>
            </w:r>
            <w:r w:rsidRPr="00CA5ABA">
              <w:rPr>
                <w:sz w:val="20"/>
                <w:szCs w:val="20"/>
                <w:lang w:val="en-US"/>
              </w:rPr>
              <w:t xml:space="preserve"> dose</w:t>
            </w:r>
          </w:p>
        </w:tc>
      </w:tr>
      <w:tr w:rsidR="0098605A" w:rsidRPr="00CA5ABA" w:rsidTr="0098605A">
        <w:tc>
          <w:tcPr>
            <w:tcW w:w="0" w:type="auto"/>
            <w:tcBorders>
              <w:top w:val="single" w:sz="12" w:space="0" w:color="auto"/>
              <w:bottom w:val="single" w:sz="12" w:space="0" w:color="auto"/>
            </w:tcBorders>
          </w:tcPr>
          <w:p w:rsidR="0098605A" w:rsidRPr="00CA5ABA" w:rsidRDefault="0098605A" w:rsidP="0098605A">
            <w:pPr>
              <w:spacing w:line="480" w:lineRule="auto"/>
              <w:rPr>
                <w:sz w:val="20"/>
                <w:szCs w:val="20"/>
                <w:lang w:val="en-US"/>
              </w:rPr>
            </w:pPr>
            <w:r w:rsidRPr="00CA5ABA">
              <w:rPr>
                <w:sz w:val="20"/>
                <w:szCs w:val="20"/>
                <w:lang w:val="en-US"/>
              </w:rPr>
              <w:t>Adverse event</w:t>
            </w:r>
          </w:p>
        </w:tc>
        <w:tc>
          <w:tcPr>
            <w:tcW w:w="0" w:type="auto"/>
            <w:tcBorders>
              <w:top w:val="single" w:sz="12" w:space="0" w:color="auto"/>
              <w:bottom w:val="single" w:sz="12" w:space="0" w:color="auto"/>
            </w:tcBorders>
          </w:tcPr>
          <w:p w:rsidR="0098605A" w:rsidRPr="00CA5ABA" w:rsidRDefault="0098605A" w:rsidP="0098605A">
            <w:pPr>
              <w:spacing w:line="480" w:lineRule="auto"/>
              <w:rPr>
                <w:sz w:val="20"/>
                <w:szCs w:val="20"/>
                <w:lang w:val="en-US"/>
              </w:rPr>
            </w:pPr>
            <w:r w:rsidRPr="00CA5ABA">
              <w:rPr>
                <w:sz w:val="20"/>
                <w:szCs w:val="20"/>
                <w:lang w:val="en-US"/>
              </w:rPr>
              <w:t>Total</w:t>
            </w:r>
            <w:r w:rsidR="001A6E2C">
              <w:rPr>
                <w:sz w:val="20"/>
                <w:szCs w:val="20"/>
                <w:lang w:val="en-US"/>
              </w:rPr>
              <w:t xml:space="preserve"> (%)</w:t>
            </w:r>
          </w:p>
        </w:tc>
        <w:tc>
          <w:tcPr>
            <w:tcW w:w="0" w:type="auto"/>
            <w:tcBorders>
              <w:top w:val="single" w:sz="12" w:space="0" w:color="auto"/>
              <w:bottom w:val="single" w:sz="12" w:space="0" w:color="auto"/>
            </w:tcBorders>
          </w:tcPr>
          <w:p w:rsidR="0098605A" w:rsidRPr="00CA5ABA" w:rsidRDefault="0098605A" w:rsidP="0098605A">
            <w:pPr>
              <w:spacing w:line="480" w:lineRule="auto"/>
              <w:rPr>
                <w:sz w:val="20"/>
                <w:szCs w:val="20"/>
                <w:lang w:val="en-US"/>
              </w:rPr>
            </w:pPr>
            <w:r w:rsidRPr="00CA5ABA">
              <w:rPr>
                <w:sz w:val="20"/>
                <w:szCs w:val="20"/>
                <w:lang w:val="en-US"/>
              </w:rPr>
              <w:t>AZA</w:t>
            </w:r>
            <w:r w:rsidR="001A6E2C">
              <w:rPr>
                <w:sz w:val="20"/>
                <w:szCs w:val="20"/>
                <w:lang w:val="en-US"/>
              </w:rPr>
              <w:t xml:space="preserve"> (%)</w:t>
            </w:r>
          </w:p>
        </w:tc>
        <w:tc>
          <w:tcPr>
            <w:tcW w:w="0" w:type="auto"/>
            <w:tcBorders>
              <w:top w:val="single" w:sz="12" w:space="0" w:color="auto"/>
              <w:bottom w:val="single" w:sz="12" w:space="0" w:color="auto"/>
            </w:tcBorders>
          </w:tcPr>
          <w:p w:rsidR="0098605A" w:rsidRPr="00CA5ABA" w:rsidRDefault="0098605A" w:rsidP="0098605A">
            <w:pPr>
              <w:spacing w:line="480" w:lineRule="auto"/>
              <w:rPr>
                <w:sz w:val="20"/>
                <w:szCs w:val="20"/>
                <w:lang w:val="en-US"/>
              </w:rPr>
            </w:pPr>
            <w:r w:rsidRPr="00CA5ABA">
              <w:rPr>
                <w:sz w:val="20"/>
                <w:szCs w:val="20"/>
                <w:lang w:val="en-US"/>
              </w:rPr>
              <w:t>MP</w:t>
            </w:r>
            <w:r w:rsidR="001A6E2C">
              <w:rPr>
                <w:sz w:val="20"/>
                <w:szCs w:val="20"/>
                <w:lang w:val="en-US"/>
              </w:rPr>
              <w:t xml:space="preserve"> (%)</w:t>
            </w:r>
          </w:p>
        </w:tc>
        <w:tc>
          <w:tcPr>
            <w:tcW w:w="0" w:type="auto"/>
            <w:tcBorders>
              <w:top w:val="single" w:sz="12" w:space="0" w:color="auto"/>
              <w:bottom w:val="single" w:sz="12" w:space="0" w:color="auto"/>
            </w:tcBorders>
          </w:tcPr>
          <w:p w:rsidR="0098605A" w:rsidRPr="00CA5ABA" w:rsidRDefault="00505A1E" w:rsidP="0098605A">
            <w:pPr>
              <w:spacing w:line="480" w:lineRule="auto"/>
              <w:rPr>
                <w:sz w:val="20"/>
                <w:szCs w:val="20"/>
                <w:lang w:val="en-US"/>
              </w:rPr>
            </w:pPr>
            <w:r>
              <w:rPr>
                <w:sz w:val="20"/>
                <w:szCs w:val="20"/>
                <w:lang w:val="en-US"/>
              </w:rPr>
              <w:t>T</w:t>
            </w:r>
            <w:r w:rsidR="0098605A" w:rsidRPr="00CA5ABA">
              <w:rPr>
                <w:sz w:val="20"/>
                <w:szCs w:val="20"/>
                <w:lang w:val="en-US"/>
              </w:rPr>
              <w:t>otal</w:t>
            </w:r>
            <w:r w:rsidR="001A6E2C">
              <w:rPr>
                <w:sz w:val="20"/>
                <w:szCs w:val="20"/>
                <w:lang w:val="en-US"/>
              </w:rPr>
              <w:t xml:space="preserve"> (%)</w:t>
            </w:r>
          </w:p>
        </w:tc>
        <w:tc>
          <w:tcPr>
            <w:tcW w:w="0" w:type="auto"/>
            <w:tcBorders>
              <w:top w:val="single" w:sz="12" w:space="0" w:color="auto"/>
              <w:bottom w:val="single" w:sz="12" w:space="0" w:color="auto"/>
            </w:tcBorders>
          </w:tcPr>
          <w:p w:rsidR="0098605A" w:rsidRPr="00CA5ABA" w:rsidRDefault="0098605A" w:rsidP="0098605A">
            <w:pPr>
              <w:spacing w:line="480" w:lineRule="auto"/>
              <w:rPr>
                <w:sz w:val="20"/>
                <w:szCs w:val="20"/>
                <w:lang w:val="en-US"/>
              </w:rPr>
            </w:pPr>
            <w:r w:rsidRPr="00CA5ABA">
              <w:rPr>
                <w:sz w:val="20"/>
                <w:szCs w:val="20"/>
                <w:lang w:val="en-US"/>
              </w:rPr>
              <w:t>AZA</w:t>
            </w:r>
            <w:r w:rsidR="001A6E2C">
              <w:rPr>
                <w:sz w:val="20"/>
                <w:szCs w:val="20"/>
                <w:lang w:val="en-US"/>
              </w:rPr>
              <w:t xml:space="preserve"> (%)</w:t>
            </w:r>
          </w:p>
        </w:tc>
        <w:tc>
          <w:tcPr>
            <w:tcW w:w="0" w:type="auto"/>
            <w:tcBorders>
              <w:top w:val="single" w:sz="12" w:space="0" w:color="auto"/>
              <w:bottom w:val="single" w:sz="12" w:space="0" w:color="auto"/>
            </w:tcBorders>
          </w:tcPr>
          <w:p w:rsidR="0098605A" w:rsidRPr="00CA5ABA" w:rsidRDefault="0098605A" w:rsidP="0098605A">
            <w:pPr>
              <w:spacing w:line="480" w:lineRule="auto"/>
              <w:rPr>
                <w:sz w:val="20"/>
                <w:szCs w:val="20"/>
                <w:lang w:val="en-US"/>
              </w:rPr>
            </w:pPr>
            <w:r w:rsidRPr="00CA5ABA">
              <w:rPr>
                <w:sz w:val="20"/>
                <w:szCs w:val="20"/>
                <w:lang w:val="en-US"/>
              </w:rPr>
              <w:t>MP</w:t>
            </w:r>
            <w:r w:rsidR="001A6E2C">
              <w:rPr>
                <w:sz w:val="20"/>
                <w:szCs w:val="20"/>
                <w:lang w:val="en-US"/>
              </w:rPr>
              <w:t xml:space="preserve"> (%)</w:t>
            </w:r>
          </w:p>
        </w:tc>
        <w:tc>
          <w:tcPr>
            <w:tcW w:w="0" w:type="auto"/>
            <w:tcBorders>
              <w:top w:val="single" w:sz="12" w:space="0" w:color="auto"/>
              <w:bottom w:val="single" w:sz="12" w:space="0" w:color="auto"/>
            </w:tcBorders>
          </w:tcPr>
          <w:p w:rsidR="0098605A" w:rsidRPr="00CA5ABA" w:rsidRDefault="00505A1E" w:rsidP="0098605A">
            <w:pPr>
              <w:spacing w:line="480" w:lineRule="auto"/>
              <w:rPr>
                <w:sz w:val="20"/>
                <w:szCs w:val="20"/>
                <w:lang w:val="en-US"/>
              </w:rPr>
            </w:pPr>
            <w:r>
              <w:rPr>
                <w:sz w:val="20"/>
                <w:szCs w:val="20"/>
                <w:lang w:val="en-US"/>
              </w:rPr>
              <w:t>T</w:t>
            </w:r>
            <w:r w:rsidR="0098605A" w:rsidRPr="00CA5ABA">
              <w:rPr>
                <w:sz w:val="20"/>
                <w:szCs w:val="20"/>
                <w:lang w:val="en-US"/>
              </w:rPr>
              <w:t>otal</w:t>
            </w:r>
            <w:r w:rsidR="001A6E2C">
              <w:rPr>
                <w:sz w:val="20"/>
                <w:szCs w:val="20"/>
                <w:lang w:val="en-US"/>
              </w:rPr>
              <w:t xml:space="preserve"> (%)</w:t>
            </w:r>
          </w:p>
        </w:tc>
        <w:tc>
          <w:tcPr>
            <w:tcW w:w="0" w:type="auto"/>
            <w:tcBorders>
              <w:top w:val="single" w:sz="12" w:space="0" w:color="auto"/>
              <w:bottom w:val="single" w:sz="12" w:space="0" w:color="auto"/>
            </w:tcBorders>
          </w:tcPr>
          <w:p w:rsidR="0098605A" w:rsidRPr="00CA5ABA" w:rsidRDefault="0098605A" w:rsidP="0098605A">
            <w:pPr>
              <w:spacing w:line="480" w:lineRule="auto"/>
              <w:rPr>
                <w:sz w:val="20"/>
                <w:szCs w:val="20"/>
                <w:lang w:val="en-US"/>
              </w:rPr>
            </w:pPr>
            <w:r w:rsidRPr="00CA5ABA">
              <w:rPr>
                <w:sz w:val="20"/>
                <w:szCs w:val="20"/>
                <w:lang w:val="en-US"/>
              </w:rPr>
              <w:t>AZA</w:t>
            </w:r>
            <w:r w:rsidR="001A6E2C">
              <w:rPr>
                <w:sz w:val="20"/>
                <w:szCs w:val="20"/>
                <w:lang w:val="en-US"/>
              </w:rPr>
              <w:t xml:space="preserve"> (%)</w:t>
            </w:r>
          </w:p>
        </w:tc>
        <w:tc>
          <w:tcPr>
            <w:tcW w:w="0" w:type="auto"/>
            <w:tcBorders>
              <w:top w:val="single" w:sz="12" w:space="0" w:color="auto"/>
              <w:bottom w:val="single" w:sz="12" w:space="0" w:color="auto"/>
            </w:tcBorders>
          </w:tcPr>
          <w:p w:rsidR="0098605A" w:rsidRPr="00CA5ABA" w:rsidRDefault="0098605A" w:rsidP="0098605A">
            <w:pPr>
              <w:spacing w:line="480" w:lineRule="auto"/>
              <w:rPr>
                <w:sz w:val="20"/>
                <w:szCs w:val="20"/>
                <w:lang w:val="en-US"/>
              </w:rPr>
            </w:pPr>
            <w:r w:rsidRPr="00CA5ABA">
              <w:rPr>
                <w:sz w:val="20"/>
                <w:szCs w:val="20"/>
                <w:lang w:val="en-US"/>
              </w:rPr>
              <w:t>MP</w:t>
            </w:r>
            <w:r w:rsidR="001A6E2C">
              <w:rPr>
                <w:sz w:val="20"/>
                <w:szCs w:val="20"/>
                <w:lang w:val="en-US"/>
              </w:rPr>
              <w:t xml:space="preserve"> (%)</w:t>
            </w:r>
          </w:p>
        </w:tc>
      </w:tr>
      <w:tr w:rsidR="0098605A" w:rsidRPr="00CA5ABA" w:rsidTr="0098605A">
        <w:tc>
          <w:tcPr>
            <w:tcW w:w="0" w:type="auto"/>
            <w:tcBorders>
              <w:top w:val="single" w:sz="12" w:space="0" w:color="auto"/>
            </w:tcBorders>
          </w:tcPr>
          <w:p w:rsidR="0098605A" w:rsidRPr="00CA5ABA" w:rsidRDefault="0098605A" w:rsidP="0098605A">
            <w:pPr>
              <w:spacing w:line="480" w:lineRule="auto"/>
              <w:rPr>
                <w:sz w:val="20"/>
                <w:szCs w:val="20"/>
                <w:lang w:val="en-US"/>
              </w:rPr>
            </w:pPr>
            <w:proofErr w:type="spellStart"/>
            <w:r w:rsidRPr="00CA5ABA">
              <w:rPr>
                <w:sz w:val="20"/>
                <w:szCs w:val="20"/>
                <w:lang w:val="en-US"/>
              </w:rPr>
              <w:t>Hepatotoxicity</w:t>
            </w:r>
            <w:proofErr w:type="spellEnd"/>
          </w:p>
        </w:tc>
        <w:tc>
          <w:tcPr>
            <w:tcW w:w="0" w:type="auto"/>
            <w:tcBorders>
              <w:top w:val="single" w:sz="12" w:space="0" w:color="auto"/>
            </w:tcBorders>
          </w:tcPr>
          <w:p w:rsidR="0098605A" w:rsidRPr="00CA5ABA" w:rsidRDefault="0098605A" w:rsidP="0098605A">
            <w:pPr>
              <w:spacing w:line="480" w:lineRule="auto"/>
              <w:rPr>
                <w:sz w:val="20"/>
                <w:szCs w:val="20"/>
                <w:lang w:val="en-US"/>
              </w:rPr>
            </w:pPr>
            <w:r>
              <w:rPr>
                <w:sz w:val="20"/>
                <w:szCs w:val="20"/>
                <w:lang w:val="en-US"/>
              </w:rPr>
              <w:t>110 (16</w:t>
            </w:r>
            <w:r w:rsidRPr="00CA5ABA">
              <w:rPr>
                <w:sz w:val="20"/>
                <w:szCs w:val="20"/>
                <w:lang w:val="en-US"/>
              </w:rPr>
              <w:t>)</w:t>
            </w:r>
          </w:p>
        </w:tc>
        <w:tc>
          <w:tcPr>
            <w:tcW w:w="0" w:type="auto"/>
            <w:tcBorders>
              <w:top w:val="single" w:sz="12" w:space="0" w:color="auto"/>
            </w:tcBorders>
          </w:tcPr>
          <w:p w:rsidR="0098605A" w:rsidRPr="00CA5ABA" w:rsidRDefault="0098605A" w:rsidP="0098605A">
            <w:pPr>
              <w:spacing w:line="480" w:lineRule="auto"/>
              <w:rPr>
                <w:sz w:val="20"/>
                <w:szCs w:val="20"/>
                <w:lang w:val="en-US"/>
              </w:rPr>
            </w:pPr>
            <w:r>
              <w:rPr>
                <w:sz w:val="20"/>
                <w:szCs w:val="20"/>
                <w:lang w:val="en-US"/>
              </w:rPr>
              <w:t>51 (11</w:t>
            </w:r>
            <w:r w:rsidRPr="00CA5ABA">
              <w:rPr>
                <w:sz w:val="20"/>
                <w:szCs w:val="20"/>
                <w:lang w:val="en-US"/>
              </w:rPr>
              <w:t>)</w:t>
            </w:r>
          </w:p>
        </w:tc>
        <w:tc>
          <w:tcPr>
            <w:tcW w:w="0" w:type="auto"/>
            <w:tcBorders>
              <w:top w:val="single" w:sz="12" w:space="0" w:color="auto"/>
            </w:tcBorders>
          </w:tcPr>
          <w:p w:rsidR="0098605A" w:rsidRPr="00CA5ABA" w:rsidRDefault="0098605A" w:rsidP="0098605A">
            <w:pPr>
              <w:spacing w:line="480" w:lineRule="auto"/>
              <w:rPr>
                <w:sz w:val="20"/>
                <w:szCs w:val="20"/>
                <w:lang w:val="en-US"/>
              </w:rPr>
            </w:pPr>
            <w:r>
              <w:rPr>
                <w:sz w:val="20"/>
                <w:szCs w:val="20"/>
                <w:lang w:val="en-US"/>
              </w:rPr>
              <w:t>59 (24</w:t>
            </w:r>
            <w:r w:rsidRPr="00CA5ABA">
              <w:rPr>
                <w:sz w:val="20"/>
                <w:szCs w:val="20"/>
                <w:lang w:val="en-US"/>
              </w:rPr>
              <w:t>)</w:t>
            </w:r>
          </w:p>
        </w:tc>
        <w:tc>
          <w:tcPr>
            <w:tcW w:w="0" w:type="auto"/>
            <w:tcBorders>
              <w:top w:val="single" w:sz="12" w:space="0" w:color="auto"/>
            </w:tcBorders>
          </w:tcPr>
          <w:p w:rsidR="0098605A" w:rsidRPr="00CA5ABA" w:rsidRDefault="0098605A" w:rsidP="0098605A">
            <w:pPr>
              <w:spacing w:line="480" w:lineRule="auto"/>
              <w:rPr>
                <w:sz w:val="20"/>
                <w:szCs w:val="20"/>
                <w:lang w:val="en-US"/>
              </w:rPr>
            </w:pPr>
            <w:r>
              <w:rPr>
                <w:sz w:val="20"/>
                <w:szCs w:val="20"/>
                <w:lang w:val="en-US"/>
              </w:rPr>
              <w:t>3 (9</w:t>
            </w:r>
            <w:r w:rsidRPr="00CA5ABA">
              <w:rPr>
                <w:sz w:val="20"/>
                <w:szCs w:val="20"/>
                <w:lang w:val="en-US"/>
              </w:rPr>
              <w:t>)</w:t>
            </w:r>
          </w:p>
        </w:tc>
        <w:tc>
          <w:tcPr>
            <w:tcW w:w="0" w:type="auto"/>
            <w:tcBorders>
              <w:top w:val="single" w:sz="12" w:space="0" w:color="auto"/>
            </w:tcBorders>
          </w:tcPr>
          <w:p w:rsidR="0098605A" w:rsidRPr="00CA5ABA" w:rsidRDefault="0098605A" w:rsidP="0098605A">
            <w:pPr>
              <w:spacing w:line="480" w:lineRule="auto"/>
              <w:rPr>
                <w:sz w:val="20"/>
                <w:szCs w:val="20"/>
                <w:lang w:val="en-US"/>
              </w:rPr>
            </w:pPr>
            <w:r>
              <w:rPr>
                <w:sz w:val="20"/>
                <w:szCs w:val="20"/>
                <w:lang w:val="en-US"/>
              </w:rPr>
              <w:t>1 (5</w:t>
            </w:r>
            <w:r w:rsidRPr="00CA5ABA">
              <w:rPr>
                <w:sz w:val="20"/>
                <w:szCs w:val="20"/>
                <w:lang w:val="en-US"/>
              </w:rPr>
              <w:t>)</w:t>
            </w:r>
          </w:p>
        </w:tc>
        <w:tc>
          <w:tcPr>
            <w:tcW w:w="0" w:type="auto"/>
            <w:tcBorders>
              <w:top w:val="single" w:sz="12" w:space="0" w:color="auto"/>
            </w:tcBorders>
          </w:tcPr>
          <w:p w:rsidR="0098605A" w:rsidRPr="00CA5ABA" w:rsidRDefault="0098605A" w:rsidP="0098605A">
            <w:pPr>
              <w:spacing w:line="480" w:lineRule="auto"/>
              <w:rPr>
                <w:sz w:val="20"/>
                <w:szCs w:val="20"/>
                <w:lang w:val="en-US"/>
              </w:rPr>
            </w:pPr>
            <w:r>
              <w:rPr>
                <w:sz w:val="20"/>
                <w:szCs w:val="20"/>
                <w:lang w:val="en-US"/>
              </w:rPr>
              <w:t>2 (1</w:t>
            </w:r>
            <w:r w:rsidR="001A6E2C">
              <w:rPr>
                <w:sz w:val="20"/>
                <w:szCs w:val="20"/>
                <w:lang w:val="en-US"/>
              </w:rPr>
              <w:t>7</w:t>
            </w:r>
            <w:r w:rsidRPr="00CA5ABA">
              <w:rPr>
                <w:sz w:val="20"/>
                <w:szCs w:val="20"/>
                <w:lang w:val="en-US"/>
              </w:rPr>
              <w:t>)</w:t>
            </w:r>
          </w:p>
        </w:tc>
        <w:tc>
          <w:tcPr>
            <w:tcW w:w="0" w:type="auto"/>
            <w:tcBorders>
              <w:top w:val="single" w:sz="12" w:space="0" w:color="auto"/>
            </w:tcBorders>
          </w:tcPr>
          <w:p w:rsidR="0098605A" w:rsidRPr="00CA5ABA" w:rsidRDefault="0098605A" w:rsidP="0098605A">
            <w:pPr>
              <w:spacing w:line="480" w:lineRule="auto"/>
              <w:rPr>
                <w:sz w:val="20"/>
                <w:szCs w:val="20"/>
                <w:lang w:val="en-US"/>
              </w:rPr>
            </w:pPr>
            <w:r>
              <w:rPr>
                <w:sz w:val="20"/>
                <w:szCs w:val="20"/>
                <w:lang w:val="en-US"/>
              </w:rPr>
              <w:t>3 (8</w:t>
            </w:r>
            <w:r w:rsidRPr="00CA5ABA">
              <w:rPr>
                <w:sz w:val="20"/>
                <w:szCs w:val="20"/>
                <w:lang w:val="en-US"/>
              </w:rPr>
              <w:t>)</w:t>
            </w:r>
          </w:p>
        </w:tc>
        <w:tc>
          <w:tcPr>
            <w:tcW w:w="0" w:type="auto"/>
            <w:tcBorders>
              <w:top w:val="single" w:sz="12" w:space="0" w:color="auto"/>
            </w:tcBorders>
          </w:tcPr>
          <w:p w:rsidR="0098605A" w:rsidRPr="00CA5ABA" w:rsidRDefault="0098605A" w:rsidP="0098605A">
            <w:pPr>
              <w:spacing w:line="480" w:lineRule="auto"/>
              <w:rPr>
                <w:sz w:val="20"/>
                <w:szCs w:val="20"/>
                <w:lang w:val="en-US"/>
              </w:rPr>
            </w:pPr>
            <w:r>
              <w:rPr>
                <w:sz w:val="20"/>
                <w:szCs w:val="20"/>
                <w:lang w:val="en-US"/>
              </w:rPr>
              <w:t>3 (13</w:t>
            </w:r>
            <w:r w:rsidRPr="00CA5ABA">
              <w:rPr>
                <w:sz w:val="20"/>
                <w:szCs w:val="20"/>
                <w:lang w:val="en-US"/>
              </w:rPr>
              <w:t>)</w:t>
            </w:r>
          </w:p>
        </w:tc>
        <w:tc>
          <w:tcPr>
            <w:tcW w:w="0" w:type="auto"/>
            <w:tcBorders>
              <w:top w:val="single" w:sz="12" w:space="0" w:color="auto"/>
            </w:tcBorders>
          </w:tcPr>
          <w:p w:rsidR="0098605A" w:rsidRPr="00CA5ABA" w:rsidRDefault="0098605A" w:rsidP="0098605A">
            <w:pPr>
              <w:spacing w:line="480" w:lineRule="auto"/>
              <w:rPr>
                <w:sz w:val="20"/>
                <w:szCs w:val="20"/>
                <w:lang w:val="en-US"/>
              </w:rPr>
            </w:pPr>
            <w:r w:rsidRPr="00CA5ABA">
              <w:rPr>
                <w:sz w:val="20"/>
                <w:szCs w:val="20"/>
                <w:lang w:val="en-US"/>
              </w:rPr>
              <w:t>0</w:t>
            </w:r>
          </w:p>
        </w:tc>
      </w:tr>
      <w:tr w:rsidR="0098605A" w:rsidRPr="00CA5ABA" w:rsidTr="0098605A">
        <w:tc>
          <w:tcPr>
            <w:tcW w:w="0" w:type="auto"/>
          </w:tcPr>
          <w:p w:rsidR="0098605A" w:rsidRPr="00CA5ABA" w:rsidRDefault="0098605A" w:rsidP="0098605A">
            <w:pPr>
              <w:spacing w:line="480" w:lineRule="auto"/>
              <w:rPr>
                <w:sz w:val="20"/>
                <w:szCs w:val="20"/>
                <w:lang w:val="en-US"/>
              </w:rPr>
            </w:pPr>
            <w:proofErr w:type="spellStart"/>
            <w:r w:rsidRPr="00CA5ABA">
              <w:rPr>
                <w:sz w:val="20"/>
                <w:szCs w:val="20"/>
                <w:lang w:val="en-US"/>
              </w:rPr>
              <w:t>Leukopenia</w:t>
            </w:r>
            <w:proofErr w:type="spellEnd"/>
          </w:p>
        </w:tc>
        <w:tc>
          <w:tcPr>
            <w:tcW w:w="0" w:type="auto"/>
          </w:tcPr>
          <w:p w:rsidR="0098605A" w:rsidRPr="00CA5ABA" w:rsidRDefault="0098605A" w:rsidP="0098605A">
            <w:pPr>
              <w:spacing w:line="480" w:lineRule="auto"/>
              <w:rPr>
                <w:sz w:val="20"/>
                <w:szCs w:val="20"/>
                <w:lang w:val="en-US"/>
              </w:rPr>
            </w:pPr>
            <w:r>
              <w:rPr>
                <w:sz w:val="20"/>
                <w:szCs w:val="20"/>
                <w:lang w:val="en-US"/>
              </w:rPr>
              <w:t>49 (7</w:t>
            </w:r>
            <w:r w:rsidRPr="00CA5ABA">
              <w:rPr>
                <w:sz w:val="20"/>
                <w:szCs w:val="20"/>
                <w:lang w:val="en-US"/>
              </w:rPr>
              <w:t>)</w:t>
            </w:r>
          </w:p>
        </w:tc>
        <w:tc>
          <w:tcPr>
            <w:tcW w:w="0" w:type="auto"/>
          </w:tcPr>
          <w:p w:rsidR="0098605A" w:rsidRPr="00CA5ABA" w:rsidRDefault="0098605A" w:rsidP="0098605A">
            <w:pPr>
              <w:spacing w:line="480" w:lineRule="auto"/>
              <w:rPr>
                <w:sz w:val="20"/>
                <w:szCs w:val="20"/>
                <w:lang w:val="en-US"/>
              </w:rPr>
            </w:pPr>
            <w:r>
              <w:rPr>
                <w:sz w:val="20"/>
                <w:szCs w:val="20"/>
                <w:lang w:val="en-US"/>
              </w:rPr>
              <w:t>19 (4</w:t>
            </w:r>
            <w:r w:rsidRPr="00CA5ABA">
              <w:rPr>
                <w:sz w:val="20"/>
                <w:szCs w:val="20"/>
                <w:lang w:val="en-US"/>
              </w:rPr>
              <w:t>)</w:t>
            </w:r>
          </w:p>
        </w:tc>
        <w:tc>
          <w:tcPr>
            <w:tcW w:w="0" w:type="auto"/>
          </w:tcPr>
          <w:p w:rsidR="0098605A" w:rsidRPr="00CA5ABA" w:rsidRDefault="0098605A" w:rsidP="0098605A">
            <w:pPr>
              <w:spacing w:line="480" w:lineRule="auto"/>
              <w:rPr>
                <w:sz w:val="20"/>
                <w:szCs w:val="20"/>
                <w:lang w:val="en-US"/>
              </w:rPr>
            </w:pPr>
            <w:r>
              <w:rPr>
                <w:sz w:val="20"/>
                <w:szCs w:val="20"/>
                <w:lang w:val="en-US"/>
              </w:rPr>
              <w:t>30 (12</w:t>
            </w:r>
            <w:r w:rsidRPr="00CA5ABA">
              <w:rPr>
                <w:sz w:val="20"/>
                <w:szCs w:val="20"/>
                <w:lang w:val="en-US"/>
              </w:rPr>
              <w:t>)</w:t>
            </w:r>
          </w:p>
        </w:tc>
        <w:tc>
          <w:tcPr>
            <w:tcW w:w="0" w:type="auto"/>
          </w:tcPr>
          <w:p w:rsidR="0098605A" w:rsidRPr="00CA5ABA" w:rsidRDefault="0098605A" w:rsidP="0098605A">
            <w:pPr>
              <w:spacing w:line="480" w:lineRule="auto"/>
              <w:rPr>
                <w:sz w:val="20"/>
                <w:szCs w:val="20"/>
                <w:lang w:val="en-US"/>
              </w:rPr>
            </w:pPr>
            <w:r>
              <w:rPr>
                <w:sz w:val="20"/>
                <w:szCs w:val="20"/>
                <w:lang w:val="en-US"/>
              </w:rPr>
              <w:t>8 (24</w:t>
            </w:r>
            <w:r w:rsidRPr="00CA5ABA">
              <w:rPr>
                <w:sz w:val="20"/>
                <w:szCs w:val="20"/>
                <w:lang w:val="en-US"/>
              </w:rPr>
              <w:t>)</w:t>
            </w:r>
          </w:p>
        </w:tc>
        <w:tc>
          <w:tcPr>
            <w:tcW w:w="0" w:type="auto"/>
          </w:tcPr>
          <w:p w:rsidR="0098605A" w:rsidRPr="00CA5ABA" w:rsidRDefault="0098605A" w:rsidP="0098605A">
            <w:pPr>
              <w:spacing w:line="480" w:lineRule="auto"/>
              <w:rPr>
                <w:sz w:val="20"/>
                <w:szCs w:val="20"/>
                <w:lang w:val="en-US"/>
              </w:rPr>
            </w:pPr>
            <w:r>
              <w:rPr>
                <w:sz w:val="20"/>
                <w:szCs w:val="20"/>
                <w:lang w:val="en-US"/>
              </w:rPr>
              <w:t>4 (18</w:t>
            </w:r>
            <w:r w:rsidRPr="00CA5ABA">
              <w:rPr>
                <w:sz w:val="20"/>
                <w:szCs w:val="20"/>
                <w:lang w:val="en-US"/>
              </w:rPr>
              <w:t>)</w:t>
            </w:r>
          </w:p>
        </w:tc>
        <w:tc>
          <w:tcPr>
            <w:tcW w:w="0" w:type="auto"/>
          </w:tcPr>
          <w:p w:rsidR="0098605A" w:rsidRPr="00CA5ABA" w:rsidRDefault="0098605A" w:rsidP="0098605A">
            <w:pPr>
              <w:spacing w:line="480" w:lineRule="auto"/>
              <w:rPr>
                <w:sz w:val="20"/>
                <w:szCs w:val="20"/>
                <w:lang w:val="en-US"/>
              </w:rPr>
            </w:pPr>
            <w:r>
              <w:rPr>
                <w:sz w:val="20"/>
                <w:szCs w:val="20"/>
                <w:lang w:val="en-US"/>
              </w:rPr>
              <w:t>4 (33</w:t>
            </w:r>
            <w:r w:rsidRPr="00CA5ABA">
              <w:rPr>
                <w:sz w:val="20"/>
                <w:szCs w:val="20"/>
                <w:lang w:val="en-US"/>
              </w:rPr>
              <w:t>)</w:t>
            </w:r>
          </w:p>
        </w:tc>
        <w:tc>
          <w:tcPr>
            <w:tcW w:w="0" w:type="auto"/>
          </w:tcPr>
          <w:p w:rsidR="0098605A" w:rsidRPr="00CA5ABA" w:rsidRDefault="0098605A" w:rsidP="0098605A">
            <w:pPr>
              <w:spacing w:line="480" w:lineRule="auto"/>
              <w:rPr>
                <w:sz w:val="20"/>
                <w:szCs w:val="20"/>
                <w:lang w:val="en-US"/>
              </w:rPr>
            </w:pPr>
            <w:r>
              <w:rPr>
                <w:sz w:val="20"/>
                <w:szCs w:val="20"/>
                <w:lang w:val="en-US"/>
              </w:rPr>
              <w:t>1 (3</w:t>
            </w:r>
            <w:r w:rsidRPr="00CA5ABA">
              <w:rPr>
                <w:sz w:val="20"/>
                <w:szCs w:val="20"/>
                <w:lang w:val="en-US"/>
              </w:rPr>
              <w:t>)</w:t>
            </w:r>
          </w:p>
        </w:tc>
        <w:tc>
          <w:tcPr>
            <w:tcW w:w="0" w:type="auto"/>
          </w:tcPr>
          <w:p w:rsidR="0098605A" w:rsidRPr="00CA5ABA" w:rsidRDefault="0098605A" w:rsidP="0098605A">
            <w:pPr>
              <w:spacing w:line="480" w:lineRule="auto"/>
              <w:rPr>
                <w:sz w:val="20"/>
                <w:szCs w:val="20"/>
                <w:lang w:val="en-US"/>
              </w:rPr>
            </w:pPr>
            <w:r w:rsidRPr="00CA5ABA">
              <w:rPr>
                <w:sz w:val="20"/>
                <w:szCs w:val="20"/>
                <w:lang w:val="en-US"/>
              </w:rPr>
              <w:t xml:space="preserve">1 </w:t>
            </w:r>
            <w:r>
              <w:rPr>
                <w:sz w:val="20"/>
                <w:szCs w:val="20"/>
                <w:lang w:val="en-US"/>
              </w:rPr>
              <w:t>(4</w:t>
            </w:r>
            <w:r w:rsidRPr="00CA5ABA">
              <w:rPr>
                <w:sz w:val="20"/>
                <w:szCs w:val="20"/>
                <w:lang w:val="en-US"/>
              </w:rPr>
              <w:t>)</w:t>
            </w:r>
          </w:p>
        </w:tc>
        <w:tc>
          <w:tcPr>
            <w:tcW w:w="0" w:type="auto"/>
          </w:tcPr>
          <w:p w:rsidR="0098605A" w:rsidRPr="00CA5ABA" w:rsidRDefault="0098605A" w:rsidP="0098605A">
            <w:pPr>
              <w:spacing w:line="480" w:lineRule="auto"/>
              <w:rPr>
                <w:sz w:val="20"/>
                <w:szCs w:val="20"/>
                <w:lang w:val="en-US"/>
              </w:rPr>
            </w:pPr>
            <w:r w:rsidRPr="00CA5ABA">
              <w:rPr>
                <w:sz w:val="20"/>
                <w:szCs w:val="20"/>
                <w:lang w:val="en-US"/>
              </w:rPr>
              <w:t>0</w:t>
            </w:r>
          </w:p>
        </w:tc>
      </w:tr>
      <w:tr w:rsidR="0098605A" w:rsidRPr="00CA5ABA" w:rsidTr="0098605A">
        <w:tc>
          <w:tcPr>
            <w:tcW w:w="0" w:type="auto"/>
          </w:tcPr>
          <w:p w:rsidR="0098605A" w:rsidRPr="00CA5ABA" w:rsidRDefault="0098605A" w:rsidP="0098605A">
            <w:pPr>
              <w:spacing w:line="480" w:lineRule="auto"/>
              <w:rPr>
                <w:sz w:val="20"/>
                <w:szCs w:val="20"/>
                <w:lang w:val="en-US"/>
              </w:rPr>
            </w:pPr>
            <w:r w:rsidRPr="00CA5ABA">
              <w:rPr>
                <w:sz w:val="20"/>
                <w:szCs w:val="20"/>
                <w:lang w:val="en-US"/>
              </w:rPr>
              <w:t xml:space="preserve">Gastrointestinal </w:t>
            </w:r>
            <w:r w:rsidR="00D87A79">
              <w:rPr>
                <w:sz w:val="20"/>
                <w:szCs w:val="20"/>
                <w:lang w:val="en-US"/>
              </w:rPr>
              <w:t xml:space="preserve"> side </w:t>
            </w:r>
            <w:r w:rsidRPr="00CA5ABA">
              <w:rPr>
                <w:sz w:val="20"/>
                <w:szCs w:val="20"/>
                <w:lang w:val="en-US"/>
              </w:rPr>
              <w:t>effect</w:t>
            </w:r>
            <w:r w:rsidR="00D87A79">
              <w:rPr>
                <w:sz w:val="20"/>
                <w:szCs w:val="20"/>
                <w:lang w:val="en-US"/>
              </w:rPr>
              <w:t>s</w:t>
            </w:r>
          </w:p>
        </w:tc>
        <w:tc>
          <w:tcPr>
            <w:tcW w:w="0" w:type="auto"/>
          </w:tcPr>
          <w:p w:rsidR="0098605A" w:rsidRPr="00CA5ABA" w:rsidRDefault="0098605A" w:rsidP="0098605A">
            <w:pPr>
              <w:spacing w:line="480" w:lineRule="auto"/>
              <w:rPr>
                <w:sz w:val="20"/>
                <w:szCs w:val="20"/>
                <w:lang w:val="en-US"/>
              </w:rPr>
            </w:pPr>
            <w:r>
              <w:rPr>
                <w:sz w:val="20"/>
                <w:szCs w:val="20"/>
                <w:lang w:val="en-US"/>
              </w:rPr>
              <w:t>317 (46</w:t>
            </w:r>
            <w:r w:rsidRPr="00CA5ABA">
              <w:rPr>
                <w:sz w:val="20"/>
                <w:szCs w:val="20"/>
                <w:lang w:val="en-US"/>
              </w:rPr>
              <w:t>)</w:t>
            </w:r>
          </w:p>
        </w:tc>
        <w:tc>
          <w:tcPr>
            <w:tcW w:w="0" w:type="auto"/>
          </w:tcPr>
          <w:p w:rsidR="0098605A" w:rsidRPr="00CA5ABA" w:rsidRDefault="0098605A" w:rsidP="0098605A">
            <w:pPr>
              <w:spacing w:line="480" w:lineRule="auto"/>
              <w:rPr>
                <w:sz w:val="20"/>
                <w:szCs w:val="20"/>
                <w:lang w:val="en-US"/>
              </w:rPr>
            </w:pPr>
            <w:r>
              <w:rPr>
                <w:sz w:val="20"/>
                <w:szCs w:val="20"/>
                <w:lang w:val="en-US"/>
              </w:rPr>
              <w:t>197 (44</w:t>
            </w:r>
            <w:r w:rsidRPr="00CA5ABA">
              <w:rPr>
                <w:sz w:val="20"/>
                <w:szCs w:val="20"/>
                <w:lang w:val="en-US"/>
              </w:rPr>
              <w:t>)</w:t>
            </w:r>
          </w:p>
        </w:tc>
        <w:tc>
          <w:tcPr>
            <w:tcW w:w="0" w:type="auto"/>
          </w:tcPr>
          <w:p w:rsidR="0098605A" w:rsidRPr="00CA5ABA" w:rsidRDefault="0098605A" w:rsidP="0098605A">
            <w:pPr>
              <w:spacing w:line="480" w:lineRule="auto"/>
              <w:rPr>
                <w:sz w:val="20"/>
                <w:szCs w:val="20"/>
                <w:lang w:val="en-US"/>
              </w:rPr>
            </w:pPr>
            <w:r>
              <w:rPr>
                <w:sz w:val="20"/>
                <w:szCs w:val="20"/>
                <w:lang w:val="en-US"/>
              </w:rPr>
              <w:t>120 (49</w:t>
            </w:r>
            <w:r w:rsidRPr="00CA5ABA">
              <w:rPr>
                <w:sz w:val="20"/>
                <w:szCs w:val="20"/>
                <w:lang w:val="en-US"/>
              </w:rPr>
              <w:t>)</w:t>
            </w:r>
          </w:p>
        </w:tc>
        <w:tc>
          <w:tcPr>
            <w:tcW w:w="0" w:type="auto"/>
          </w:tcPr>
          <w:p w:rsidR="0098605A" w:rsidRPr="00CA5ABA" w:rsidRDefault="0098605A" w:rsidP="0098605A">
            <w:pPr>
              <w:spacing w:line="480" w:lineRule="auto"/>
              <w:rPr>
                <w:sz w:val="20"/>
                <w:szCs w:val="20"/>
                <w:lang w:val="en-US"/>
              </w:rPr>
            </w:pPr>
            <w:r>
              <w:rPr>
                <w:sz w:val="20"/>
                <w:szCs w:val="20"/>
                <w:lang w:val="en-US"/>
              </w:rPr>
              <w:t>16 (47</w:t>
            </w:r>
            <w:r w:rsidRPr="00CA5ABA">
              <w:rPr>
                <w:sz w:val="20"/>
                <w:szCs w:val="20"/>
                <w:lang w:val="en-US"/>
              </w:rPr>
              <w:t>)</w:t>
            </w:r>
          </w:p>
        </w:tc>
        <w:tc>
          <w:tcPr>
            <w:tcW w:w="0" w:type="auto"/>
          </w:tcPr>
          <w:p w:rsidR="0098605A" w:rsidRPr="00CA5ABA" w:rsidRDefault="001A6E2C" w:rsidP="0098605A">
            <w:pPr>
              <w:spacing w:line="480" w:lineRule="auto"/>
              <w:rPr>
                <w:sz w:val="20"/>
                <w:szCs w:val="20"/>
                <w:lang w:val="en-US"/>
              </w:rPr>
            </w:pPr>
            <w:r>
              <w:rPr>
                <w:sz w:val="20"/>
                <w:szCs w:val="20"/>
                <w:lang w:val="en-US"/>
              </w:rPr>
              <w:t>11 (50</w:t>
            </w:r>
            <w:r w:rsidR="0098605A" w:rsidRPr="00CA5ABA">
              <w:rPr>
                <w:sz w:val="20"/>
                <w:szCs w:val="20"/>
                <w:lang w:val="en-US"/>
              </w:rPr>
              <w:t>)</w:t>
            </w:r>
          </w:p>
        </w:tc>
        <w:tc>
          <w:tcPr>
            <w:tcW w:w="0" w:type="auto"/>
          </w:tcPr>
          <w:p w:rsidR="0098605A" w:rsidRPr="00CA5ABA" w:rsidRDefault="0098605A" w:rsidP="0098605A">
            <w:pPr>
              <w:spacing w:line="480" w:lineRule="auto"/>
              <w:rPr>
                <w:sz w:val="20"/>
                <w:szCs w:val="20"/>
                <w:lang w:val="en-US"/>
              </w:rPr>
            </w:pPr>
            <w:r>
              <w:rPr>
                <w:sz w:val="20"/>
                <w:szCs w:val="20"/>
                <w:lang w:val="en-US"/>
              </w:rPr>
              <w:t>5 (42</w:t>
            </w:r>
            <w:r w:rsidRPr="00CA5ABA">
              <w:rPr>
                <w:sz w:val="20"/>
                <w:szCs w:val="20"/>
                <w:lang w:val="en-US"/>
              </w:rPr>
              <w:t>)</w:t>
            </w:r>
          </w:p>
        </w:tc>
        <w:tc>
          <w:tcPr>
            <w:tcW w:w="0" w:type="auto"/>
          </w:tcPr>
          <w:p w:rsidR="0098605A" w:rsidRPr="00CA5ABA" w:rsidRDefault="0098605A" w:rsidP="0098605A">
            <w:pPr>
              <w:spacing w:line="480" w:lineRule="auto"/>
              <w:rPr>
                <w:sz w:val="20"/>
                <w:szCs w:val="20"/>
                <w:lang w:val="en-US"/>
              </w:rPr>
            </w:pPr>
            <w:r>
              <w:rPr>
                <w:sz w:val="20"/>
                <w:szCs w:val="20"/>
                <w:lang w:val="en-US"/>
              </w:rPr>
              <w:t>12 (32</w:t>
            </w:r>
            <w:r w:rsidRPr="00CA5ABA">
              <w:rPr>
                <w:sz w:val="20"/>
                <w:szCs w:val="20"/>
                <w:lang w:val="en-US"/>
              </w:rPr>
              <w:t>)</w:t>
            </w:r>
          </w:p>
        </w:tc>
        <w:tc>
          <w:tcPr>
            <w:tcW w:w="0" w:type="auto"/>
          </w:tcPr>
          <w:p w:rsidR="0098605A" w:rsidRPr="00CA5ABA" w:rsidRDefault="0098605A" w:rsidP="0098605A">
            <w:pPr>
              <w:spacing w:line="480" w:lineRule="auto"/>
              <w:rPr>
                <w:sz w:val="20"/>
                <w:szCs w:val="20"/>
                <w:lang w:val="en-US"/>
              </w:rPr>
            </w:pPr>
            <w:r>
              <w:rPr>
                <w:sz w:val="20"/>
                <w:szCs w:val="20"/>
                <w:lang w:val="en-US"/>
              </w:rPr>
              <w:t>8 (33</w:t>
            </w:r>
            <w:r w:rsidRPr="00CA5ABA">
              <w:rPr>
                <w:sz w:val="20"/>
                <w:szCs w:val="20"/>
                <w:lang w:val="en-US"/>
              </w:rPr>
              <w:t>)</w:t>
            </w:r>
          </w:p>
        </w:tc>
        <w:tc>
          <w:tcPr>
            <w:tcW w:w="0" w:type="auto"/>
          </w:tcPr>
          <w:p w:rsidR="0098605A" w:rsidRPr="00CA5ABA" w:rsidRDefault="001A6E2C" w:rsidP="0098605A">
            <w:pPr>
              <w:spacing w:line="480" w:lineRule="auto"/>
              <w:rPr>
                <w:sz w:val="20"/>
                <w:szCs w:val="20"/>
                <w:lang w:val="en-US"/>
              </w:rPr>
            </w:pPr>
            <w:r>
              <w:rPr>
                <w:sz w:val="20"/>
                <w:szCs w:val="20"/>
                <w:lang w:val="en-US"/>
              </w:rPr>
              <w:t>4 (29</w:t>
            </w:r>
            <w:r w:rsidR="0098605A" w:rsidRPr="00CA5ABA">
              <w:rPr>
                <w:sz w:val="20"/>
                <w:szCs w:val="20"/>
                <w:lang w:val="en-US"/>
              </w:rPr>
              <w:t>)</w:t>
            </w:r>
          </w:p>
        </w:tc>
      </w:tr>
      <w:tr w:rsidR="0098605A" w:rsidRPr="00CA5ABA" w:rsidTr="0098605A">
        <w:tc>
          <w:tcPr>
            <w:tcW w:w="0" w:type="auto"/>
            <w:tcBorders>
              <w:bottom w:val="single" w:sz="12" w:space="0" w:color="auto"/>
            </w:tcBorders>
          </w:tcPr>
          <w:p w:rsidR="0098605A" w:rsidRPr="00CA5ABA" w:rsidRDefault="00D87A79" w:rsidP="0098605A">
            <w:pPr>
              <w:spacing w:line="480" w:lineRule="auto"/>
              <w:rPr>
                <w:sz w:val="20"/>
                <w:szCs w:val="20"/>
                <w:lang w:val="en-US"/>
              </w:rPr>
            </w:pPr>
            <w:r>
              <w:rPr>
                <w:sz w:val="20"/>
                <w:szCs w:val="20"/>
                <w:lang w:val="en-US"/>
              </w:rPr>
              <w:t>Total</w:t>
            </w:r>
          </w:p>
        </w:tc>
        <w:tc>
          <w:tcPr>
            <w:tcW w:w="0" w:type="auto"/>
            <w:tcBorders>
              <w:bottom w:val="single" w:sz="12" w:space="0" w:color="auto"/>
            </w:tcBorders>
          </w:tcPr>
          <w:p w:rsidR="0098605A" w:rsidRPr="00CA5ABA" w:rsidRDefault="0098605A" w:rsidP="0098605A">
            <w:pPr>
              <w:spacing w:line="480" w:lineRule="auto"/>
              <w:rPr>
                <w:sz w:val="20"/>
                <w:szCs w:val="20"/>
                <w:lang w:val="en-US"/>
              </w:rPr>
            </w:pPr>
            <w:r w:rsidRPr="00CA5ABA">
              <w:rPr>
                <w:sz w:val="20"/>
                <w:szCs w:val="20"/>
                <w:lang w:val="en-US"/>
              </w:rPr>
              <w:t xml:space="preserve">695 </w:t>
            </w:r>
          </w:p>
        </w:tc>
        <w:tc>
          <w:tcPr>
            <w:tcW w:w="0" w:type="auto"/>
            <w:tcBorders>
              <w:bottom w:val="single" w:sz="12" w:space="0" w:color="auto"/>
            </w:tcBorders>
          </w:tcPr>
          <w:p w:rsidR="0098605A" w:rsidRPr="00CA5ABA" w:rsidRDefault="0098605A" w:rsidP="0098605A">
            <w:pPr>
              <w:spacing w:line="480" w:lineRule="auto"/>
              <w:rPr>
                <w:sz w:val="20"/>
                <w:szCs w:val="20"/>
                <w:lang w:val="en-US"/>
              </w:rPr>
            </w:pPr>
            <w:r w:rsidRPr="00CA5ABA">
              <w:rPr>
                <w:sz w:val="20"/>
                <w:szCs w:val="20"/>
                <w:lang w:val="en-US"/>
              </w:rPr>
              <w:t>448</w:t>
            </w:r>
          </w:p>
        </w:tc>
        <w:tc>
          <w:tcPr>
            <w:tcW w:w="0" w:type="auto"/>
            <w:tcBorders>
              <w:bottom w:val="single" w:sz="12" w:space="0" w:color="auto"/>
            </w:tcBorders>
          </w:tcPr>
          <w:p w:rsidR="0098605A" w:rsidRPr="00CA5ABA" w:rsidRDefault="0098605A" w:rsidP="0098605A">
            <w:pPr>
              <w:spacing w:line="480" w:lineRule="auto"/>
              <w:rPr>
                <w:sz w:val="20"/>
                <w:szCs w:val="20"/>
                <w:lang w:val="en-US"/>
              </w:rPr>
            </w:pPr>
            <w:r w:rsidRPr="00CA5ABA">
              <w:rPr>
                <w:sz w:val="20"/>
                <w:szCs w:val="20"/>
                <w:lang w:val="en-US"/>
              </w:rPr>
              <w:t>247</w:t>
            </w:r>
          </w:p>
        </w:tc>
        <w:tc>
          <w:tcPr>
            <w:tcW w:w="0" w:type="auto"/>
            <w:tcBorders>
              <w:bottom w:val="single" w:sz="12" w:space="0" w:color="auto"/>
            </w:tcBorders>
          </w:tcPr>
          <w:p w:rsidR="0098605A" w:rsidRPr="00CA5ABA" w:rsidRDefault="0098605A" w:rsidP="0098605A">
            <w:pPr>
              <w:spacing w:line="480" w:lineRule="auto"/>
              <w:rPr>
                <w:sz w:val="20"/>
                <w:szCs w:val="20"/>
                <w:lang w:val="en-US"/>
              </w:rPr>
            </w:pPr>
            <w:r w:rsidRPr="00CA5ABA">
              <w:rPr>
                <w:sz w:val="20"/>
                <w:szCs w:val="20"/>
                <w:lang w:val="en-US"/>
              </w:rPr>
              <w:t>34</w:t>
            </w:r>
          </w:p>
        </w:tc>
        <w:tc>
          <w:tcPr>
            <w:tcW w:w="0" w:type="auto"/>
            <w:tcBorders>
              <w:bottom w:val="single" w:sz="12" w:space="0" w:color="auto"/>
            </w:tcBorders>
          </w:tcPr>
          <w:p w:rsidR="0098605A" w:rsidRPr="00CA5ABA" w:rsidRDefault="0098605A" w:rsidP="0098605A">
            <w:pPr>
              <w:spacing w:line="480" w:lineRule="auto"/>
              <w:rPr>
                <w:sz w:val="20"/>
                <w:szCs w:val="20"/>
                <w:lang w:val="en-US"/>
              </w:rPr>
            </w:pPr>
            <w:r w:rsidRPr="00CA5ABA">
              <w:rPr>
                <w:sz w:val="20"/>
                <w:szCs w:val="20"/>
                <w:lang w:val="en-US"/>
              </w:rPr>
              <w:t>22</w:t>
            </w:r>
          </w:p>
        </w:tc>
        <w:tc>
          <w:tcPr>
            <w:tcW w:w="0" w:type="auto"/>
            <w:tcBorders>
              <w:bottom w:val="single" w:sz="12" w:space="0" w:color="auto"/>
            </w:tcBorders>
          </w:tcPr>
          <w:p w:rsidR="0098605A" w:rsidRPr="00CA5ABA" w:rsidRDefault="0098605A" w:rsidP="0098605A">
            <w:pPr>
              <w:spacing w:line="480" w:lineRule="auto"/>
              <w:rPr>
                <w:sz w:val="20"/>
                <w:szCs w:val="20"/>
                <w:lang w:val="en-US"/>
              </w:rPr>
            </w:pPr>
            <w:r w:rsidRPr="00CA5ABA">
              <w:rPr>
                <w:sz w:val="20"/>
                <w:szCs w:val="20"/>
                <w:lang w:val="en-US"/>
              </w:rPr>
              <w:t>12</w:t>
            </w:r>
          </w:p>
        </w:tc>
        <w:tc>
          <w:tcPr>
            <w:tcW w:w="0" w:type="auto"/>
            <w:tcBorders>
              <w:bottom w:val="single" w:sz="12" w:space="0" w:color="auto"/>
            </w:tcBorders>
          </w:tcPr>
          <w:p w:rsidR="0098605A" w:rsidRPr="00CA5ABA" w:rsidRDefault="0098605A" w:rsidP="0098605A">
            <w:pPr>
              <w:spacing w:line="480" w:lineRule="auto"/>
              <w:rPr>
                <w:sz w:val="20"/>
                <w:szCs w:val="20"/>
                <w:lang w:val="en-US"/>
              </w:rPr>
            </w:pPr>
            <w:r w:rsidRPr="00CA5ABA">
              <w:rPr>
                <w:sz w:val="20"/>
                <w:szCs w:val="20"/>
                <w:lang w:val="en-US"/>
              </w:rPr>
              <w:t>38</w:t>
            </w:r>
          </w:p>
        </w:tc>
        <w:tc>
          <w:tcPr>
            <w:tcW w:w="0" w:type="auto"/>
            <w:tcBorders>
              <w:bottom w:val="single" w:sz="12" w:space="0" w:color="auto"/>
            </w:tcBorders>
          </w:tcPr>
          <w:p w:rsidR="0098605A" w:rsidRPr="00CA5ABA" w:rsidRDefault="0098605A" w:rsidP="0098605A">
            <w:pPr>
              <w:spacing w:line="480" w:lineRule="auto"/>
              <w:rPr>
                <w:sz w:val="20"/>
                <w:szCs w:val="20"/>
                <w:lang w:val="en-US"/>
              </w:rPr>
            </w:pPr>
            <w:r w:rsidRPr="00CA5ABA">
              <w:rPr>
                <w:sz w:val="20"/>
                <w:szCs w:val="20"/>
                <w:lang w:val="en-US"/>
              </w:rPr>
              <w:t>24</w:t>
            </w:r>
          </w:p>
        </w:tc>
        <w:tc>
          <w:tcPr>
            <w:tcW w:w="0" w:type="auto"/>
            <w:tcBorders>
              <w:bottom w:val="single" w:sz="12" w:space="0" w:color="auto"/>
            </w:tcBorders>
          </w:tcPr>
          <w:p w:rsidR="0098605A" w:rsidRPr="00CA5ABA" w:rsidRDefault="0098605A" w:rsidP="0098605A">
            <w:pPr>
              <w:spacing w:line="480" w:lineRule="auto"/>
              <w:rPr>
                <w:sz w:val="20"/>
                <w:szCs w:val="20"/>
                <w:lang w:val="en-US"/>
              </w:rPr>
            </w:pPr>
            <w:r w:rsidRPr="00CA5ABA">
              <w:rPr>
                <w:sz w:val="20"/>
                <w:szCs w:val="20"/>
                <w:lang w:val="en-US"/>
              </w:rPr>
              <w:t>14</w:t>
            </w:r>
          </w:p>
        </w:tc>
      </w:tr>
    </w:tbl>
    <w:p w:rsidR="0098605A" w:rsidRPr="0098605A" w:rsidRDefault="0098605A" w:rsidP="0098605A">
      <w:pPr>
        <w:spacing w:line="480" w:lineRule="auto"/>
        <w:rPr>
          <w:rFonts w:asciiTheme="minorHAnsi" w:eastAsiaTheme="minorHAnsi" w:hAnsiTheme="minorHAnsi" w:cs="Calibri,Italic"/>
          <w:iCs/>
          <w:color w:val="000000"/>
          <w:lang w:val="en-US"/>
        </w:rPr>
      </w:pPr>
      <w:r w:rsidRPr="005251C9">
        <w:rPr>
          <w:b/>
          <w:lang w:val="en-US"/>
        </w:rPr>
        <w:t>Supplementary Table 2.</w:t>
      </w:r>
      <w:r w:rsidRPr="0098605A">
        <w:rPr>
          <w:rFonts w:asciiTheme="minorHAnsi" w:eastAsiaTheme="minorHAnsi" w:hAnsiTheme="minorHAnsi" w:cs="Calibri,Italic"/>
          <w:iCs/>
          <w:color w:val="000000"/>
          <w:lang w:val="en-US"/>
        </w:rPr>
        <w:t xml:space="preserve"> Side effect rates in patients without a </w:t>
      </w:r>
      <w:r w:rsidR="00505A1E">
        <w:rPr>
          <w:rFonts w:asciiTheme="minorHAnsi" w:eastAsiaTheme="minorHAnsi" w:hAnsiTheme="minorHAnsi" w:cs="Calibri,Italic"/>
          <w:iCs/>
          <w:color w:val="000000"/>
          <w:lang w:val="en-US"/>
        </w:rPr>
        <w:t xml:space="preserve">genetic </w:t>
      </w:r>
      <w:r w:rsidRPr="0098605A">
        <w:rPr>
          <w:rFonts w:asciiTheme="minorHAnsi" w:eastAsiaTheme="minorHAnsi" w:hAnsiTheme="minorHAnsi" w:cs="Calibri,Italic"/>
          <w:iCs/>
          <w:color w:val="000000"/>
          <w:lang w:val="en-US"/>
        </w:rPr>
        <w:t xml:space="preserve">variant in </w:t>
      </w:r>
      <w:r w:rsidRPr="0098605A">
        <w:rPr>
          <w:rFonts w:asciiTheme="minorHAnsi" w:eastAsiaTheme="minorHAnsi" w:hAnsiTheme="minorHAnsi" w:cs="Calibri,Italic"/>
          <w:i/>
          <w:iCs/>
          <w:color w:val="000000"/>
          <w:lang w:val="en-US"/>
        </w:rPr>
        <w:t>TPMT</w:t>
      </w:r>
      <w:r w:rsidRPr="0098605A">
        <w:rPr>
          <w:rFonts w:asciiTheme="minorHAnsi" w:eastAsiaTheme="minorHAnsi" w:hAnsiTheme="minorHAnsi" w:cs="Calibri,Italic"/>
          <w:iCs/>
          <w:color w:val="000000"/>
          <w:lang w:val="en-US"/>
        </w:rPr>
        <w:t xml:space="preserve"> and those with a heterozygous variant in </w:t>
      </w:r>
      <w:r w:rsidRPr="0098605A">
        <w:rPr>
          <w:rFonts w:asciiTheme="minorHAnsi" w:eastAsiaTheme="minorHAnsi" w:hAnsiTheme="minorHAnsi" w:cs="Calibri,Italic"/>
          <w:i/>
          <w:iCs/>
          <w:color w:val="000000"/>
          <w:lang w:val="en-US"/>
        </w:rPr>
        <w:t>TPMT</w:t>
      </w:r>
      <w:r w:rsidRPr="0098605A">
        <w:rPr>
          <w:rFonts w:asciiTheme="minorHAnsi" w:eastAsiaTheme="minorHAnsi" w:hAnsiTheme="minorHAnsi" w:cs="Calibri,Italic"/>
          <w:iCs/>
          <w:color w:val="000000"/>
          <w:lang w:val="en-US"/>
        </w:rPr>
        <w:t xml:space="preserve"> treated with either the full dose or reduced </w:t>
      </w:r>
      <w:proofErr w:type="spellStart"/>
      <w:r w:rsidRPr="0098605A">
        <w:rPr>
          <w:rFonts w:asciiTheme="minorHAnsi" w:eastAsiaTheme="minorHAnsi" w:hAnsiTheme="minorHAnsi" w:cs="Calibri,Italic"/>
          <w:iCs/>
          <w:color w:val="000000"/>
          <w:lang w:val="en-US"/>
        </w:rPr>
        <w:t>thiopurine</w:t>
      </w:r>
      <w:proofErr w:type="spellEnd"/>
      <w:r w:rsidRPr="0098605A">
        <w:rPr>
          <w:rFonts w:asciiTheme="minorHAnsi" w:eastAsiaTheme="minorHAnsi" w:hAnsiTheme="minorHAnsi" w:cs="Calibri,Italic"/>
          <w:iCs/>
          <w:color w:val="000000"/>
          <w:lang w:val="en-US"/>
        </w:rPr>
        <w:t xml:space="preserve"> dose.</w:t>
      </w:r>
    </w:p>
    <w:p w:rsidR="0098605A" w:rsidRDefault="0098605A" w:rsidP="0098605A">
      <w:pPr>
        <w:spacing w:line="480" w:lineRule="auto"/>
        <w:rPr>
          <w:rStyle w:val="st1"/>
          <w:rFonts w:asciiTheme="minorHAnsi" w:hAnsiTheme="minorHAnsi" w:cstheme="minorHAnsi"/>
          <w:sz w:val="20"/>
          <w:lang w:val="en-US"/>
        </w:rPr>
      </w:pPr>
    </w:p>
    <w:p w:rsidR="00505A1E" w:rsidRDefault="00505A1E" w:rsidP="0098605A">
      <w:pPr>
        <w:spacing w:line="480" w:lineRule="auto"/>
        <w:rPr>
          <w:rStyle w:val="st1"/>
          <w:rFonts w:asciiTheme="minorHAnsi" w:hAnsiTheme="minorHAnsi" w:cstheme="minorHAnsi"/>
          <w:sz w:val="20"/>
          <w:lang w:val="en-US"/>
        </w:rPr>
      </w:pPr>
    </w:p>
    <w:p w:rsidR="00505A1E" w:rsidRDefault="00505A1E" w:rsidP="0098605A">
      <w:pPr>
        <w:spacing w:line="480" w:lineRule="auto"/>
        <w:rPr>
          <w:rStyle w:val="st1"/>
          <w:rFonts w:asciiTheme="minorHAnsi" w:hAnsiTheme="minorHAnsi" w:cstheme="minorHAnsi"/>
          <w:sz w:val="20"/>
          <w:lang w:val="en-US"/>
        </w:rPr>
      </w:pPr>
    </w:p>
    <w:p w:rsidR="00505A1E" w:rsidRDefault="00505A1E" w:rsidP="0098605A">
      <w:pPr>
        <w:spacing w:line="480" w:lineRule="auto"/>
        <w:rPr>
          <w:rStyle w:val="st1"/>
          <w:rFonts w:asciiTheme="minorHAnsi" w:hAnsiTheme="minorHAnsi" w:cstheme="minorHAnsi"/>
          <w:sz w:val="20"/>
          <w:lang w:val="en-US"/>
        </w:rPr>
      </w:pPr>
    </w:p>
    <w:p w:rsidR="00505A1E" w:rsidRDefault="00505A1E" w:rsidP="0098605A">
      <w:pPr>
        <w:spacing w:line="480" w:lineRule="auto"/>
        <w:rPr>
          <w:rStyle w:val="st1"/>
          <w:rFonts w:asciiTheme="minorHAnsi" w:hAnsiTheme="minorHAnsi" w:cstheme="minorHAnsi"/>
          <w:sz w:val="20"/>
          <w:lang w:val="en-US"/>
        </w:rPr>
      </w:pPr>
    </w:p>
    <w:p w:rsidR="00505A1E" w:rsidRDefault="00505A1E" w:rsidP="0098605A">
      <w:pPr>
        <w:spacing w:line="480" w:lineRule="auto"/>
        <w:rPr>
          <w:rStyle w:val="st1"/>
          <w:rFonts w:asciiTheme="minorHAnsi" w:hAnsiTheme="minorHAnsi" w:cstheme="minorHAnsi"/>
          <w:sz w:val="20"/>
          <w:lang w:val="en-US"/>
        </w:rPr>
      </w:pPr>
    </w:p>
    <w:p w:rsidR="00505A1E" w:rsidRDefault="00505A1E" w:rsidP="0098605A">
      <w:pPr>
        <w:spacing w:line="480" w:lineRule="auto"/>
        <w:rPr>
          <w:rStyle w:val="st1"/>
          <w:rFonts w:asciiTheme="minorHAnsi" w:hAnsiTheme="minorHAnsi" w:cstheme="minorHAnsi"/>
          <w:sz w:val="20"/>
          <w:lang w:val="en-US"/>
        </w:rPr>
      </w:pPr>
    </w:p>
    <w:p w:rsidR="00505A1E" w:rsidRDefault="00505A1E" w:rsidP="0098605A">
      <w:pPr>
        <w:spacing w:line="480" w:lineRule="auto"/>
        <w:rPr>
          <w:rStyle w:val="st1"/>
          <w:rFonts w:asciiTheme="minorHAnsi" w:hAnsiTheme="minorHAnsi" w:cstheme="minorHAnsi"/>
          <w:sz w:val="20"/>
          <w:lang w:val="en-US"/>
        </w:rPr>
      </w:pPr>
    </w:p>
    <w:p w:rsidR="00505A1E" w:rsidRDefault="00505A1E" w:rsidP="0098605A">
      <w:pPr>
        <w:spacing w:line="480" w:lineRule="auto"/>
        <w:rPr>
          <w:rStyle w:val="st1"/>
          <w:rFonts w:asciiTheme="minorHAnsi" w:hAnsiTheme="minorHAnsi" w:cstheme="minorHAnsi"/>
          <w:sz w:val="20"/>
          <w:lang w:val="en-US"/>
        </w:rPr>
      </w:pPr>
    </w:p>
    <w:p w:rsidR="0098605A" w:rsidRPr="00505A1E" w:rsidRDefault="00406E92" w:rsidP="0098605A">
      <w:pPr>
        <w:spacing w:line="480" w:lineRule="auto"/>
        <w:rPr>
          <w:rFonts w:asciiTheme="minorHAnsi" w:hAnsiTheme="minorHAnsi" w:cstheme="minorHAnsi"/>
          <w:sz w:val="20"/>
          <w:lang w:val="en-US"/>
        </w:rPr>
      </w:pPr>
      <w:r>
        <w:rPr>
          <w:rStyle w:val="st1"/>
          <w:rFonts w:asciiTheme="minorHAnsi" w:hAnsiTheme="minorHAnsi" w:cstheme="minorHAnsi"/>
          <w:sz w:val="20"/>
          <w:lang w:val="en-US"/>
        </w:rPr>
        <w:t>See the Method section f</w:t>
      </w:r>
      <w:r w:rsidR="0098605A">
        <w:rPr>
          <w:rStyle w:val="st1"/>
          <w:rFonts w:asciiTheme="minorHAnsi" w:hAnsiTheme="minorHAnsi" w:cstheme="minorHAnsi"/>
          <w:sz w:val="20"/>
          <w:lang w:val="en-US"/>
        </w:rPr>
        <w:t xml:space="preserve">or definitions of </w:t>
      </w:r>
      <w:proofErr w:type="spellStart"/>
      <w:r w:rsidR="0098605A">
        <w:rPr>
          <w:rStyle w:val="st1"/>
          <w:rFonts w:asciiTheme="minorHAnsi" w:hAnsiTheme="minorHAnsi" w:cstheme="minorHAnsi"/>
          <w:sz w:val="20"/>
          <w:lang w:val="en-US"/>
        </w:rPr>
        <w:t>hepatotoxicity</w:t>
      </w:r>
      <w:proofErr w:type="spellEnd"/>
      <w:r w:rsidR="0098605A">
        <w:rPr>
          <w:rStyle w:val="st1"/>
          <w:rFonts w:asciiTheme="minorHAnsi" w:hAnsiTheme="minorHAnsi" w:cstheme="minorHAnsi"/>
          <w:sz w:val="20"/>
          <w:lang w:val="en-US"/>
        </w:rPr>
        <w:t xml:space="preserve">, </w:t>
      </w:r>
      <w:proofErr w:type="spellStart"/>
      <w:r>
        <w:rPr>
          <w:rStyle w:val="st1"/>
          <w:rFonts w:asciiTheme="minorHAnsi" w:hAnsiTheme="minorHAnsi" w:cstheme="minorHAnsi"/>
          <w:sz w:val="20"/>
          <w:lang w:val="en-US"/>
        </w:rPr>
        <w:t>l</w:t>
      </w:r>
      <w:r w:rsidR="0098605A">
        <w:rPr>
          <w:rStyle w:val="st1"/>
          <w:rFonts w:asciiTheme="minorHAnsi" w:hAnsiTheme="minorHAnsi" w:cstheme="minorHAnsi"/>
          <w:sz w:val="20"/>
          <w:lang w:val="en-US"/>
        </w:rPr>
        <w:t>eukopenia</w:t>
      </w:r>
      <w:proofErr w:type="spellEnd"/>
      <w:r w:rsidR="0098605A">
        <w:rPr>
          <w:rStyle w:val="st1"/>
          <w:rFonts w:asciiTheme="minorHAnsi" w:hAnsiTheme="minorHAnsi" w:cstheme="minorHAnsi"/>
          <w:sz w:val="20"/>
          <w:lang w:val="en-US"/>
        </w:rPr>
        <w:t xml:space="preserve"> and</w:t>
      </w:r>
      <w:r>
        <w:rPr>
          <w:rStyle w:val="st1"/>
          <w:rFonts w:asciiTheme="minorHAnsi" w:hAnsiTheme="minorHAnsi" w:cstheme="minorHAnsi"/>
          <w:sz w:val="20"/>
          <w:lang w:val="en-US"/>
        </w:rPr>
        <w:t xml:space="preserve"> g</w:t>
      </w:r>
      <w:r w:rsidR="0098605A">
        <w:rPr>
          <w:rStyle w:val="st1"/>
          <w:rFonts w:asciiTheme="minorHAnsi" w:hAnsiTheme="minorHAnsi" w:cstheme="minorHAnsi"/>
          <w:sz w:val="20"/>
          <w:lang w:val="en-US"/>
        </w:rPr>
        <w:t>astrointestinal</w:t>
      </w:r>
      <w:r>
        <w:rPr>
          <w:rStyle w:val="st1"/>
          <w:rFonts w:asciiTheme="minorHAnsi" w:hAnsiTheme="minorHAnsi" w:cstheme="minorHAnsi"/>
          <w:sz w:val="20"/>
          <w:lang w:val="en-US"/>
        </w:rPr>
        <w:t xml:space="preserve"> side effects</w:t>
      </w:r>
      <w:r w:rsidR="0098605A" w:rsidRPr="00505A1E">
        <w:rPr>
          <w:rStyle w:val="st1"/>
          <w:rFonts w:asciiTheme="minorHAnsi" w:hAnsiTheme="minorHAnsi" w:cstheme="minorHAnsi"/>
          <w:sz w:val="20"/>
          <w:lang w:val="en-US"/>
        </w:rPr>
        <w:t xml:space="preserve">.  In </w:t>
      </w:r>
      <w:r w:rsidR="0098605A" w:rsidRPr="00505A1E">
        <w:rPr>
          <w:rFonts w:asciiTheme="minorHAnsi" w:hAnsiTheme="minorHAnsi"/>
          <w:lang w:val="en-US"/>
        </w:rPr>
        <w:t>the TOPIC trial patients were randomized</w:t>
      </w:r>
      <w:r w:rsidR="0098605A" w:rsidRPr="00505A1E">
        <w:rPr>
          <w:rFonts w:asciiTheme="minorHAnsi" w:eastAsiaTheme="minorHAnsi" w:hAnsiTheme="minorHAnsi" w:cs="Calibri"/>
          <w:color w:val="000000"/>
          <w:lang w:val="en-US"/>
        </w:rPr>
        <w:t xml:space="preserve"> for </w:t>
      </w:r>
      <w:proofErr w:type="spellStart"/>
      <w:r w:rsidR="0098605A" w:rsidRPr="00505A1E">
        <w:rPr>
          <w:rFonts w:asciiTheme="minorHAnsi" w:eastAsiaTheme="minorHAnsi" w:hAnsiTheme="minorHAnsi" w:cs="Calibri"/>
          <w:color w:val="000000"/>
          <w:lang w:val="en-US"/>
        </w:rPr>
        <w:t>thiopurine</w:t>
      </w:r>
      <w:proofErr w:type="spellEnd"/>
      <w:r w:rsidR="0098605A" w:rsidRPr="00505A1E">
        <w:rPr>
          <w:rFonts w:asciiTheme="minorHAnsi" w:eastAsiaTheme="minorHAnsi" w:hAnsiTheme="minorHAnsi" w:cs="Calibri"/>
          <w:color w:val="000000"/>
          <w:lang w:val="en-US"/>
        </w:rPr>
        <w:t xml:space="preserve"> dosing based on their</w:t>
      </w:r>
      <w:r w:rsidR="0098605A" w:rsidRPr="00505A1E">
        <w:rPr>
          <w:rFonts w:asciiTheme="minorHAnsi" w:eastAsiaTheme="minorHAnsi" w:hAnsiTheme="minorHAnsi" w:cs="Calibri,Italic"/>
          <w:iCs/>
          <w:color w:val="000000"/>
          <w:lang w:val="en-US"/>
        </w:rPr>
        <w:t xml:space="preserve"> </w:t>
      </w:r>
      <w:r w:rsidR="0098605A" w:rsidRPr="00406E92">
        <w:rPr>
          <w:rFonts w:asciiTheme="minorHAnsi" w:eastAsiaTheme="minorHAnsi" w:hAnsiTheme="minorHAnsi" w:cs="Calibri,Italic"/>
          <w:i/>
          <w:iCs/>
          <w:color w:val="000000"/>
          <w:lang w:val="en-US"/>
        </w:rPr>
        <w:t>TPMT</w:t>
      </w:r>
      <w:r w:rsidR="0098605A" w:rsidRPr="00505A1E">
        <w:rPr>
          <w:rFonts w:asciiTheme="minorHAnsi" w:eastAsiaTheme="minorHAnsi" w:hAnsiTheme="minorHAnsi"/>
          <w:color w:val="000000"/>
          <w:lang w:val="en-US"/>
        </w:rPr>
        <w:t xml:space="preserve"> </w:t>
      </w:r>
      <w:r w:rsidR="0098605A" w:rsidRPr="00505A1E">
        <w:rPr>
          <w:rFonts w:asciiTheme="minorHAnsi" w:eastAsiaTheme="minorHAnsi" w:hAnsiTheme="minorHAnsi" w:cs="Calibri"/>
          <w:color w:val="000000"/>
          <w:lang w:val="en-US"/>
        </w:rPr>
        <w:t>genotype versus the standard dose. Only patients assigned to</w:t>
      </w:r>
      <w:r w:rsidR="0098605A" w:rsidRPr="00505A1E">
        <w:rPr>
          <w:rFonts w:asciiTheme="minorHAnsi" w:eastAsiaTheme="minorHAnsi" w:hAnsiTheme="minorHAnsi"/>
          <w:color w:val="000000"/>
          <w:lang w:val="en-US"/>
        </w:rPr>
        <w:t xml:space="preserve"> </w:t>
      </w:r>
      <w:r w:rsidR="0098605A" w:rsidRPr="00505A1E">
        <w:rPr>
          <w:rFonts w:asciiTheme="minorHAnsi" w:eastAsiaTheme="minorHAnsi" w:hAnsiTheme="minorHAnsi" w:cs="Calibri"/>
          <w:color w:val="000000"/>
          <w:lang w:val="en-US"/>
        </w:rPr>
        <w:t xml:space="preserve">the </w:t>
      </w:r>
      <w:r w:rsidR="0098605A" w:rsidRPr="00406E92">
        <w:rPr>
          <w:rFonts w:asciiTheme="minorHAnsi" w:eastAsiaTheme="minorHAnsi" w:hAnsiTheme="minorHAnsi" w:cs="Calibri,Italic"/>
          <w:i/>
          <w:iCs/>
          <w:color w:val="000000"/>
          <w:lang w:val="en-US"/>
        </w:rPr>
        <w:t>TPMT</w:t>
      </w:r>
      <w:r w:rsidR="0098605A" w:rsidRPr="00505A1E">
        <w:rPr>
          <w:rFonts w:asciiTheme="minorHAnsi" w:eastAsiaTheme="minorHAnsi" w:hAnsiTheme="minorHAnsi" w:cs="Calibri,Italic"/>
          <w:iCs/>
          <w:color w:val="000000"/>
          <w:lang w:val="en-US"/>
        </w:rPr>
        <w:t xml:space="preserve"> </w:t>
      </w:r>
      <w:r w:rsidR="0098605A" w:rsidRPr="00505A1E">
        <w:rPr>
          <w:rFonts w:asciiTheme="minorHAnsi" w:eastAsiaTheme="minorHAnsi" w:hAnsiTheme="minorHAnsi" w:cs="Calibri"/>
          <w:color w:val="000000"/>
          <w:lang w:val="en-US"/>
        </w:rPr>
        <w:t xml:space="preserve">genotyping arm received a 50% dose reduction when they carried a heterozygote variant in </w:t>
      </w:r>
      <w:r w:rsidR="0098605A" w:rsidRPr="00406E92">
        <w:rPr>
          <w:rFonts w:asciiTheme="minorHAnsi" w:eastAsiaTheme="minorHAnsi" w:hAnsiTheme="minorHAnsi" w:cs="Calibri"/>
          <w:i/>
          <w:color w:val="000000"/>
          <w:lang w:val="en-US"/>
        </w:rPr>
        <w:t>TPMT</w:t>
      </w:r>
      <w:r w:rsidR="0098605A" w:rsidRPr="00505A1E">
        <w:rPr>
          <w:rFonts w:asciiTheme="minorHAnsi" w:eastAsiaTheme="minorHAnsi" w:hAnsiTheme="minorHAnsi" w:cs="Calibri"/>
          <w:color w:val="000000"/>
          <w:lang w:val="en-US"/>
        </w:rPr>
        <w:t>. This resulted in the formation of three subgroups. First, there is the largest group</w:t>
      </w:r>
      <w:r w:rsidR="0098605A" w:rsidRPr="00505A1E">
        <w:rPr>
          <w:rFonts w:asciiTheme="minorHAnsi" w:eastAsiaTheme="minorHAnsi" w:hAnsiTheme="minorHAnsi" w:cs="Calibri,Italic"/>
          <w:iCs/>
          <w:color w:val="000000"/>
          <w:lang w:val="en-US"/>
        </w:rPr>
        <w:t xml:space="preserve"> of patients without a variant in </w:t>
      </w:r>
      <w:r w:rsidR="0098605A" w:rsidRPr="00406E92">
        <w:rPr>
          <w:rFonts w:asciiTheme="minorHAnsi" w:eastAsiaTheme="minorHAnsi" w:hAnsiTheme="minorHAnsi" w:cs="Calibri,Italic"/>
          <w:i/>
          <w:iCs/>
          <w:color w:val="000000"/>
          <w:lang w:val="en-US"/>
        </w:rPr>
        <w:t>TPMT</w:t>
      </w:r>
      <w:r w:rsidR="0098605A" w:rsidRPr="00505A1E">
        <w:rPr>
          <w:rFonts w:asciiTheme="minorHAnsi" w:eastAsiaTheme="minorHAnsi" w:hAnsiTheme="minorHAnsi" w:cs="Calibri,Italic"/>
          <w:iCs/>
          <w:color w:val="000000"/>
          <w:lang w:val="en-US"/>
        </w:rPr>
        <w:t xml:space="preserve"> (randomized to either the intervention group or standard group) treated with the full dose </w:t>
      </w:r>
      <w:proofErr w:type="spellStart"/>
      <w:r w:rsidR="0098605A" w:rsidRPr="00505A1E">
        <w:rPr>
          <w:rFonts w:asciiTheme="minorHAnsi" w:eastAsiaTheme="minorHAnsi" w:hAnsiTheme="minorHAnsi" w:cs="Calibri,Italic"/>
          <w:iCs/>
          <w:color w:val="000000"/>
          <w:lang w:val="en-US"/>
        </w:rPr>
        <w:t>thiopurine</w:t>
      </w:r>
      <w:proofErr w:type="spellEnd"/>
      <w:r w:rsidR="0098605A" w:rsidRPr="00505A1E">
        <w:rPr>
          <w:rFonts w:asciiTheme="minorHAnsi" w:eastAsiaTheme="minorHAnsi" w:hAnsiTheme="minorHAnsi" w:cs="Calibri,Italic"/>
          <w:iCs/>
          <w:color w:val="000000"/>
          <w:lang w:val="en-US"/>
        </w:rPr>
        <w:t xml:space="preserve">. Second, a small group was randomized to the invention arm and received 50% of the regular dose because of the presence of a variant in </w:t>
      </w:r>
      <w:r w:rsidR="0098605A" w:rsidRPr="00406E92">
        <w:rPr>
          <w:rFonts w:asciiTheme="minorHAnsi" w:eastAsiaTheme="minorHAnsi" w:hAnsiTheme="minorHAnsi" w:cs="Calibri,Italic"/>
          <w:i/>
          <w:iCs/>
          <w:color w:val="000000"/>
          <w:lang w:val="en-US"/>
        </w:rPr>
        <w:t>TPMT</w:t>
      </w:r>
      <w:r w:rsidR="0098605A" w:rsidRPr="00505A1E">
        <w:rPr>
          <w:rFonts w:asciiTheme="minorHAnsi" w:eastAsiaTheme="minorHAnsi" w:hAnsiTheme="minorHAnsi" w:cs="Calibri,Italic"/>
          <w:iCs/>
          <w:color w:val="000000"/>
          <w:lang w:val="en-US"/>
        </w:rPr>
        <w:t xml:space="preserve">. The third group is also a small group randomized to the ‘standard of care arm’ and therefore received the full regular dose, while genotyping after the conduction of the clinical trial revealed that these patients carried a heterozygote variant in </w:t>
      </w:r>
      <w:r w:rsidR="0098605A" w:rsidRPr="00406E92">
        <w:rPr>
          <w:rFonts w:asciiTheme="minorHAnsi" w:eastAsiaTheme="minorHAnsi" w:hAnsiTheme="minorHAnsi" w:cs="Calibri,Italic"/>
          <w:i/>
          <w:iCs/>
          <w:color w:val="000000"/>
          <w:lang w:val="en-US"/>
        </w:rPr>
        <w:t>TPMT</w:t>
      </w:r>
      <w:r w:rsidR="0098605A" w:rsidRPr="00505A1E">
        <w:rPr>
          <w:rFonts w:asciiTheme="minorHAnsi" w:hAnsiTheme="minorHAnsi" w:cstheme="minorHAnsi"/>
          <w:sz w:val="20"/>
          <w:lang w:val="en-US"/>
        </w:rPr>
        <w:t xml:space="preserve">. </w:t>
      </w:r>
      <w:r w:rsidR="0098605A" w:rsidRPr="00505A1E">
        <w:rPr>
          <w:rFonts w:asciiTheme="minorHAnsi" w:eastAsiaTheme="minorHAnsi" w:hAnsiTheme="minorHAnsi" w:cs="Calibri,Italic"/>
          <w:iCs/>
          <w:color w:val="000000"/>
          <w:lang w:val="en-US"/>
        </w:rPr>
        <w:t>Chi-squared tests were conducted to compare rates between patients in the three groups</w:t>
      </w:r>
      <w:r>
        <w:rPr>
          <w:rFonts w:asciiTheme="minorHAnsi" w:eastAsiaTheme="minorHAnsi" w:hAnsiTheme="minorHAnsi" w:cs="Calibri,Italic"/>
          <w:iCs/>
          <w:color w:val="000000"/>
          <w:lang w:val="en-US"/>
        </w:rPr>
        <w:t>. These analyse</w:t>
      </w:r>
      <w:r w:rsidR="0098605A" w:rsidRPr="00505A1E">
        <w:rPr>
          <w:rFonts w:asciiTheme="minorHAnsi" w:eastAsiaTheme="minorHAnsi" w:hAnsiTheme="minorHAnsi" w:cs="Calibri,Italic"/>
          <w:iCs/>
          <w:color w:val="000000"/>
          <w:lang w:val="en-US"/>
        </w:rPr>
        <w:t xml:space="preserve">s </w:t>
      </w:r>
      <w:r w:rsidR="0098605A" w:rsidRPr="00505A1E">
        <w:rPr>
          <w:rFonts w:asciiTheme="minorHAnsi" w:eastAsiaTheme="minorHAnsi" w:hAnsiTheme="minorHAnsi" w:cs="Calibri,Italic"/>
          <w:iCs/>
          <w:color w:val="000000"/>
          <w:lang w:val="en-US"/>
        </w:rPr>
        <w:lastRenderedPageBreak/>
        <w:t xml:space="preserve">showed that there was a significant difference in </w:t>
      </w:r>
      <w:proofErr w:type="spellStart"/>
      <w:r w:rsidR="0098605A" w:rsidRPr="00505A1E">
        <w:rPr>
          <w:rFonts w:asciiTheme="minorHAnsi" w:eastAsiaTheme="minorHAnsi" w:hAnsiTheme="minorHAnsi" w:cs="Calibri,Italic"/>
          <w:iCs/>
          <w:color w:val="000000"/>
          <w:lang w:val="en-US"/>
        </w:rPr>
        <w:t>leukopenia</w:t>
      </w:r>
      <w:proofErr w:type="spellEnd"/>
      <w:r w:rsidR="0098605A" w:rsidRPr="00505A1E">
        <w:rPr>
          <w:rFonts w:asciiTheme="minorHAnsi" w:eastAsiaTheme="minorHAnsi" w:hAnsiTheme="minorHAnsi" w:cs="Calibri,Italic"/>
          <w:iCs/>
          <w:color w:val="000000"/>
          <w:lang w:val="en-US"/>
        </w:rPr>
        <w:t xml:space="preserve"> rate between the three groups (p=0.001), but not for gastrointestinal side effects (p=0</w:t>
      </w:r>
      <w:r w:rsidR="00505A1E">
        <w:rPr>
          <w:rFonts w:asciiTheme="minorHAnsi" w:eastAsiaTheme="minorHAnsi" w:hAnsiTheme="minorHAnsi" w:cs="Calibri,Italic"/>
          <w:iCs/>
          <w:color w:val="000000"/>
          <w:lang w:val="en-US"/>
        </w:rPr>
        <w:t xml:space="preserve">.23) or </w:t>
      </w:r>
      <w:proofErr w:type="spellStart"/>
      <w:r w:rsidR="00505A1E">
        <w:rPr>
          <w:rFonts w:asciiTheme="minorHAnsi" w:eastAsiaTheme="minorHAnsi" w:hAnsiTheme="minorHAnsi" w:cs="Calibri,Italic"/>
          <w:iCs/>
          <w:color w:val="000000"/>
          <w:lang w:val="en-US"/>
        </w:rPr>
        <w:t>hepatotoxicity</w:t>
      </w:r>
      <w:proofErr w:type="spellEnd"/>
      <w:r w:rsidR="00505A1E">
        <w:rPr>
          <w:rFonts w:asciiTheme="minorHAnsi" w:eastAsiaTheme="minorHAnsi" w:hAnsiTheme="minorHAnsi" w:cs="Calibri,Italic"/>
          <w:iCs/>
          <w:color w:val="000000"/>
          <w:lang w:val="en-US"/>
        </w:rPr>
        <w:t xml:space="preserve"> (p=0.24</w:t>
      </w:r>
      <w:r w:rsidR="0098605A" w:rsidRPr="00505A1E">
        <w:rPr>
          <w:rFonts w:asciiTheme="minorHAnsi" w:eastAsiaTheme="minorHAnsi" w:hAnsiTheme="minorHAnsi" w:cs="Calibri,Italic"/>
          <w:iCs/>
          <w:color w:val="000000"/>
          <w:lang w:val="en-US"/>
        </w:rPr>
        <w:t xml:space="preserve">). Absolute numbers are very low, </w:t>
      </w:r>
      <w:r>
        <w:rPr>
          <w:rFonts w:asciiTheme="minorHAnsi" w:eastAsiaTheme="minorHAnsi" w:hAnsiTheme="minorHAnsi" w:cs="Calibri,Italic"/>
          <w:iCs/>
          <w:color w:val="000000"/>
          <w:lang w:val="en-US"/>
        </w:rPr>
        <w:t>which results in</w:t>
      </w:r>
      <w:r w:rsidR="0098605A" w:rsidRPr="00505A1E">
        <w:rPr>
          <w:rFonts w:asciiTheme="minorHAnsi" w:eastAsiaTheme="minorHAnsi" w:hAnsiTheme="minorHAnsi" w:cs="Calibri,Italic"/>
          <w:iCs/>
          <w:color w:val="000000"/>
          <w:lang w:val="en-US"/>
        </w:rPr>
        <w:t xml:space="preserve"> insufficient power to perform additional statistics to compare AZA with MP within the small subgroups. Taking the small groups into account no large differences were seen in frequencies between AZA and MP for the subgroups.</w:t>
      </w:r>
    </w:p>
    <w:p w:rsidR="0098605A" w:rsidRPr="00505A1E" w:rsidRDefault="0098605A" w:rsidP="0098605A">
      <w:pPr>
        <w:spacing w:line="480" w:lineRule="auto"/>
        <w:rPr>
          <w:rFonts w:asciiTheme="minorHAnsi" w:eastAsiaTheme="minorHAnsi" w:hAnsiTheme="minorHAnsi" w:cs="Calibri,Italic"/>
          <w:iCs/>
          <w:color w:val="000000"/>
          <w:lang w:val="en-US"/>
        </w:rPr>
      </w:pPr>
      <w:r w:rsidRPr="00505A1E">
        <w:rPr>
          <w:rFonts w:asciiTheme="minorHAnsi" w:hAnsiTheme="minorHAnsi" w:cstheme="minorHAnsi"/>
          <w:sz w:val="20"/>
          <w:lang w:val="en-US"/>
        </w:rPr>
        <w:t xml:space="preserve">AZA, </w:t>
      </w:r>
      <w:proofErr w:type="spellStart"/>
      <w:r w:rsidRPr="00505A1E">
        <w:rPr>
          <w:rFonts w:asciiTheme="minorHAnsi" w:hAnsiTheme="minorHAnsi" w:cstheme="minorHAnsi"/>
          <w:sz w:val="20"/>
          <w:lang w:val="en-US"/>
        </w:rPr>
        <w:t>azathioprine</w:t>
      </w:r>
      <w:proofErr w:type="spellEnd"/>
      <w:r w:rsidRPr="00505A1E">
        <w:rPr>
          <w:rFonts w:asciiTheme="minorHAnsi" w:hAnsiTheme="minorHAnsi" w:cstheme="minorHAnsi"/>
          <w:sz w:val="20"/>
          <w:lang w:val="en-US"/>
        </w:rPr>
        <w:t xml:space="preserve">;  MP, </w:t>
      </w:r>
      <w:proofErr w:type="spellStart"/>
      <w:r w:rsidRPr="00505A1E">
        <w:rPr>
          <w:rFonts w:asciiTheme="minorHAnsi" w:hAnsiTheme="minorHAnsi" w:cstheme="minorHAnsi"/>
          <w:sz w:val="20"/>
          <w:lang w:val="en-US"/>
        </w:rPr>
        <w:t>mercaptopurine</w:t>
      </w:r>
      <w:proofErr w:type="spellEnd"/>
      <w:r w:rsidRPr="00505A1E">
        <w:rPr>
          <w:rFonts w:asciiTheme="minorHAnsi" w:hAnsiTheme="minorHAnsi" w:cstheme="minorHAnsi"/>
          <w:sz w:val="20"/>
          <w:lang w:val="en-US"/>
        </w:rPr>
        <w:t xml:space="preserve">; </w:t>
      </w:r>
      <w:r w:rsidRPr="00505A1E">
        <w:rPr>
          <w:rStyle w:val="st1"/>
          <w:rFonts w:asciiTheme="minorHAnsi" w:hAnsiTheme="minorHAnsi" w:cstheme="minorHAnsi"/>
          <w:sz w:val="20"/>
          <w:lang w:val="en-US"/>
        </w:rPr>
        <w:t xml:space="preserve"> </w:t>
      </w:r>
      <w:r w:rsidRPr="00505A1E">
        <w:rPr>
          <w:rFonts w:asciiTheme="minorHAnsi" w:hAnsiTheme="minorHAnsi" w:cstheme="minorHAnsi"/>
          <w:sz w:val="20"/>
          <w:lang w:val="en-US"/>
        </w:rPr>
        <w:t xml:space="preserve">TPMT, </w:t>
      </w:r>
      <w:proofErr w:type="spellStart"/>
      <w:r w:rsidRPr="00505A1E">
        <w:rPr>
          <w:rStyle w:val="st1"/>
          <w:rFonts w:asciiTheme="minorHAnsi" w:hAnsiTheme="minorHAnsi" w:cstheme="minorHAnsi"/>
          <w:sz w:val="20"/>
          <w:lang w:val="en-US"/>
        </w:rPr>
        <w:t>thiopurine</w:t>
      </w:r>
      <w:proofErr w:type="spellEnd"/>
      <w:r w:rsidRPr="00505A1E">
        <w:rPr>
          <w:rStyle w:val="st1"/>
          <w:rFonts w:asciiTheme="minorHAnsi" w:hAnsiTheme="minorHAnsi" w:cstheme="minorHAnsi"/>
          <w:sz w:val="20"/>
          <w:lang w:val="en-US"/>
        </w:rPr>
        <w:t xml:space="preserve"> S-</w:t>
      </w:r>
      <w:proofErr w:type="spellStart"/>
      <w:r w:rsidRPr="00505A1E">
        <w:rPr>
          <w:rStyle w:val="st1"/>
          <w:rFonts w:asciiTheme="minorHAnsi" w:hAnsiTheme="minorHAnsi" w:cstheme="minorHAnsi"/>
          <w:sz w:val="20"/>
          <w:lang w:val="en-US"/>
        </w:rPr>
        <w:t>methyltransferase</w:t>
      </w:r>
      <w:proofErr w:type="spellEnd"/>
      <w:r w:rsidRPr="00505A1E">
        <w:rPr>
          <w:rStyle w:val="st1"/>
          <w:rFonts w:asciiTheme="minorHAnsi" w:hAnsiTheme="minorHAnsi" w:cstheme="minorHAnsi"/>
          <w:sz w:val="20"/>
          <w:lang w:val="en-US"/>
        </w:rPr>
        <w:t xml:space="preserve">. </w:t>
      </w:r>
    </w:p>
    <w:sectPr w:rsidR="0098605A" w:rsidRPr="00505A1E" w:rsidSect="0098605A">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compat/>
  <w:rsids>
    <w:rsidRoot w:val="0098605A"/>
    <w:rsid w:val="001071A4"/>
    <w:rsid w:val="001A6E2C"/>
    <w:rsid w:val="001D2567"/>
    <w:rsid w:val="002A052B"/>
    <w:rsid w:val="002F08EB"/>
    <w:rsid w:val="00406E92"/>
    <w:rsid w:val="004748B9"/>
    <w:rsid w:val="0050031E"/>
    <w:rsid w:val="00505A1E"/>
    <w:rsid w:val="005251C9"/>
    <w:rsid w:val="0098605A"/>
    <w:rsid w:val="00B47288"/>
    <w:rsid w:val="00D87A79"/>
    <w:rsid w:val="00E23A9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8605A"/>
    <w:rPr>
      <w:rFonts w:ascii="Calibri" w:eastAsia="Times New Roman"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860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Standaardalinea-lettertype"/>
    <w:rsid w:val="009860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360</Words>
  <Characters>1983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UMC St Radboud</Company>
  <LinksUpToDate>false</LinksUpToDate>
  <CharactersWithSpaces>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broekman</dc:creator>
  <cp:lastModifiedBy>mark broekman</cp:lastModifiedBy>
  <cp:revision>6</cp:revision>
  <dcterms:created xsi:type="dcterms:W3CDTF">2017-03-28T13:38:00Z</dcterms:created>
  <dcterms:modified xsi:type="dcterms:W3CDTF">2017-04-18T12:55:00Z</dcterms:modified>
</cp:coreProperties>
</file>