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2" w:rsidRDefault="004436CD" w:rsidP="008D3D7C">
      <w:pPr>
        <w:spacing w:line="480" w:lineRule="auto"/>
        <w:rPr>
          <w:rFonts w:cstheme="minorHAnsi"/>
          <w:lang w:val="en-US"/>
        </w:rPr>
      </w:pPr>
      <w:r w:rsidRPr="003E5CCC">
        <w:rPr>
          <w:b/>
          <w:lang w:val="en-US"/>
        </w:rPr>
        <w:t>Supplementary Table 4</w:t>
      </w:r>
      <w:r w:rsidR="00B26C02" w:rsidRPr="003E5CCC">
        <w:rPr>
          <w:b/>
          <w:lang w:val="en-US"/>
        </w:rPr>
        <w:t>.</w:t>
      </w:r>
      <w:r w:rsidR="005E7E18">
        <w:rPr>
          <w:lang w:val="en-US"/>
        </w:rPr>
        <w:t xml:space="preserve"> </w:t>
      </w:r>
      <w:r w:rsidR="00A819CB">
        <w:rPr>
          <w:lang w:val="en-US"/>
        </w:rPr>
        <w:t xml:space="preserve">Results of </w:t>
      </w:r>
      <w:r w:rsidR="00A819CB">
        <w:rPr>
          <w:rFonts w:cstheme="minorHAnsi"/>
          <w:lang w:val="en-US"/>
        </w:rPr>
        <w:t>s</w:t>
      </w:r>
      <w:r w:rsidR="00B26C02" w:rsidRPr="00F45166">
        <w:rPr>
          <w:rFonts w:cstheme="minorHAnsi"/>
          <w:lang w:val="en-US"/>
        </w:rPr>
        <w:t>econdary multivariate Cox-proporti</w:t>
      </w:r>
      <w:r w:rsidR="00A819CB">
        <w:rPr>
          <w:rFonts w:cstheme="minorHAnsi"/>
          <w:lang w:val="en-US"/>
        </w:rPr>
        <w:t xml:space="preserve">onal </w:t>
      </w:r>
      <w:r w:rsidR="00F9310D">
        <w:rPr>
          <w:rFonts w:cstheme="minorHAnsi"/>
          <w:lang w:val="en-US"/>
        </w:rPr>
        <w:t xml:space="preserve">Hazard analysis </w:t>
      </w:r>
      <w:r w:rsidR="00B26C02" w:rsidRPr="00F45166">
        <w:rPr>
          <w:rFonts w:cstheme="minorHAnsi"/>
          <w:lang w:val="en-US"/>
        </w:rPr>
        <w:t xml:space="preserve">to calculate the Hazard ratio for </w:t>
      </w:r>
      <w:r w:rsidR="00B26C02">
        <w:rPr>
          <w:rFonts w:cstheme="minorHAnsi"/>
          <w:lang w:val="en-US"/>
        </w:rPr>
        <w:t>AZA and MP</w:t>
      </w:r>
      <w:r w:rsidR="00B26C02" w:rsidRPr="00F45166">
        <w:rPr>
          <w:rFonts w:cstheme="minorHAnsi"/>
          <w:lang w:val="en-US"/>
        </w:rPr>
        <w:t xml:space="preserve"> </w:t>
      </w:r>
      <w:r w:rsidR="00B26C02">
        <w:rPr>
          <w:rFonts w:cstheme="minorHAnsi"/>
          <w:lang w:val="en-US"/>
        </w:rPr>
        <w:t>for the risk of adverse events</w:t>
      </w:r>
      <w:r w:rsidR="00B26C02">
        <w:rPr>
          <w:lang w:val="en-US"/>
        </w:rPr>
        <w:t xml:space="preserve"> </w:t>
      </w:r>
      <w:r w:rsidR="00B26C02" w:rsidRPr="00F45166">
        <w:rPr>
          <w:rFonts w:cstheme="minorHAnsi"/>
          <w:lang w:val="en-US"/>
        </w:rPr>
        <w:t xml:space="preserve">adjusted for </w:t>
      </w:r>
      <w:proofErr w:type="spellStart"/>
      <w:r w:rsidR="00B26C02">
        <w:rPr>
          <w:rFonts w:cstheme="minorHAnsi"/>
          <w:lang w:val="en-US"/>
        </w:rPr>
        <w:t>thiopurine</w:t>
      </w:r>
      <w:proofErr w:type="spellEnd"/>
      <w:r w:rsidR="00B26C02">
        <w:rPr>
          <w:rFonts w:cstheme="minorHAnsi"/>
          <w:lang w:val="en-US"/>
        </w:rPr>
        <w:t xml:space="preserve"> dose and week eight metabolite </w:t>
      </w:r>
      <w:r w:rsidR="00985923">
        <w:rPr>
          <w:rFonts w:cstheme="minorHAnsi"/>
          <w:lang w:val="en-US"/>
        </w:rPr>
        <w:t>levels.</w:t>
      </w:r>
    </w:p>
    <w:p w:rsidR="004436CD" w:rsidRPr="008D3D7C" w:rsidRDefault="004436CD" w:rsidP="008D3D7C">
      <w:pPr>
        <w:spacing w:line="480" w:lineRule="auto"/>
        <w:rPr>
          <w:lang w:val="en-US"/>
        </w:rPr>
      </w:pPr>
    </w:p>
    <w:tbl>
      <w:tblPr>
        <w:tblStyle w:val="Tabelrast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1"/>
        <w:gridCol w:w="2875"/>
        <w:gridCol w:w="880"/>
        <w:gridCol w:w="2700"/>
      </w:tblGrid>
      <w:tr w:rsidR="00B26C02" w:rsidRPr="00E23863" w:rsidTr="00B26C02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Adverse event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Hazard Ratio (95% CI interval)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66809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Cases and controls included </w:t>
            </w:r>
          </w:p>
          <w:p w:rsidR="00B26C02" w:rsidRDefault="00966809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in the</w:t>
            </w:r>
            <w:r w:rsidR="00B26C02">
              <w:rPr>
                <w:lang w:val="en-US"/>
              </w:rPr>
              <w:t xml:space="preserve"> analysis</w:t>
            </w:r>
          </w:p>
        </w:tc>
      </w:tr>
      <w:tr w:rsidR="00B26C02" w:rsidTr="00B26C02">
        <w:tc>
          <w:tcPr>
            <w:tcW w:w="0" w:type="auto"/>
            <w:tcBorders>
              <w:top w:val="single" w:sz="12" w:space="0" w:color="auto"/>
            </w:tcBorders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Hepatotoxicity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26C02" w:rsidRPr="007D7979" w:rsidRDefault="00B26C02" w:rsidP="008D3D7C">
            <w:pPr>
              <w:spacing w:line="480" w:lineRule="auto"/>
            </w:pPr>
            <w:r>
              <w:t>1.65 (0.56-4.84)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26C02" w:rsidRPr="007D7979" w:rsidRDefault="00B26C02" w:rsidP="008D3D7C">
            <w:pPr>
              <w:spacing w:line="480" w:lineRule="auto"/>
            </w:pPr>
            <w:r>
              <w:t>0.36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B26C02" w:rsidRPr="007D7979" w:rsidRDefault="00B26C02" w:rsidP="008D3D7C">
            <w:pPr>
              <w:spacing w:line="480" w:lineRule="auto"/>
            </w:pPr>
            <w:r>
              <w:t xml:space="preserve">19 cases, 136 </w:t>
            </w:r>
            <w:proofErr w:type="spellStart"/>
            <w:r>
              <w:t>controls</w:t>
            </w:r>
            <w:proofErr w:type="spellEnd"/>
          </w:p>
        </w:tc>
      </w:tr>
      <w:tr w:rsidR="00B26C02" w:rsidTr="00B26C02">
        <w:tc>
          <w:tcPr>
            <w:tcW w:w="0" w:type="auto"/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Leukopenia</w:t>
            </w:r>
            <w:proofErr w:type="spellEnd"/>
          </w:p>
        </w:tc>
        <w:tc>
          <w:tcPr>
            <w:tcW w:w="0" w:type="auto"/>
          </w:tcPr>
          <w:p w:rsidR="00B26C02" w:rsidRPr="007D7979" w:rsidRDefault="00B26C02" w:rsidP="008D3D7C">
            <w:pPr>
              <w:spacing w:line="480" w:lineRule="auto"/>
            </w:pPr>
            <w:r>
              <w:t>2.28 (0.54-9.61)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0.26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 cases, 143 controls</w:t>
            </w:r>
          </w:p>
        </w:tc>
      </w:tr>
      <w:tr w:rsidR="00B26C02" w:rsidRPr="00B26C02" w:rsidTr="00B26C02">
        <w:tc>
          <w:tcPr>
            <w:tcW w:w="0" w:type="auto"/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Gastrointestinal side effects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</w:pPr>
            <w:r>
              <w:t>1.28 (0.72-2.29)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</w:pPr>
            <w:r>
              <w:t>0.40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</w:pPr>
            <w:r>
              <w:t xml:space="preserve">62 cases, 93 </w:t>
            </w:r>
            <w:proofErr w:type="spellStart"/>
            <w:r>
              <w:t>controls</w:t>
            </w:r>
            <w:proofErr w:type="spellEnd"/>
          </w:p>
        </w:tc>
      </w:tr>
      <w:tr w:rsidR="00B26C02" w:rsidTr="00B26C02">
        <w:tc>
          <w:tcPr>
            <w:tcW w:w="0" w:type="auto"/>
          </w:tcPr>
          <w:p w:rsidR="00B26C02" w:rsidRDefault="00B26C02" w:rsidP="008D3D7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Treatment response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</w:pPr>
            <w:r>
              <w:t>0.77 (0.22-2.75)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</w:pPr>
            <w:r>
              <w:t>0.70</w:t>
            </w:r>
          </w:p>
        </w:tc>
        <w:tc>
          <w:tcPr>
            <w:tcW w:w="0" w:type="auto"/>
          </w:tcPr>
          <w:p w:rsidR="00B26C02" w:rsidRDefault="00B26C02" w:rsidP="008D3D7C">
            <w:pPr>
              <w:spacing w:line="480" w:lineRule="auto"/>
            </w:pPr>
            <w:r>
              <w:t xml:space="preserve">84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included</w:t>
            </w:r>
            <w:proofErr w:type="spellEnd"/>
          </w:p>
        </w:tc>
      </w:tr>
    </w:tbl>
    <w:p w:rsidR="00B26C02" w:rsidRDefault="00B26C02" w:rsidP="008D3D7C">
      <w:pPr>
        <w:spacing w:line="480" w:lineRule="auto"/>
        <w:rPr>
          <w:lang w:val="en-US"/>
        </w:rPr>
      </w:pPr>
    </w:p>
    <w:p w:rsidR="00061938" w:rsidRDefault="005E7E18" w:rsidP="008D3D7C">
      <w:pPr>
        <w:spacing w:line="480" w:lineRule="auto"/>
        <w:rPr>
          <w:lang w:val="en-US"/>
        </w:rPr>
      </w:pPr>
      <w:r>
        <w:rPr>
          <w:lang w:val="en-US"/>
        </w:rPr>
        <w:t xml:space="preserve">Analyses were </w:t>
      </w:r>
      <w:r w:rsidR="00CD552B">
        <w:rPr>
          <w:lang w:val="en-US"/>
        </w:rPr>
        <w:t>identical</w:t>
      </w:r>
      <w:r w:rsidR="00F9310D">
        <w:rPr>
          <w:lang w:val="en-US"/>
        </w:rPr>
        <w:t xml:space="preserve"> to the secondary analyse</w:t>
      </w:r>
      <w:r>
        <w:rPr>
          <w:lang w:val="en-US"/>
        </w:rPr>
        <w:t>s presented in the main text</w:t>
      </w:r>
      <w:r w:rsidR="00985923">
        <w:rPr>
          <w:lang w:val="en-US"/>
        </w:rPr>
        <w:t xml:space="preserve">, with the difference that </w:t>
      </w:r>
      <w:r w:rsidR="00985923" w:rsidRPr="00F9310D">
        <w:rPr>
          <w:lang w:val="en-US"/>
        </w:rPr>
        <w:t xml:space="preserve">week eight </w:t>
      </w:r>
      <w:r w:rsidRPr="00F9310D">
        <w:rPr>
          <w:lang w:val="en-US"/>
        </w:rPr>
        <w:t>6-MMPR and 6-TGN levels were</w:t>
      </w:r>
      <w:r w:rsidR="005B35F4" w:rsidRPr="00F9310D">
        <w:rPr>
          <w:color w:val="000000" w:themeColor="text1"/>
          <w:lang w:val="en-US"/>
        </w:rPr>
        <w:t xml:space="preserve"> used</w:t>
      </w:r>
      <w:r w:rsidRPr="00F9310D">
        <w:rPr>
          <w:color w:val="000000" w:themeColor="text1"/>
          <w:lang w:val="en-US"/>
        </w:rPr>
        <w:t xml:space="preserve"> instead of</w:t>
      </w:r>
      <w:r w:rsidR="005B35F4" w:rsidRPr="00F9310D">
        <w:rPr>
          <w:color w:val="000000" w:themeColor="text1"/>
          <w:lang w:val="en-US"/>
        </w:rPr>
        <w:t xml:space="preserve"> week one metabolite</w:t>
      </w:r>
      <w:r w:rsidR="00A819CB" w:rsidRPr="00F9310D">
        <w:rPr>
          <w:color w:val="000000" w:themeColor="text1"/>
          <w:lang w:val="en-US"/>
        </w:rPr>
        <w:t xml:space="preserve"> levels</w:t>
      </w:r>
      <w:r w:rsidRPr="00F9310D">
        <w:rPr>
          <w:color w:val="000000" w:themeColor="text1"/>
          <w:lang w:val="en-US"/>
        </w:rPr>
        <w:t>.</w:t>
      </w:r>
      <w:r w:rsidR="00A819CB" w:rsidRPr="00F9310D">
        <w:rPr>
          <w:color w:val="000000" w:themeColor="text1"/>
          <w:lang w:val="en-US"/>
        </w:rPr>
        <w:t xml:space="preserve"> </w:t>
      </w:r>
      <w:r w:rsidR="00F9310D" w:rsidRPr="00F9310D">
        <w:rPr>
          <w:color w:val="000000" w:themeColor="text1"/>
          <w:lang w:val="en-US"/>
        </w:rPr>
        <w:t>The rationale behind this is that m</w:t>
      </w:r>
      <w:r w:rsidR="00A819CB" w:rsidRPr="00F9310D">
        <w:rPr>
          <w:color w:val="000000" w:themeColor="text1"/>
          <w:lang w:val="en-US"/>
        </w:rPr>
        <w:t>ost c</w:t>
      </w:r>
      <w:r w:rsidR="00161C6C">
        <w:rPr>
          <w:color w:val="000000" w:themeColor="text1"/>
          <w:lang w:val="en-US"/>
        </w:rPr>
        <w:t xml:space="preserve">ases of </w:t>
      </w:r>
      <w:proofErr w:type="spellStart"/>
      <w:r w:rsidR="00161C6C">
        <w:rPr>
          <w:color w:val="000000" w:themeColor="text1"/>
          <w:lang w:val="en-US"/>
        </w:rPr>
        <w:t>hepatotoxicity</w:t>
      </w:r>
      <w:proofErr w:type="spellEnd"/>
      <w:r w:rsidR="00161C6C">
        <w:rPr>
          <w:color w:val="000000" w:themeColor="text1"/>
          <w:lang w:val="en-US"/>
        </w:rPr>
        <w:t xml:space="preserve"> and </w:t>
      </w:r>
      <w:proofErr w:type="spellStart"/>
      <w:r w:rsidR="00161C6C">
        <w:rPr>
          <w:color w:val="000000" w:themeColor="text1"/>
          <w:lang w:val="en-US"/>
        </w:rPr>
        <w:t>leuko</w:t>
      </w:r>
      <w:r w:rsidR="00A819CB" w:rsidRPr="00F9310D">
        <w:rPr>
          <w:color w:val="000000" w:themeColor="text1"/>
          <w:lang w:val="en-US"/>
        </w:rPr>
        <w:t>penia</w:t>
      </w:r>
      <w:proofErr w:type="spellEnd"/>
      <w:r w:rsidR="00A819CB" w:rsidRPr="00F9310D">
        <w:rPr>
          <w:color w:val="000000" w:themeColor="text1"/>
          <w:lang w:val="en-US"/>
        </w:rPr>
        <w:t xml:space="preserve"> occurred before week eight and as a consequence most</w:t>
      </w:r>
      <w:r w:rsidR="00A819CB" w:rsidRPr="00F9310D">
        <w:rPr>
          <w:lang w:val="en-US"/>
        </w:rPr>
        <w:t xml:space="preserve"> patients stopped treatment or were subjected to dose reductions. Therefore, week eight metabolite levels were</w:t>
      </w:r>
      <w:r w:rsidR="00161C6C">
        <w:rPr>
          <w:lang w:val="en-US"/>
        </w:rPr>
        <w:t xml:space="preserve"> either not available </w:t>
      </w:r>
      <w:r w:rsidR="00A819CB" w:rsidRPr="00F9310D">
        <w:rPr>
          <w:lang w:val="en-US"/>
        </w:rPr>
        <w:t>or levels were not representative</w:t>
      </w:r>
      <w:r w:rsidR="00061938">
        <w:rPr>
          <w:lang w:val="en-US"/>
        </w:rPr>
        <w:t xml:space="preserve"> </w:t>
      </w:r>
      <w:r w:rsidR="00161C6C">
        <w:rPr>
          <w:lang w:val="en-US"/>
        </w:rPr>
        <w:t>in the majority of the cases</w:t>
      </w:r>
      <w:r w:rsidR="00A819CB" w:rsidRPr="00F9310D">
        <w:rPr>
          <w:lang w:val="en-US"/>
        </w:rPr>
        <w:t>.</w:t>
      </w:r>
      <w:r w:rsidR="005B35F4" w:rsidRPr="00F9310D">
        <w:rPr>
          <w:color w:val="000000" w:themeColor="text1"/>
          <w:lang w:val="en-US"/>
        </w:rPr>
        <w:t xml:space="preserve"> </w:t>
      </w:r>
      <w:r w:rsidR="00061938">
        <w:rPr>
          <w:color w:val="000000" w:themeColor="text1"/>
          <w:lang w:val="en-US"/>
        </w:rPr>
        <w:t>For this reason secondary analyses</w:t>
      </w:r>
      <w:r w:rsidR="00A819CB" w:rsidRPr="00F9310D">
        <w:rPr>
          <w:color w:val="000000" w:themeColor="text1"/>
          <w:lang w:val="en-US"/>
        </w:rPr>
        <w:t xml:space="preserve"> </w:t>
      </w:r>
      <w:r w:rsidR="00061938">
        <w:rPr>
          <w:color w:val="000000" w:themeColor="text1"/>
          <w:lang w:val="en-US"/>
        </w:rPr>
        <w:t xml:space="preserve">with </w:t>
      </w:r>
      <w:r w:rsidR="00A819CB" w:rsidRPr="00F9310D">
        <w:rPr>
          <w:color w:val="000000" w:themeColor="text1"/>
          <w:lang w:val="en-US"/>
        </w:rPr>
        <w:t xml:space="preserve">week one levels </w:t>
      </w:r>
      <w:r w:rsidR="00F9310D" w:rsidRPr="00F9310D">
        <w:rPr>
          <w:color w:val="000000" w:themeColor="text1"/>
          <w:lang w:val="en-US"/>
        </w:rPr>
        <w:t xml:space="preserve">were </w:t>
      </w:r>
      <w:r w:rsidR="00161C6C">
        <w:rPr>
          <w:color w:val="000000" w:themeColor="text1"/>
          <w:lang w:val="en-US"/>
        </w:rPr>
        <w:t xml:space="preserve">more representative and in addition </w:t>
      </w:r>
      <w:r w:rsidR="00061938">
        <w:rPr>
          <w:color w:val="000000" w:themeColor="text1"/>
          <w:lang w:val="en-US"/>
        </w:rPr>
        <w:t>more</w:t>
      </w:r>
      <w:r w:rsidR="00F9310D" w:rsidRPr="00F9310D">
        <w:rPr>
          <w:color w:val="000000" w:themeColor="text1"/>
          <w:lang w:val="en-US"/>
        </w:rPr>
        <w:t xml:space="preserve"> patients co</w:t>
      </w:r>
      <w:r w:rsidR="00061938">
        <w:rPr>
          <w:color w:val="000000" w:themeColor="text1"/>
          <w:lang w:val="en-US"/>
        </w:rPr>
        <w:t>uld be included</w:t>
      </w:r>
      <w:r w:rsidR="00A819CB" w:rsidRPr="00F9310D">
        <w:rPr>
          <w:color w:val="000000" w:themeColor="text1"/>
          <w:lang w:val="en-US"/>
        </w:rPr>
        <w:t xml:space="preserve">. </w:t>
      </w:r>
      <w:r w:rsidR="002E0BAA" w:rsidRPr="00F9310D">
        <w:rPr>
          <w:color w:val="000000" w:themeColor="text1"/>
          <w:lang w:val="en-US"/>
        </w:rPr>
        <w:t>The results</w:t>
      </w:r>
      <w:r w:rsidR="00F9310D" w:rsidRPr="00F9310D">
        <w:rPr>
          <w:color w:val="000000" w:themeColor="text1"/>
          <w:lang w:val="en-US"/>
        </w:rPr>
        <w:t xml:space="preserve"> presented in this supplementary file </w:t>
      </w:r>
      <w:r w:rsidR="00061938">
        <w:rPr>
          <w:color w:val="000000" w:themeColor="text1"/>
          <w:lang w:val="en-US"/>
        </w:rPr>
        <w:t xml:space="preserve">corroborate those from the main text, indicating </w:t>
      </w:r>
      <w:r w:rsidR="002E0BAA" w:rsidRPr="00F9310D">
        <w:rPr>
          <w:color w:val="000000" w:themeColor="text1"/>
          <w:lang w:val="en-US"/>
        </w:rPr>
        <w:t xml:space="preserve">that the </w:t>
      </w:r>
      <w:r w:rsidR="00CD552B">
        <w:rPr>
          <w:color w:val="000000" w:themeColor="text1"/>
          <w:lang w:val="en-US"/>
        </w:rPr>
        <w:t xml:space="preserve">significant </w:t>
      </w:r>
      <w:r w:rsidR="002E0BAA" w:rsidRPr="00F9310D">
        <w:rPr>
          <w:color w:val="000000" w:themeColor="text1"/>
          <w:lang w:val="en-US"/>
        </w:rPr>
        <w:t xml:space="preserve">higher rates of </w:t>
      </w:r>
      <w:proofErr w:type="spellStart"/>
      <w:r w:rsidR="002E0BAA" w:rsidRPr="00F9310D">
        <w:rPr>
          <w:color w:val="000000" w:themeColor="text1"/>
          <w:lang w:val="en-US"/>
        </w:rPr>
        <w:t>hepatotoxicity</w:t>
      </w:r>
      <w:proofErr w:type="spellEnd"/>
      <w:r w:rsidR="002E0BAA" w:rsidRPr="00F9310D">
        <w:rPr>
          <w:color w:val="000000" w:themeColor="text1"/>
          <w:lang w:val="en-US"/>
        </w:rPr>
        <w:t xml:space="preserve"> and </w:t>
      </w:r>
      <w:proofErr w:type="spellStart"/>
      <w:r w:rsidR="002E0BAA" w:rsidRPr="00F9310D">
        <w:rPr>
          <w:color w:val="000000" w:themeColor="text1"/>
          <w:lang w:val="en-US"/>
        </w:rPr>
        <w:t>leukopenia</w:t>
      </w:r>
      <w:proofErr w:type="spellEnd"/>
      <w:r w:rsidR="00CD552B">
        <w:rPr>
          <w:color w:val="000000" w:themeColor="text1"/>
          <w:lang w:val="en-US"/>
        </w:rPr>
        <w:t xml:space="preserve"> in the </w:t>
      </w:r>
      <w:proofErr w:type="spellStart"/>
      <w:r w:rsidR="00CD552B">
        <w:rPr>
          <w:color w:val="000000" w:themeColor="text1"/>
          <w:lang w:val="en-US"/>
        </w:rPr>
        <w:t>univariate</w:t>
      </w:r>
      <w:proofErr w:type="spellEnd"/>
      <w:r w:rsidR="00CD552B">
        <w:rPr>
          <w:color w:val="000000" w:themeColor="text1"/>
          <w:lang w:val="en-US"/>
        </w:rPr>
        <w:t xml:space="preserve"> analysis</w:t>
      </w:r>
      <w:r w:rsidR="002E0BAA" w:rsidRPr="00F9310D">
        <w:rPr>
          <w:color w:val="000000" w:themeColor="text1"/>
          <w:lang w:val="en-US"/>
        </w:rPr>
        <w:t xml:space="preserve"> in patients on MP do not stand in a secondary analysis with adjustment for the relative higher dose and higher metabolite levels in patients on MP</w:t>
      </w:r>
      <w:r w:rsidR="00F9310D" w:rsidRPr="00F9310D">
        <w:rPr>
          <w:color w:val="000000" w:themeColor="text1"/>
          <w:lang w:val="en-US"/>
        </w:rPr>
        <w:t xml:space="preserve"> compared to AZA.</w:t>
      </w:r>
      <w:r w:rsidR="00F9310D" w:rsidRPr="00F9310D">
        <w:rPr>
          <w:lang w:val="en-US"/>
        </w:rPr>
        <w:t xml:space="preserve">  </w:t>
      </w:r>
    </w:p>
    <w:p w:rsidR="00B26C02" w:rsidRPr="00F9310D" w:rsidRDefault="00985923" w:rsidP="008D3D7C">
      <w:pPr>
        <w:spacing w:line="480" w:lineRule="auto"/>
        <w:rPr>
          <w:i/>
          <w:lang w:val="en-US"/>
        </w:rPr>
      </w:pPr>
      <w:r w:rsidRPr="00F9310D">
        <w:rPr>
          <w:lang w:val="en-US"/>
        </w:rPr>
        <w:t xml:space="preserve">6-MMPR, 6-methylmercaptopurine </w:t>
      </w:r>
      <w:proofErr w:type="spellStart"/>
      <w:r w:rsidRPr="00F9310D">
        <w:rPr>
          <w:lang w:val="en-US"/>
        </w:rPr>
        <w:t>ribonucleotides</w:t>
      </w:r>
      <w:proofErr w:type="spellEnd"/>
      <w:r w:rsidRPr="00F9310D">
        <w:rPr>
          <w:lang w:val="en-US"/>
        </w:rPr>
        <w:t xml:space="preserve">; 6-TGN, 6-thioguanine nucleotides; AZA, </w:t>
      </w:r>
      <w:proofErr w:type="spellStart"/>
      <w:r w:rsidRPr="00F9310D">
        <w:rPr>
          <w:lang w:val="en-US"/>
        </w:rPr>
        <w:t>azathioprine</w:t>
      </w:r>
      <w:proofErr w:type="spellEnd"/>
      <w:r w:rsidRPr="00F9310D">
        <w:rPr>
          <w:lang w:val="en-US"/>
        </w:rPr>
        <w:t xml:space="preserve">; </w:t>
      </w:r>
      <w:r w:rsidR="00B26C02" w:rsidRPr="00F9310D">
        <w:rPr>
          <w:lang w:val="en-US"/>
        </w:rPr>
        <w:t>CI</w:t>
      </w:r>
      <w:r w:rsidRPr="00F9310D">
        <w:rPr>
          <w:lang w:val="en-US"/>
        </w:rPr>
        <w:t xml:space="preserve">, Confidence Interval; MP, </w:t>
      </w:r>
      <w:proofErr w:type="spellStart"/>
      <w:r w:rsidRPr="00F9310D">
        <w:rPr>
          <w:lang w:val="en-US"/>
        </w:rPr>
        <w:t>mercaptopurine</w:t>
      </w:r>
      <w:proofErr w:type="spellEnd"/>
    </w:p>
    <w:sectPr w:rsidR="00B26C02" w:rsidRPr="00F9310D" w:rsidSect="002A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6C02"/>
    <w:rsid w:val="00061938"/>
    <w:rsid w:val="00161C6C"/>
    <w:rsid w:val="001855CF"/>
    <w:rsid w:val="001904FC"/>
    <w:rsid w:val="002A052B"/>
    <w:rsid w:val="002E0BAA"/>
    <w:rsid w:val="00344E72"/>
    <w:rsid w:val="003E5CCC"/>
    <w:rsid w:val="004436CD"/>
    <w:rsid w:val="005B35F4"/>
    <w:rsid w:val="005E7E18"/>
    <w:rsid w:val="006A47FE"/>
    <w:rsid w:val="008D3D7C"/>
    <w:rsid w:val="00966809"/>
    <w:rsid w:val="00985923"/>
    <w:rsid w:val="009F2B6E"/>
    <w:rsid w:val="00A819CB"/>
    <w:rsid w:val="00B26C02"/>
    <w:rsid w:val="00B54827"/>
    <w:rsid w:val="00CD552B"/>
    <w:rsid w:val="00E23863"/>
    <w:rsid w:val="00E23A93"/>
    <w:rsid w:val="00F507A7"/>
    <w:rsid w:val="00F9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5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broekman</dc:creator>
  <cp:lastModifiedBy>mark broekman</cp:lastModifiedBy>
  <cp:revision>12</cp:revision>
  <dcterms:created xsi:type="dcterms:W3CDTF">2017-04-03T14:22:00Z</dcterms:created>
  <dcterms:modified xsi:type="dcterms:W3CDTF">2017-04-21T09:38:00Z</dcterms:modified>
</cp:coreProperties>
</file>