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921" w:rsidRDefault="00773763" w:rsidP="006744F3">
      <w:pPr>
        <w:pStyle w:val="Heading2"/>
        <w:spacing w:line="480" w:lineRule="auto"/>
        <w:rPr>
          <w:b w:val="0"/>
        </w:rPr>
      </w:pPr>
      <w:r w:rsidRPr="00586686">
        <w:t>Supplemental Digital Content; Table 1</w:t>
      </w:r>
      <w:r w:rsidR="00135921">
        <w:t xml:space="preserve">. Proportion of </w:t>
      </w:r>
      <w:bookmarkStart w:id="0" w:name="_GoBack"/>
      <w:bookmarkEnd w:id="0"/>
      <w:r w:rsidR="00135921">
        <w:t xml:space="preserve">ocular itching responders after </w:t>
      </w:r>
      <w:proofErr w:type="spellStart"/>
      <w:r w:rsidR="00135921" w:rsidRPr="009C00AD">
        <w:t>conjunctival</w:t>
      </w:r>
      <w:proofErr w:type="spellEnd"/>
      <w:r w:rsidR="00135921" w:rsidRPr="009C00AD">
        <w:t xml:space="preserve"> allergen challenge</w:t>
      </w:r>
      <w:r w:rsidR="00135921">
        <w:t xml:space="preserve">: secondary end point (intent-to-treat population) </w:t>
      </w:r>
    </w:p>
    <w:tbl>
      <w:tblPr>
        <w:tblStyle w:val="TableGrid"/>
        <w:tblW w:w="9836" w:type="dxa"/>
        <w:tblLayout w:type="fixed"/>
        <w:tblLook w:val="04A0" w:firstRow="1" w:lastRow="0" w:firstColumn="1" w:lastColumn="0" w:noHBand="0" w:noVBand="1"/>
      </w:tblPr>
      <w:tblGrid>
        <w:gridCol w:w="3256"/>
        <w:gridCol w:w="1645"/>
        <w:gridCol w:w="1645"/>
        <w:gridCol w:w="1645"/>
        <w:gridCol w:w="1645"/>
      </w:tblGrid>
      <w:tr w:rsidR="00135921" w:rsidTr="00F374D5">
        <w:trPr>
          <w:trHeight w:val="904"/>
        </w:trPr>
        <w:tc>
          <w:tcPr>
            <w:tcW w:w="3256" w:type="dxa"/>
            <w:vAlign w:val="bottom"/>
          </w:tcPr>
          <w:p w:rsidR="00135921" w:rsidRDefault="00135921" w:rsidP="0002733D">
            <w:pPr>
              <w:pStyle w:val="Heading2"/>
              <w:spacing w:line="480" w:lineRule="auto"/>
              <w:jc w:val="center"/>
              <w:outlineLvl w:val="1"/>
            </w:pPr>
          </w:p>
        </w:tc>
        <w:tc>
          <w:tcPr>
            <w:tcW w:w="1645" w:type="dxa"/>
            <w:vAlign w:val="bottom"/>
          </w:tcPr>
          <w:p w:rsidR="00135921" w:rsidRDefault="00135921" w:rsidP="0002733D">
            <w:pPr>
              <w:pStyle w:val="Heading2"/>
              <w:spacing w:line="480" w:lineRule="auto"/>
              <w:jc w:val="center"/>
              <w:outlineLvl w:val="1"/>
            </w:pPr>
            <w:r w:rsidRPr="00421A15">
              <w:rPr>
                <w:rFonts w:cs="Arial"/>
                <w:szCs w:val="24"/>
              </w:rPr>
              <w:t>Olopatadine 0.77%</w:t>
            </w:r>
          </w:p>
        </w:tc>
        <w:tc>
          <w:tcPr>
            <w:tcW w:w="1645" w:type="dxa"/>
            <w:vAlign w:val="bottom"/>
          </w:tcPr>
          <w:p w:rsidR="00135921" w:rsidRDefault="00135921" w:rsidP="0002733D">
            <w:pPr>
              <w:pStyle w:val="Heading2"/>
              <w:spacing w:line="480" w:lineRule="auto"/>
              <w:jc w:val="center"/>
              <w:outlineLvl w:val="1"/>
            </w:pPr>
            <w:r w:rsidRPr="00421A15">
              <w:rPr>
                <w:rFonts w:cs="Arial"/>
                <w:szCs w:val="24"/>
              </w:rPr>
              <w:t>Olopatadine</w:t>
            </w:r>
            <w:r>
              <w:rPr>
                <w:rFonts w:cs="Arial"/>
                <w:szCs w:val="24"/>
              </w:rPr>
              <w:t xml:space="preserve"> 0.2%</w:t>
            </w:r>
          </w:p>
        </w:tc>
        <w:tc>
          <w:tcPr>
            <w:tcW w:w="1645" w:type="dxa"/>
            <w:vAlign w:val="bottom"/>
          </w:tcPr>
          <w:p w:rsidR="00135921" w:rsidRDefault="00135921" w:rsidP="0002733D">
            <w:pPr>
              <w:pStyle w:val="Heading2"/>
              <w:spacing w:line="480" w:lineRule="auto"/>
              <w:jc w:val="center"/>
              <w:outlineLvl w:val="1"/>
            </w:pPr>
            <w:r w:rsidRPr="00421A15">
              <w:rPr>
                <w:rFonts w:cs="Arial"/>
                <w:szCs w:val="24"/>
              </w:rPr>
              <w:t>Olopatadine</w:t>
            </w:r>
            <w:r>
              <w:rPr>
                <w:rFonts w:cs="Arial"/>
                <w:szCs w:val="24"/>
              </w:rPr>
              <w:t xml:space="preserve"> 0.1%</w:t>
            </w:r>
          </w:p>
        </w:tc>
        <w:tc>
          <w:tcPr>
            <w:tcW w:w="1645" w:type="dxa"/>
            <w:vAlign w:val="bottom"/>
          </w:tcPr>
          <w:p w:rsidR="00135921" w:rsidRPr="00421A15" w:rsidRDefault="00135921" w:rsidP="0002733D">
            <w:pPr>
              <w:pStyle w:val="Heading2"/>
              <w:spacing w:line="480" w:lineRule="auto"/>
              <w:jc w:val="center"/>
              <w:outlineLvl w:val="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Vehicle</w:t>
            </w:r>
          </w:p>
        </w:tc>
      </w:tr>
      <w:tr w:rsidR="00135921" w:rsidTr="00F374D5">
        <w:trPr>
          <w:trHeight w:val="1426"/>
        </w:trPr>
        <w:tc>
          <w:tcPr>
            <w:tcW w:w="3256" w:type="dxa"/>
          </w:tcPr>
          <w:p w:rsidR="00135921" w:rsidRPr="00624DA1" w:rsidRDefault="00135921" w:rsidP="00173544">
            <w:pPr>
              <w:pStyle w:val="Heading2"/>
              <w:spacing w:line="480" w:lineRule="auto"/>
              <w:outlineLvl w:val="1"/>
              <w:rPr>
                <w:b w:val="0"/>
              </w:rPr>
            </w:pPr>
            <w:r w:rsidRPr="00173544">
              <w:rPr>
                <w:i/>
              </w:rPr>
              <w:t>Onset of action</w:t>
            </w:r>
            <w:r w:rsidRPr="00624DA1">
              <w:rPr>
                <w:b w:val="0"/>
              </w:rPr>
              <w:t xml:space="preserve"> </w:t>
            </w:r>
            <w:r w:rsidRPr="00624DA1">
              <w:rPr>
                <w:b w:val="0"/>
              </w:rPr>
              <w:br/>
              <w:t>Number of responders</w:t>
            </w:r>
            <w:r>
              <w:rPr>
                <w:b w:val="0"/>
              </w:rPr>
              <w:t xml:space="preserve"> n (%)</w:t>
            </w:r>
          </w:p>
          <w:p w:rsidR="00135921" w:rsidRPr="0002733D" w:rsidRDefault="00135921" w:rsidP="00173544">
            <w:pPr>
              <w:pStyle w:val="Heading2"/>
              <w:spacing w:line="480" w:lineRule="auto"/>
              <w:outlineLvl w:val="1"/>
            </w:pPr>
            <w:r w:rsidRPr="00624DA1">
              <w:rPr>
                <w:b w:val="0"/>
              </w:rPr>
              <w:t>Difference</w:t>
            </w:r>
          </w:p>
        </w:tc>
        <w:tc>
          <w:tcPr>
            <w:tcW w:w="1645" w:type="dxa"/>
          </w:tcPr>
          <w:p w:rsidR="00135921" w:rsidRDefault="00135921" w:rsidP="00173544">
            <w:pPr>
              <w:pStyle w:val="Heading2"/>
              <w:spacing w:line="480" w:lineRule="auto"/>
              <w:jc w:val="center"/>
              <w:outlineLvl w:val="1"/>
              <w:rPr>
                <w:b w:val="0"/>
              </w:rPr>
            </w:pPr>
          </w:p>
          <w:p w:rsidR="00135921" w:rsidRDefault="00135921" w:rsidP="00173544">
            <w:pPr>
              <w:jc w:val="center"/>
              <w:rPr>
                <w:lang w:val="en-US" w:eastAsia="ja-JP"/>
              </w:rPr>
            </w:pPr>
            <w:r>
              <w:rPr>
                <w:lang w:val="en-US" w:eastAsia="ja-JP"/>
              </w:rPr>
              <w:t>70 (71.4)</w:t>
            </w:r>
          </w:p>
          <w:p w:rsidR="00135921" w:rsidRDefault="00135921" w:rsidP="00173544">
            <w:pPr>
              <w:pStyle w:val="Heading2"/>
              <w:spacing w:line="480" w:lineRule="auto"/>
              <w:jc w:val="center"/>
              <w:outlineLvl w:val="1"/>
              <w:rPr>
                <w:b w:val="0"/>
              </w:rPr>
            </w:pPr>
          </w:p>
        </w:tc>
        <w:tc>
          <w:tcPr>
            <w:tcW w:w="1645" w:type="dxa"/>
          </w:tcPr>
          <w:p w:rsidR="00135921" w:rsidRPr="00173544" w:rsidRDefault="00135921" w:rsidP="00173544">
            <w:pPr>
              <w:pStyle w:val="Heading2"/>
              <w:spacing w:line="480" w:lineRule="auto"/>
              <w:jc w:val="center"/>
              <w:outlineLvl w:val="1"/>
              <w:rPr>
                <w:b w:val="0"/>
              </w:rPr>
            </w:pPr>
          </w:p>
          <w:p w:rsidR="00135921" w:rsidRPr="00173544" w:rsidRDefault="00135921" w:rsidP="00173544">
            <w:pPr>
              <w:jc w:val="center"/>
              <w:rPr>
                <w:lang w:val="en-US" w:eastAsia="ja-JP"/>
              </w:rPr>
            </w:pPr>
            <w:r w:rsidRPr="00173544">
              <w:rPr>
                <w:lang w:val="en-US" w:eastAsia="ja-JP"/>
              </w:rPr>
              <w:t>73 (73.7)</w:t>
            </w:r>
          </w:p>
          <w:p w:rsidR="00135921" w:rsidRPr="00173544" w:rsidRDefault="00135921" w:rsidP="00173544">
            <w:pPr>
              <w:pStyle w:val="Heading2"/>
              <w:spacing w:line="480" w:lineRule="auto"/>
              <w:jc w:val="center"/>
              <w:outlineLvl w:val="1"/>
              <w:rPr>
                <w:b w:val="0"/>
              </w:rPr>
            </w:pPr>
            <w:r w:rsidRPr="00173544">
              <w:rPr>
                <w:rFonts w:cs="Arial"/>
                <w:b w:val="0"/>
                <w:szCs w:val="24"/>
              </w:rPr>
              <w:t>–</w:t>
            </w:r>
            <w:r w:rsidRPr="00173544">
              <w:rPr>
                <w:b w:val="0"/>
              </w:rPr>
              <w:t>2.31</w:t>
            </w:r>
          </w:p>
        </w:tc>
        <w:tc>
          <w:tcPr>
            <w:tcW w:w="1645" w:type="dxa"/>
          </w:tcPr>
          <w:p w:rsidR="00135921" w:rsidRPr="00173544" w:rsidRDefault="00135921" w:rsidP="00173544">
            <w:pPr>
              <w:pStyle w:val="Heading2"/>
              <w:spacing w:line="480" w:lineRule="auto"/>
              <w:jc w:val="center"/>
              <w:outlineLvl w:val="1"/>
              <w:rPr>
                <w:b w:val="0"/>
              </w:rPr>
            </w:pPr>
          </w:p>
          <w:p w:rsidR="00135921" w:rsidRPr="00173544" w:rsidRDefault="00135921" w:rsidP="00173544">
            <w:pPr>
              <w:jc w:val="center"/>
              <w:rPr>
                <w:lang w:val="en-US" w:eastAsia="ja-JP"/>
              </w:rPr>
            </w:pPr>
            <w:r w:rsidRPr="00173544">
              <w:rPr>
                <w:lang w:val="en-US" w:eastAsia="ja-JP"/>
              </w:rPr>
              <w:t>59 (59.6)</w:t>
            </w:r>
          </w:p>
          <w:p w:rsidR="00135921" w:rsidRPr="00173544" w:rsidRDefault="00135921" w:rsidP="00173544">
            <w:pPr>
              <w:pStyle w:val="Heading2"/>
              <w:spacing w:line="480" w:lineRule="auto"/>
              <w:jc w:val="center"/>
              <w:outlineLvl w:val="1"/>
              <w:rPr>
                <w:b w:val="0"/>
              </w:rPr>
            </w:pPr>
            <w:r w:rsidRPr="00173544">
              <w:rPr>
                <w:b w:val="0"/>
              </w:rPr>
              <w:t>11.83</w:t>
            </w:r>
          </w:p>
        </w:tc>
        <w:tc>
          <w:tcPr>
            <w:tcW w:w="1645" w:type="dxa"/>
          </w:tcPr>
          <w:p w:rsidR="00135921" w:rsidRPr="00173544" w:rsidRDefault="00135921" w:rsidP="00173544">
            <w:pPr>
              <w:pStyle w:val="Heading2"/>
              <w:spacing w:line="480" w:lineRule="auto"/>
              <w:jc w:val="center"/>
              <w:outlineLvl w:val="1"/>
              <w:rPr>
                <w:b w:val="0"/>
              </w:rPr>
            </w:pPr>
          </w:p>
          <w:p w:rsidR="00135921" w:rsidRPr="00173544" w:rsidRDefault="00135921" w:rsidP="00173544">
            <w:pPr>
              <w:jc w:val="center"/>
              <w:rPr>
                <w:lang w:val="en-US" w:eastAsia="ja-JP"/>
              </w:rPr>
            </w:pPr>
            <w:r w:rsidRPr="00173544">
              <w:rPr>
                <w:lang w:val="en-US" w:eastAsia="ja-JP"/>
              </w:rPr>
              <w:t>5 (10.2)</w:t>
            </w:r>
          </w:p>
          <w:p w:rsidR="00135921" w:rsidRPr="00173544" w:rsidRDefault="00135921" w:rsidP="00173544">
            <w:pPr>
              <w:pStyle w:val="Heading2"/>
              <w:spacing w:line="480" w:lineRule="auto"/>
              <w:jc w:val="center"/>
              <w:outlineLvl w:val="1"/>
              <w:rPr>
                <w:b w:val="0"/>
              </w:rPr>
            </w:pPr>
            <w:r w:rsidRPr="00173544">
              <w:rPr>
                <w:b w:val="0"/>
              </w:rPr>
              <w:t>61.22*</w:t>
            </w:r>
          </w:p>
        </w:tc>
      </w:tr>
      <w:tr w:rsidR="00135921" w:rsidTr="00F374D5">
        <w:trPr>
          <w:trHeight w:val="1426"/>
        </w:trPr>
        <w:tc>
          <w:tcPr>
            <w:tcW w:w="3256" w:type="dxa"/>
          </w:tcPr>
          <w:p w:rsidR="00135921" w:rsidRPr="00173544" w:rsidRDefault="00135921" w:rsidP="00173544">
            <w:pPr>
              <w:pStyle w:val="Heading2"/>
              <w:spacing w:line="480" w:lineRule="auto"/>
              <w:outlineLvl w:val="1"/>
              <w:rPr>
                <w:i/>
              </w:rPr>
            </w:pPr>
            <w:r w:rsidRPr="00173544">
              <w:rPr>
                <w:i/>
              </w:rPr>
              <w:t>24 hour</w:t>
            </w:r>
          </w:p>
          <w:p w:rsidR="00135921" w:rsidRPr="00624DA1" w:rsidRDefault="00135921" w:rsidP="00173544">
            <w:pPr>
              <w:pStyle w:val="Heading2"/>
              <w:spacing w:line="480" w:lineRule="auto"/>
              <w:outlineLvl w:val="1"/>
              <w:rPr>
                <w:b w:val="0"/>
              </w:rPr>
            </w:pPr>
            <w:r w:rsidRPr="00624DA1">
              <w:rPr>
                <w:b w:val="0"/>
              </w:rPr>
              <w:t>Number of responders</w:t>
            </w:r>
            <w:r>
              <w:rPr>
                <w:b w:val="0"/>
              </w:rPr>
              <w:t xml:space="preserve"> n (%)</w:t>
            </w:r>
          </w:p>
          <w:p w:rsidR="00135921" w:rsidRPr="00173544" w:rsidRDefault="00135921" w:rsidP="00173544">
            <w:pPr>
              <w:pStyle w:val="Heading2"/>
              <w:spacing w:line="480" w:lineRule="auto"/>
              <w:outlineLvl w:val="1"/>
              <w:rPr>
                <w:b w:val="0"/>
              </w:rPr>
            </w:pPr>
            <w:r w:rsidRPr="00173544">
              <w:rPr>
                <w:b w:val="0"/>
              </w:rPr>
              <w:t>Difference</w:t>
            </w:r>
          </w:p>
        </w:tc>
        <w:tc>
          <w:tcPr>
            <w:tcW w:w="1645" w:type="dxa"/>
          </w:tcPr>
          <w:p w:rsidR="00135921" w:rsidRPr="00173544" w:rsidRDefault="00135921" w:rsidP="00173544">
            <w:pPr>
              <w:pStyle w:val="Heading2"/>
              <w:spacing w:line="480" w:lineRule="auto"/>
              <w:jc w:val="center"/>
              <w:outlineLvl w:val="1"/>
              <w:rPr>
                <w:b w:val="0"/>
              </w:rPr>
            </w:pPr>
          </w:p>
          <w:p w:rsidR="00135921" w:rsidRPr="00173544" w:rsidRDefault="00135921" w:rsidP="00173544">
            <w:pPr>
              <w:pStyle w:val="Heading2"/>
              <w:spacing w:line="480" w:lineRule="auto"/>
              <w:jc w:val="center"/>
              <w:outlineLvl w:val="1"/>
              <w:rPr>
                <w:b w:val="0"/>
              </w:rPr>
            </w:pPr>
            <w:r w:rsidRPr="00173544">
              <w:rPr>
                <w:b w:val="0"/>
              </w:rPr>
              <w:t>40 (40.8)</w:t>
            </w:r>
          </w:p>
          <w:p w:rsidR="00135921" w:rsidRPr="00173544" w:rsidRDefault="00135921" w:rsidP="00173544">
            <w:pPr>
              <w:pStyle w:val="Heading2"/>
              <w:spacing w:line="480" w:lineRule="auto"/>
              <w:jc w:val="center"/>
              <w:outlineLvl w:val="1"/>
              <w:rPr>
                <w:b w:val="0"/>
              </w:rPr>
            </w:pPr>
          </w:p>
        </w:tc>
        <w:tc>
          <w:tcPr>
            <w:tcW w:w="1645" w:type="dxa"/>
          </w:tcPr>
          <w:p w:rsidR="00135921" w:rsidRPr="00173544" w:rsidRDefault="00135921" w:rsidP="00173544">
            <w:pPr>
              <w:pStyle w:val="Heading2"/>
              <w:spacing w:line="480" w:lineRule="auto"/>
              <w:jc w:val="center"/>
              <w:outlineLvl w:val="1"/>
              <w:rPr>
                <w:b w:val="0"/>
              </w:rPr>
            </w:pPr>
          </w:p>
          <w:p w:rsidR="00135921" w:rsidRPr="00173544" w:rsidRDefault="00135921" w:rsidP="00173544">
            <w:pPr>
              <w:pStyle w:val="Heading2"/>
              <w:spacing w:line="480" w:lineRule="auto"/>
              <w:jc w:val="center"/>
              <w:outlineLvl w:val="1"/>
              <w:rPr>
                <w:b w:val="0"/>
              </w:rPr>
            </w:pPr>
            <w:r w:rsidRPr="00173544">
              <w:rPr>
                <w:b w:val="0"/>
              </w:rPr>
              <w:t>30 (30.3)</w:t>
            </w:r>
          </w:p>
          <w:p w:rsidR="00135921" w:rsidRPr="00173544" w:rsidRDefault="00135921" w:rsidP="00173544">
            <w:pPr>
              <w:pStyle w:val="Heading2"/>
              <w:spacing w:line="480" w:lineRule="auto"/>
              <w:jc w:val="center"/>
              <w:outlineLvl w:val="1"/>
              <w:rPr>
                <w:b w:val="0"/>
              </w:rPr>
            </w:pPr>
            <w:r w:rsidRPr="00173544">
              <w:rPr>
                <w:b w:val="0"/>
              </w:rPr>
              <w:t>10.51</w:t>
            </w:r>
          </w:p>
        </w:tc>
        <w:tc>
          <w:tcPr>
            <w:tcW w:w="1645" w:type="dxa"/>
          </w:tcPr>
          <w:p w:rsidR="00135921" w:rsidRPr="00173544" w:rsidRDefault="00135921" w:rsidP="00173544">
            <w:pPr>
              <w:pStyle w:val="Heading2"/>
              <w:spacing w:line="480" w:lineRule="auto"/>
              <w:jc w:val="center"/>
              <w:outlineLvl w:val="1"/>
              <w:rPr>
                <w:b w:val="0"/>
              </w:rPr>
            </w:pPr>
          </w:p>
          <w:p w:rsidR="00135921" w:rsidRPr="00173544" w:rsidRDefault="00135921" w:rsidP="00173544">
            <w:pPr>
              <w:pStyle w:val="Heading2"/>
              <w:spacing w:line="480" w:lineRule="auto"/>
              <w:jc w:val="center"/>
              <w:outlineLvl w:val="1"/>
              <w:rPr>
                <w:b w:val="0"/>
              </w:rPr>
            </w:pPr>
            <w:r w:rsidRPr="00173544">
              <w:rPr>
                <w:b w:val="0"/>
              </w:rPr>
              <w:t>26 (26.3)</w:t>
            </w:r>
          </w:p>
          <w:p w:rsidR="00135921" w:rsidRPr="00173544" w:rsidRDefault="00135921" w:rsidP="00173544">
            <w:pPr>
              <w:pStyle w:val="Heading2"/>
              <w:spacing w:line="480" w:lineRule="auto"/>
              <w:jc w:val="center"/>
              <w:outlineLvl w:val="1"/>
              <w:rPr>
                <w:b w:val="0"/>
              </w:rPr>
            </w:pPr>
            <w:r w:rsidRPr="00173544">
              <w:rPr>
                <w:b w:val="0"/>
              </w:rPr>
              <w:t>14.55</w:t>
            </w:r>
            <w:r w:rsidRPr="00173544">
              <w:rPr>
                <w:rFonts w:cs="Arial"/>
                <w:b w:val="0"/>
                <w:vertAlign w:val="superscript"/>
              </w:rPr>
              <w:t>†</w:t>
            </w:r>
          </w:p>
        </w:tc>
        <w:tc>
          <w:tcPr>
            <w:tcW w:w="1645" w:type="dxa"/>
          </w:tcPr>
          <w:p w:rsidR="00135921" w:rsidRPr="00173544" w:rsidRDefault="00135921" w:rsidP="00173544">
            <w:pPr>
              <w:pStyle w:val="Heading2"/>
              <w:spacing w:line="480" w:lineRule="auto"/>
              <w:jc w:val="center"/>
              <w:outlineLvl w:val="1"/>
              <w:rPr>
                <w:b w:val="0"/>
              </w:rPr>
            </w:pPr>
          </w:p>
          <w:p w:rsidR="00135921" w:rsidRPr="00173544" w:rsidRDefault="00135921" w:rsidP="00173544">
            <w:pPr>
              <w:spacing w:line="240" w:lineRule="auto"/>
              <w:jc w:val="center"/>
              <w:rPr>
                <w:lang w:val="en-US" w:eastAsia="ja-JP"/>
              </w:rPr>
            </w:pPr>
            <w:r w:rsidRPr="00173544">
              <w:rPr>
                <w:lang w:val="en-US" w:eastAsia="ja-JP"/>
              </w:rPr>
              <w:t>2 (4.1)</w:t>
            </w:r>
          </w:p>
          <w:p w:rsidR="00135921" w:rsidRPr="00173544" w:rsidRDefault="00135921" w:rsidP="00173544">
            <w:pPr>
              <w:spacing w:line="240" w:lineRule="auto"/>
              <w:jc w:val="center"/>
              <w:rPr>
                <w:lang w:val="en-US" w:eastAsia="ja-JP"/>
              </w:rPr>
            </w:pPr>
          </w:p>
          <w:p w:rsidR="00135921" w:rsidRPr="00173544" w:rsidRDefault="00135921" w:rsidP="00173544">
            <w:pPr>
              <w:pStyle w:val="Heading2"/>
              <w:spacing w:line="480" w:lineRule="auto"/>
              <w:jc w:val="center"/>
              <w:outlineLvl w:val="1"/>
              <w:rPr>
                <w:b w:val="0"/>
              </w:rPr>
            </w:pPr>
            <w:r w:rsidRPr="00173544">
              <w:rPr>
                <w:b w:val="0"/>
              </w:rPr>
              <w:t>36.73*</w:t>
            </w:r>
          </w:p>
        </w:tc>
      </w:tr>
    </w:tbl>
    <w:p w:rsidR="00135921" w:rsidRPr="006744F3" w:rsidRDefault="00135921" w:rsidP="006744F3">
      <w:pPr>
        <w:pStyle w:val="Heading2"/>
        <w:spacing w:line="480" w:lineRule="auto"/>
        <w:rPr>
          <w:b w:val="0"/>
        </w:rPr>
      </w:pPr>
      <w:r w:rsidRPr="00545CE1">
        <w:rPr>
          <w:rFonts w:cs="Arial"/>
          <w:b w:val="0"/>
          <w:szCs w:val="24"/>
        </w:rPr>
        <w:t>*</w:t>
      </w:r>
      <w:r w:rsidRPr="00560815">
        <w:rPr>
          <w:rFonts w:cs="Arial"/>
          <w:b w:val="0"/>
          <w:i/>
          <w:szCs w:val="24"/>
        </w:rPr>
        <w:t>P</w:t>
      </w:r>
      <w:r w:rsidRPr="00B85F6D">
        <w:rPr>
          <w:rFonts w:cs="Arial"/>
          <w:b w:val="0"/>
          <w:szCs w:val="24"/>
        </w:rPr>
        <w:t xml:space="preserve">&lt;0.0001; </w:t>
      </w:r>
      <w:r w:rsidRPr="00B85F6D">
        <w:rPr>
          <w:rFonts w:cs="Arial"/>
          <w:b w:val="0"/>
          <w:vertAlign w:val="superscript"/>
        </w:rPr>
        <w:t>†</w:t>
      </w:r>
      <w:r w:rsidRPr="00560815">
        <w:rPr>
          <w:rFonts w:cs="Arial"/>
          <w:b w:val="0"/>
          <w:i/>
        </w:rPr>
        <w:t>P</w:t>
      </w:r>
      <w:r w:rsidRPr="00B85F6D">
        <w:rPr>
          <w:rFonts w:cs="Arial"/>
          <w:b w:val="0"/>
        </w:rPr>
        <w:t>&lt;0.05</w:t>
      </w:r>
      <w:r>
        <w:rPr>
          <w:b w:val="0"/>
        </w:rPr>
        <w:t xml:space="preserve">. CAC, </w:t>
      </w:r>
      <w:proofErr w:type="spellStart"/>
      <w:r w:rsidRPr="009C00AD">
        <w:rPr>
          <w:b w:val="0"/>
        </w:rPr>
        <w:t>conjunctival</w:t>
      </w:r>
      <w:proofErr w:type="spellEnd"/>
      <w:r w:rsidRPr="009C00AD">
        <w:rPr>
          <w:b w:val="0"/>
        </w:rPr>
        <w:t xml:space="preserve"> allergen challenge</w:t>
      </w:r>
      <w:r>
        <w:rPr>
          <w:b w:val="0"/>
        </w:rPr>
        <w:t xml:space="preserve">. </w:t>
      </w:r>
      <w:r w:rsidRPr="0002733D">
        <w:rPr>
          <w:b w:val="0"/>
        </w:rPr>
        <w:t>An ocular itching responder was defined as any subject with a score of zero o</w:t>
      </w:r>
      <w:r w:rsidR="00F374D5">
        <w:rPr>
          <w:b w:val="0"/>
        </w:rPr>
        <w:t xml:space="preserve">n ocular itching for </w:t>
      </w:r>
      <w:proofErr w:type="gramStart"/>
      <w:r w:rsidR="00F374D5">
        <w:rPr>
          <w:b w:val="0"/>
        </w:rPr>
        <w:t xml:space="preserve">both eyes, </w:t>
      </w:r>
      <w:r w:rsidRPr="0002733D">
        <w:rPr>
          <w:b w:val="0"/>
        </w:rPr>
        <w:t>or</w:t>
      </w:r>
      <w:proofErr w:type="gramEnd"/>
      <w:r w:rsidRPr="0002733D">
        <w:rPr>
          <w:b w:val="0"/>
        </w:rPr>
        <w:t xml:space="preserve"> at least a 2 unit reduction in ocular itching relative to a b</w:t>
      </w:r>
      <w:r>
        <w:rPr>
          <w:b w:val="0"/>
        </w:rPr>
        <w:t>aseline confirmatory CAC score</w:t>
      </w:r>
      <w:r w:rsidRPr="0002733D">
        <w:rPr>
          <w:b w:val="0"/>
        </w:rPr>
        <w:t xml:space="preserve">; scores were averaged across both eyes and over the three post-CAC </w:t>
      </w:r>
      <w:proofErr w:type="spellStart"/>
      <w:r w:rsidRPr="0002733D">
        <w:rPr>
          <w:b w:val="0"/>
        </w:rPr>
        <w:t>timepoints</w:t>
      </w:r>
      <w:proofErr w:type="spellEnd"/>
      <w:r>
        <w:rPr>
          <w:b w:val="0"/>
        </w:rPr>
        <w:t xml:space="preserve">. </w:t>
      </w:r>
      <w:r w:rsidRPr="00B85F6D">
        <w:rPr>
          <w:b w:val="0"/>
        </w:rPr>
        <w:t>The intent-to-treat population included all randomized subjects who re</w:t>
      </w:r>
      <w:r>
        <w:rPr>
          <w:b w:val="0"/>
        </w:rPr>
        <w:t>ceived treatment and had post-</w:t>
      </w:r>
      <w:proofErr w:type="spellStart"/>
      <w:r>
        <w:rPr>
          <w:b w:val="0"/>
        </w:rPr>
        <w:t>conjunctival</w:t>
      </w:r>
      <w:proofErr w:type="spellEnd"/>
      <w:r>
        <w:rPr>
          <w:b w:val="0"/>
        </w:rPr>
        <w:t xml:space="preserve"> allergen challenge data</w:t>
      </w:r>
      <w:r>
        <w:t xml:space="preserve"> </w:t>
      </w:r>
    </w:p>
    <w:sectPr w:rsidR="00135921" w:rsidRPr="006744F3" w:rsidSect="007864FC">
      <w:footerReference w:type="even" r:id="rId7"/>
      <w:foot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859" w:rsidRDefault="007864FC">
      <w:pPr>
        <w:spacing w:line="240" w:lineRule="auto"/>
      </w:pPr>
      <w:r>
        <w:separator/>
      </w:r>
    </w:p>
  </w:endnote>
  <w:endnote w:type="continuationSeparator" w:id="0">
    <w:p w:rsidR="00920859" w:rsidRDefault="007864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4F3" w:rsidRDefault="007F2321" w:rsidP="00BE09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44F3" w:rsidRDefault="00773763" w:rsidP="00BE09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4F3" w:rsidRDefault="007F2321" w:rsidP="00BE09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3763">
      <w:rPr>
        <w:rStyle w:val="PageNumber"/>
        <w:noProof/>
      </w:rPr>
      <w:t>1</w:t>
    </w:r>
    <w:r>
      <w:rPr>
        <w:rStyle w:val="PageNumber"/>
      </w:rPr>
      <w:fldChar w:fldCharType="end"/>
    </w:r>
  </w:p>
  <w:p w:rsidR="006744F3" w:rsidRDefault="00773763" w:rsidP="00BE09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859" w:rsidRDefault="007864FC">
      <w:pPr>
        <w:spacing w:line="240" w:lineRule="auto"/>
      </w:pPr>
      <w:r>
        <w:separator/>
      </w:r>
    </w:p>
  </w:footnote>
  <w:footnote w:type="continuationSeparator" w:id="0">
    <w:p w:rsidR="00920859" w:rsidRDefault="007864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0409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C94B40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2">
    <w:nsid w:val="196A3B89"/>
    <w:multiLevelType w:val="hybridMultilevel"/>
    <w:tmpl w:val="DB5CFF42"/>
    <w:lvl w:ilvl="0" w:tplc="A82C0E4C">
      <w:start w:val="1"/>
      <w:numFmt w:val="bullet"/>
      <w:pStyle w:val="ListBullet3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D480DDE"/>
    <w:multiLevelType w:val="hybridMultilevel"/>
    <w:tmpl w:val="DDDCFD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37191"/>
    <w:multiLevelType w:val="hybridMultilevel"/>
    <w:tmpl w:val="2F147102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2E42D8D"/>
    <w:multiLevelType w:val="hybridMultilevel"/>
    <w:tmpl w:val="7744C65C"/>
    <w:lvl w:ilvl="0" w:tplc="040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7FD73C85"/>
    <w:multiLevelType w:val="hybridMultilevel"/>
    <w:tmpl w:val="DB669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135921"/>
    <w:rsid w:val="00135921"/>
    <w:rsid w:val="00773763"/>
    <w:rsid w:val="007864FC"/>
    <w:rsid w:val="007F2321"/>
    <w:rsid w:val="00920859"/>
    <w:rsid w:val="00BF1BF2"/>
    <w:rsid w:val="00D412A8"/>
    <w:rsid w:val="00F3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3E663-9D59-48AF-AA63-4ABD9EB4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921"/>
    <w:pPr>
      <w:spacing w:after="0" w:line="360" w:lineRule="auto"/>
    </w:pPr>
    <w:rPr>
      <w:rFonts w:ascii="Arial" w:eastAsia="Times New Roman" w:hAnsi="Arial" w:cs="Times New Roman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rsid w:val="00135921"/>
    <w:pPr>
      <w:keepNext/>
      <w:outlineLvl w:val="0"/>
    </w:pPr>
    <w:rPr>
      <w:rFonts w:eastAsiaTheme="majorEastAsia" w:cstheme="majorBidi"/>
      <w:b/>
      <w:bCs/>
      <w:caps/>
      <w:kern w:val="32"/>
      <w:szCs w:val="32"/>
      <w:lang w:val="en-US" w:eastAsia="ja-JP"/>
    </w:rPr>
  </w:style>
  <w:style w:type="paragraph" w:styleId="Heading2">
    <w:name w:val="heading 2"/>
    <w:basedOn w:val="Normal"/>
    <w:next w:val="Normal"/>
    <w:link w:val="Heading2Char"/>
    <w:rsid w:val="00135921"/>
    <w:pPr>
      <w:keepNext/>
      <w:outlineLvl w:val="1"/>
    </w:pPr>
    <w:rPr>
      <w:rFonts w:eastAsiaTheme="majorEastAsia" w:cstheme="majorBidi"/>
      <w:b/>
      <w:bCs/>
      <w:iCs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rsid w:val="00135921"/>
    <w:pPr>
      <w:keepNext/>
      <w:outlineLvl w:val="2"/>
    </w:pPr>
    <w:rPr>
      <w:rFonts w:eastAsiaTheme="majorEastAsia" w:cstheme="majorBidi"/>
      <w:b/>
      <w:bCs/>
      <w:i/>
      <w:szCs w:val="26"/>
      <w:lang w:val="en-US" w:eastAsia="ja-JP"/>
    </w:rPr>
  </w:style>
  <w:style w:type="paragraph" w:styleId="Heading4">
    <w:name w:val="heading 4"/>
    <w:basedOn w:val="Normal"/>
    <w:next w:val="Normal"/>
    <w:link w:val="Heading4Char"/>
    <w:rsid w:val="00135921"/>
    <w:pPr>
      <w:keepNext/>
      <w:spacing w:before="240" w:after="60"/>
      <w:outlineLvl w:val="3"/>
    </w:pPr>
    <w:rPr>
      <w:rFonts w:eastAsiaTheme="minorEastAsia" w:cstheme="minorBidi"/>
      <w:bCs/>
      <w:i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5921"/>
    <w:rPr>
      <w:rFonts w:ascii="Arial" w:eastAsiaTheme="majorEastAsia" w:hAnsi="Arial" w:cstheme="majorBidi"/>
      <w:b/>
      <w:bCs/>
      <w:caps/>
      <w:kern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135921"/>
    <w:rPr>
      <w:rFonts w:ascii="Arial" w:eastAsiaTheme="majorEastAsia" w:hAnsi="Arial" w:cstheme="majorBidi"/>
      <w:b/>
      <w:bCs/>
      <w:iCs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135921"/>
    <w:rPr>
      <w:rFonts w:ascii="Arial" w:eastAsiaTheme="majorEastAsia" w:hAnsi="Arial" w:cstheme="majorBidi"/>
      <w:b/>
      <w:bCs/>
      <w:i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rsid w:val="00135921"/>
    <w:rPr>
      <w:rFonts w:ascii="Arial" w:eastAsiaTheme="minorEastAsia" w:hAnsi="Arial"/>
      <w:bCs/>
      <w:i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9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921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ListBullet3">
    <w:name w:val="List Bullet 3"/>
    <w:basedOn w:val="Normal"/>
    <w:rsid w:val="00135921"/>
    <w:pPr>
      <w:numPr>
        <w:numId w:val="1"/>
      </w:numPr>
      <w:contextualSpacing/>
    </w:pPr>
  </w:style>
  <w:style w:type="paragraph" w:styleId="ListBullet">
    <w:name w:val="List Bullet"/>
    <w:basedOn w:val="Normal"/>
    <w:rsid w:val="00135921"/>
    <w:pPr>
      <w:tabs>
        <w:tab w:val="num" w:pos="284"/>
      </w:tabs>
      <w:ind w:left="284" w:hanging="284"/>
      <w:contextualSpacing/>
    </w:pPr>
  </w:style>
  <w:style w:type="paragraph" w:styleId="ListBullet2">
    <w:name w:val="List Bullet 2"/>
    <w:basedOn w:val="Normal"/>
    <w:link w:val="ListBullet2Char"/>
    <w:rsid w:val="00135921"/>
    <w:pPr>
      <w:contextualSpacing/>
    </w:pPr>
  </w:style>
  <w:style w:type="table" w:styleId="TableGrid">
    <w:name w:val="Table Grid"/>
    <w:basedOn w:val="TableNormal"/>
    <w:rsid w:val="00135921"/>
    <w:pPr>
      <w:spacing w:after="0" w:line="240" w:lineRule="auto"/>
    </w:pPr>
    <w:rPr>
      <w:rFonts w:eastAsia="Times New Roman"/>
      <w:sz w:val="24"/>
      <w:szCs w:val="24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135921"/>
    <w:rPr>
      <w:sz w:val="18"/>
      <w:szCs w:val="18"/>
    </w:rPr>
  </w:style>
  <w:style w:type="paragraph" w:styleId="CommentText">
    <w:name w:val="annotation text"/>
    <w:basedOn w:val="Normal"/>
    <w:link w:val="CommentTextChar"/>
    <w:rsid w:val="0013592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135921"/>
    <w:rPr>
      <w:rFonts w:ascii="Arial" w:eastAsia="Times New Roman" w:hAnsi="Arial" w:cs="Times New Roman"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359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35921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customStyle="1" w:styleId="Default">
    <w:name w:val="Default"/>
    <w:rsid w:val="001359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13592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135921"/>
    <w:rPr>
      <w:rFonts w:ascii="Arial" w:eastAsia="Times New Roman" w:hAnsi="Arial" w:cs="Times New Roman"/>
      <w:szCs w:val="20"/>
      <w:lang w:val="en-GB" w:eastAsia="en-GB"/>
    </w:rPr>
  </w:style>
  <w:style w:type="character" w:styleId="PageNumber">
    <w:name w:val="page number"/>
    <w:basedOn w:val="DefaultParagraphFont"/>
    <w:rsid w:val="00135921"/>
  </w:style>
  <w:style w:type="character" w:customStyle="1" w:styleId="searchhit">
    <w:name w:val="searchhit"/>
    <w:basedOn w:val="DefaultParagraphFont"/>
    <w:rsid w:val="00135921"/>
  </w:style>
  <w:style w:type="character" w:styleId="Hyperlink">
    <w:name w:val="Hyperlink"/>
    <w:basedOn w:val="DefaultParagraphFont"/>
    <w:rsid w:val="001359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5921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135921"/>
    <w:pPr>
      <w:jc w:val="center"/>
    </w:pPr>
    <w:rPr>
      <w:rFonts w:cs="Arial"/>
      <w:noProof/>
    </w:rPr>
  </w:style>
  <w:style w:type="character" w:customStyle="1" w:styleId="ListBullet2Char">
    <w:name w:val="List Bullet 2 Char"/>
    <w:basedOn w:val="DefaultParagraphFont"/>
    <w:link w:val="ListBullet2"/>
    <w:rsid w:val="00135921"/>
    <w:rPr>
      <w:rFonts w:ascii="Arial" w:eastAsia="Times New Roman" w:hAnsi="Arial" w:cs="Times New Roman"/>
      <w:szCs w:val="20"/>
      <w:lang w:val="en-GB" w:eastAsia="en-GB"/>
    </w:rPr>
  </w:style>
  <w:style w:type="character" w:customStyle="1" w:styleId="EndNoteBibliographyTitleChar">
    <w:name w:val="EndNote Bibliography Title Char"/>
    <w:basedOn w:val="ListBullet2Char"/>
    <w:link w:val="EndNoteBibliographyTitle"/>
    <w:rsid w:val="00135921"/>
    <w:rPr>
      <w:rFonts w:ascii="Arial" w:eastAsia="Times New Roman" w:hAnsi="Arial" w:cs="Arial"/>
      <w:noProof/>
      <w:szCs w:val="20"/>
      <w:lang w:val="en-GB" w:eastAsia="en-GB"/>
    </w:rPr>
  </w:style>
  <w:style w:type="paragraph" w:customStyle="1" w:styleId="EndNoteBibliography">
    <w:name w:val="EndNote Bibliography"/>
    <w:basedOn w:val="Normal"/>
    <w:link w:val="EndNoteBibliographyChar"/>
    <w:rsid w:val="00135921"/>
    <w:pPr>
      <w:spacing w:line="240" w:lineRule="auto"/>
    </w:pPr>
    <w:rPr>
      <w:rFonts w:cs="Arial"/>
      <w:noProof/>
    </w:rPr>
  </w:style>
  <w:style w:type="character" w:customStyle="1" w:styleId="EndNoteBibliographyChar">
    <w:name w:val="EndNote Bibliography Char"/>
    <w:basedOn w:val="ListBullet2Char"/>
    <w:link w:val="EndNoteBibliography"/>
    <w:rsid w:val="00135921"/>
    <w:rPr>
      <w:rFonts w:ascii="Arial" w:eastAsia="Times New Roman" w:hAnsi="Arial" w:cs="Arial"/>
      <w:noProof/>
      <w:szCs w:val="20"/>
      <w:lang w:val="en-GB" w:eastAsia="en-GB"/>
    </w:rPr>
  </w:style>
  <w:style w:type="table" w:customStyle="1" w:styleId="ListTable3-Accent51">
    <w:name w:val="List Table 3 - Accent 51"/>
    <w:basedOn w:val="TableNormal"/>
    <w:uiPriority w:val="48"/>
    <w:rsid w:val="0013592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Revision">
    <w:name w:val="Revision"/>
    <w:hidden/>
    <w:semiHidden/>
    <w:rsid w:val="00135921"/>
    <w:pPr>
      <w:spacing w:after="0" w:line="240" w:lineRule="auto"/>
    </w:pPr>
    <w:rPr>
      <w:rFonts w:ascii="Arial" w:eastAsia="Times New Roman" w:hAnsi="Arial" w:cs="Times New Roman"/>
      <w:szCs w:val="20"/>
      <w:lang w:val="en-GB" w:eastAsia="en-GB"/>
    </w:rPr>
  </w:style>
  <w:style w:type="character" w:styleId="FollowedHyperlink">
    <w:name w:val="FollowedHyperlink"/>
    <w:basedOn w:val="DefaultParagraphFont"/>
    <w:semiHidden/>
    <w:unhideWhenUsed/>
    <w:rsid w:val="00135921"/>
    <w:rPr>
      <w:color w:val="954F72" w:themeColor="followedHyperlink"/>
      <w:u w:val="single"/>
    </w:rPr>
  </w:style>
  <w:style w:type="character" w:styleId="LineNumber">
    <w:name w:val="line number"/>
    <w:basedOn w:val="DefaultParagraphFont"/>
    <w:semiHidden/>
    <w:unhideWhenUsed/>
    <w:rsid w:val="00135921"/>
  </w:style>
  <w:style w:type="paragraph" w:customStyle="1" w:styleId="CharCharCharCharCharChar">
    <w:name w:val="Char Char Char Char Char Char"/>
    <w:basedOn w:val="Normal"/>
    <w:uiPriority w:val="99"/>
    <w:semiHidden/>
    <w:rsid w:val="00135921"/>
    <w:pPr>
      <w:spacing w:before="80" w:after="80" w:line="240" w:lineRule="auto"/>
      <w:ind w:left="4320"/>
      <w:jc w:val="both"/>
    </w:pPr>
    <w:rPr>
      <w:rFonts w:cs="Arial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DJE Holdings, Inc.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Hirsch, Tamara</dc:creator>
  <cp:keywords/>
  <dc:description/>
  <cp:lastModifiedBy>Hirsch, Tamara</cp:lastModifiedBy>
  <cp:revision>4</cp:revision>
  <dcterms:created xsi:type="dcterms:W3CDTF">2014-12-19T12:34:00Z</dcterms:created>
  <dcterms:modified xsi:type="dcterms:W3CDTF">2015-04-10T11:20:00Z</dcterms:modified>
</cp:coreProperties>
</file>