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0" w:type="auto"/>
        <w:tblLook w:val="04A0" w:firstRow="1" w:lastRow="0" w:firstColumn="1" w:lastColumn="0" w:noHBand="0" w:noVBand="1"/>
      </w:tblPr>
      <w:tblGrid>
        <w:gridCol w:w="761"/>
        <w:gridCol w:w="4294"/>
        <w:gridCol w:w="4567"/>
      </w:tblGrid>
      <w:tr w:rsidR="00F63A6B" w:rsidRPr="00656F3D" w14:paraId="4797A1BD" w14:textId="77777777" w:rsidTr="00F63A6B">
        <w:tc>
          <w:tcPr>
            <w:tcW w:w="755" w:type="dxa"/>
          </w:tcPr>
          <w:p w14:paraId="5A3997C3" w14:textId="77777777" w:rsidR="00850B5C" w:rsidRPr="00B41A8D" w:rsidRDefault="00850B5C" w:rsidP="00656F3D">
            <w:pPr>
              <w:rPr>
                <w:rFonts w:ascii="Arial" w:hAnsi="Arial" w:cs="Arial"/>
                <w:b/>
                <w:sz w:val="20"/>
                <w:szCs w:val="20"/>
              </w:rPr>
            </w:pPr>
            <w:r w:rsidRPr="00B41A8D">
              <w:rPr>
                <w:rFonts w:ascii="Arial" w:hAnsi="Arial" w:cs="Arial"/>
                <w:b/>
                <w:sz w:val="20"/>
                <w:szCs w:val="20"/>
              </w:rPr>
              <w:t>Stage</w:t>
            </w:r>
          </w:p>
        </w:tc>
        <w:tc>
          <w:tcPr>
            <w:tcW w:w="4297" w:type="dxa"/>
          </w:tcPr>
          <w:p w14:paraId="6E7FEB81" w14:textId="285EF2AE" w:rsidR="00850B5C" w:rsidRPr="00B41A8D" w:rsidRDefault="00850B5C" w:rsidP="00656F3D">
            <w:pPr>
              <w:rPr>
                <w:rFonts w:ascii="Arial" w:hAnsi="Arial" w:cs="Arial"/>
                <w:b/>
                <w:sz w:val="20"/>
                <w:szCs w:val="20"/>
              </w:rPr>
            </w:pPr>
            <w:r w:rsidRPr="00B41A8D">
              <w:rPr>
                <w:rFonts w:ascii="Arial" w:hAnsi="Arial" w:cs="Arial"/>
                <w:b/>
                <w:sz w:val="20"/>
                <w:szCs w:val="20"/>
              </w:rPr>
              <w:t>Süveges</w:t>
            </w:r>
            <w:r w:rsidR="00F63A6B" w:rsidRPr="00B41A8D">
              <w:rPr>
                <w:rFonts w:ascii="Arial" w:hAnsi="Arial" w:cs="Arial"/>
                <w:b/>
                <w:sz w:val="20"/>
                <w:szCs w:val="20"/>
              </w:rPr>
              <w:t>’</w:t>
            </w:r>
            <w:r w:rsidR="002E23D8" w:rsidRPr="00B41A8D">
              <w:rPr>
                <w:rFonts w:ascii="Arial" w:hAnsi="Arial" w:cs="Arial"/>
                <w:b/>
                <w:sz w:val="20"/>
                <w:szCs w:val="20"/>
              </w:rPr>
              <w:t xml:space="preserve"> staging</w:t>
            </w:r>
          </w:p>
        </w:tc>
        <w:tc>
          <w:tcPr>
            <w:tcW w:w="4570" w:type="dxa"/>
          </w:tcPr>
          <w:p w14:paraId="3C7AA1A2" w14:textId="77777777" w:rsidR="00850B5C" w:rsidRPr="00B41A8D" w:rsidRDefault="002E23D8" w:rsidP="00656F3D">
            <w:pPr>
              <w:rPr>
                <w:rFonts w:ascii="Arial" w:hAnsi="Arial" w:cs="Arial"/>
                <w:b/>
                <w:sz w:val="20"/>
                <w:szCs w:val="20"/>
              </w:rPr>
            </w:pPr>
            <w:r w:rsidRPr="00B41A8D">
              <w:rPr>
                <w:rFonts w:ascii="Arial" w:hAnsi="Arial" w:cs="Arial"/>
                <w:b/>
                <w:sz w:val="20"/>
                <w:szCs w:val="20"/>
              </w:rPr>
              <w:t>Wang’s staging</w:t>
            </w:r>
          </w:p>
        </w:tc>
      </w:tr>
      <w:tr w:rsidR="00F63A6B" w:rsidRPr="00687451" w14:paraId="201BB121" w14:textId="77777777" w:rsidTr="00F63A6B">
        <w:tc>
          <w:tcPr>
            <w:tcW w:w="755" w:type="dxa"/>
          </w:tcPr>
          <w:p w14:paraId="1F2499FE" w14:textId="77777777" w:rsidR="00850B5C" w:rsidRPr="00B41A8D" w:rsidRDefault="00850B5C" w:rsidP="00656F3D">
            <w:pPr>
              <w:rPr>
                <w:rFonts w:ascii="Arial" w:hAnsi="Arial" w:cs="Arial"/>
                <w:sz w:val="20"/>
                <w:szCs w:val="20"/>
              </w:rPr>
            </w:pPr>
            <w:r w:rsidRPr="00B41A8D">
              <w:rPr>
                <w:rFonts w:ascii="Arial" w:hAnsi="Arial" w:cs="Arial"/>
                <w:sz w:val="20"/>
                <w:szCs w:val="20"/>
              </w:rPr>
              <w:t>1</w:t>
            </w:r>
          </w:p>
        </w:tc>
        <w:tc>
          <w:tcPr>
            <w:tcW w:w="4297" w:type="dxa"/>
          </w:tcPr>
          <w:p w14:paraId="5A345FF1" w14:textId="3E1159B4" w:rsidR="00850B5C" w:rsidRPr="00B41A8D" w:rsidRDefault="004351E0" w:rsidP="00656F3D">
            <w:pPr>
              <w:pStyle w:val="NormaaliWWW"/>
              <w:rPr>
                <w:rFonts w:ascii="Arial" w:hAnsi="Arial" w:cs="Arial"/>
                <w:sz w:val="20"/>
                <w:szCs w:val="20"/>
                <w:lang w:val="en"/>
              </w:rPr>
            </w:pPr>
            <w:r w:rsidRPr="00B41A8D">
              <w:rPr>
                <w:rFonts w:ascii="Arial" w:hAnsi="Arial" w:cs="Arial"/>
                <w:sz w:val="20"/>
                <w:szCs w:val="20"/>
                <w:lang w:val="en"/>
              </w:rPr>
              <w:t>G</w:t>
            </w:r>
            <w:r w:rsidRPr="00B41A8D">
              <w:rPr>
                <w:rFonts w:ascii="Arial" w:hAnsi="Arial" w:cs="Arial"/>
                <w:sz w:val="20"/>
                <w:szCs w:val="20"/>
                <w:lang w:val="en-US"/>
              </w:rPr>
              <w:t>rey-white lining of opacities at the superior peripheral cornea</w:t>
            </w:r>
          </w:p>
        </w:tc>
        <w:tc>
          <w:tcPr>
            <w:tcW w:w="4570" w:type="dxa"/>
          </w:tcPr>
          <w:p w14:paraId="26518302" w14:textId="36156BAC" w:rsidR="00850B5C" w:rsidRPr="00B41A8D" w:rsidRDefault="00920FA9" w:rsidP="00656F3D">
            <w:pPr>
              <w:rPr>
                <w:rFonts w:ascii="Arial" w:hAnsi="Arial" w:cs="Arial"/>
                <w:sz w:val="20"/>
                <w:szCs w:val="20"/>
                <w:lang w:val="en"/>
              </w:rPr>
            </w:pPr>
            <w:r w:rsidRPr="00B41A8D">
              <w:rPr>
                <w:rFonts w:ascii="Arial" w:hAnsi="Arial" w:cs="Arial"/>
                <w:sz w:val="20"/>
                <w:szCs w:val="20"/>
                <w:lang w:val="en"/>
              </w:rPr>
              <w:t xml:space="preserve">Anterior </w:t>
            </w:r>
            <w:r w:rsidR="00E6765F" w:rsidRPr="00B41A8D">
              <w:rPr>
                <w:rFonts w:ascii="Arial" w:hAnsi="Arial" w:cs="Arial"/>
                <w:sz w:val="20"/>
                <w:szCs w:val="20"/>
                <w:lang w:val="en"/>
              </w:rPr>
              <w:t>and posterior corneal curvature normal, thinnest corneal thickness ≥0.56mm</w:t>
            </w:r>
          </w:p>
        </w:tc>
      </w:tr>
      <w:tr w:rsidR="00F63A6B" w:rsidRPr="00687451" w14:paraId="4693C1D3" w14:textId="77777777" w:rsidTr="00F63A6B">
        <w:trPr>
          <w:trHeight w:val="600"/>
        </w:trPr>
        <w:tc>
          <w:tcPr>
            <w:tcW w:w="755" w:type="dxa"/>
          </w:tcPr>
          <w:p w14:paraId="61670AD0" w14:textId="77777777" w:rsidR="00850B5C" w:rsidRPr="00B41A8D" w:rsidRDefault="00850B5C" w:rsidP="00656F3D">
            <w:pPr>
              <w:rPr>
                <w:rFonts w:ascii="Arial" w:hAnsi="Arial" w:cs="Arial"/>
                <w:sz w:val="20"/>
                <w:szCs w:val="20"/>
              </w:rPr>
            </w:pPr>
            <w:r w:rsidRPr="00B41A8D">
              <w:rPr>
                <w:rFonts w:ascii="Arial" w:hAnsi="Arial" w:cs="Arial"/>
                <w:sz w:val="20"/>
                <w:szCs w:val="20"/>
              </w:rPr>
              <w:t>2</w:t>
            </w:r>
          </w:p>
        </w:tc>
        <w:tc>
          <w:tcPr>
            <w:tcW w:w="4297" w:type="dxa"/>
          </w:tcPr>
          <w:p w14:paraId="4916C6DF" w14:textId="42350406" w:rsidR="00850B5C" w:rsidRPr="00B41A8D" w:rsidRDefault="004351E0" w:rsidP="00656F3D">
            <w:pPr>
              <w:rPr>
                <w:rFonts w:ascii="Arial" w:hAnsi="Arial" w:cs="Arial"/>
                <w:sz w:val="20"/>
                <w:szCs w:val="20"/>
                <w:lang w:val="en"/>
              </w:rPr>
            </w:pPr>
            <w:r w:rsidRPr="00B41A8D">
              <w:rPr>
                <w:rFonts w:ascii="Arial" w:hAnsi="Arial" w:cs="Arial"/>
                <w:sz w:val="20"/>
                <w:szCs w:val="20"/>
                <w:lang w:val="en"/>
              </w:rPr>
              <w:t>A</w:t>
            </w:r>
            <w:r w:rsidRPr="00B41A8D">
              <w:rPr>
                <w:rFonts w:ascii="Arial" w:hAnsi="Arial" w:cs="Arial"/>
                <w:sz w:val="20"/>
                <w:szCs w:val="20"/>
                <w:lang w:val="en-US"/>
              </w:rPr>
              <w:t xml:space="preserve"> furrow covered by vascularization appears that starts to increase in circumferential width and depth as the opacities at the leading edge turn yellow or even brown. Peripheral corneal thinning can progress to up to 360 degrees.</w:t>
            </w:r>
          </w:p>
        </w:tc>
        <w:tc>
          <w:tcPr>
            <w:tcW w:w="4570" w:type="dxa"/>
          </w:tcPr>
          <w:p w14:paraId="09D835C7" w14:textId="0D5831B2" w:rsidR="00850B5C" w:rsidRPr="00B41A8D" w:rsidRDefault="00E6765F" w:rsidP="00656F3D">
            <w:pPr>
              <w:pStyle w:val="NormaaliWWW"/>
              <w:rPr>
                <w:rFonts w:ascii="Arial" w:hAnsi="Arial" w:cs="Arial"/>
                <w:sz w:val="20"/>
                <w:szCs w:val="20"/>
                <w:lang w:val="en"/>
              </w:rPr>
            </w:pPr>
            <w:r w:rsidRPr="00B41A8D">
              <w:rPr>
                <w:rFonts w:ascii="Arial" w:hAnsi="Arial" w:cs="Arial"/>
                <w:sz w:val="20"/>
                <w:szCs w:val="20"/>
                <w:lang w:val="en"/>
              </w:rPr>
              <w:t xml:space="preserve">Anterior curvature concave, posterior curvature normal, thinnest corneal thickness </w:t>
            </w:r>
            <w:r w:rsidRPr="00B41A8D">
              <w:rPr>
                <w:rFonts w:ascii="Arial" w:hAnsi="Arial" w:cs="Arial"/>
                <w:color w:val="111111"/>
                <w:sz w:val="20"/>
                <w:szCs w:val="20"/>
                <w:lang w:val="en"/>
              </w:rPr>
              <w:t xml:space="preserve">≥ 0.41 mm and &lt; 0.56 mm </w:t>
            </w:r>
          </w:p>
        </w:tc>
      </w:tr>
      <w:tr w:rsidR="00F63A6B" w:rsidRPr="00687451" w14:paraId="319B522D" w14:textId="77777777" w:rsidTr="00F63A6B">
        <w:tc>
          <w:tcPr>
            <w:tcW w:w="755" w:type="dxa"/>
          </w:tcPr>
          <w:p w14:paraId="2D7F8DC6" w14:textId="77777777" w:rsidR="00850B5C" w:rsidRPr="00B41A8D" w:rsidRDefault="00850B5C" w:rsidP="00656F3D">
            <w:pPr>
              <w:rPr>
                <w:rFonts w:ascii="Arial" w:hAnsi="Arial" w:cs="Arial"/>
                <w:sz w:val="20"/>
                <w:szCs w:val="20"/>
                <w:lang w:val="en"/>
              </w:rPr>
            </w:pPr>
            <w:r w:rsidRPr="00B41A8D">
              <w:rPr>
                <w:rFonts w:ascii="Arial" w:hAnsi="Arial" w:cs="Arial"/>
                <w:sz w:val="20"/>
                <w:szCs w:val="20"/>
                <w:lang w:val="en"/>
              </w:rPr>
              <w:t>3</w:t>
            </w:r>
          </w:p>
        </w:tc>
        <w:tc>
          <w:tcPr>
            <w:tcW w:w="4297" w:type="dxa"/>
          </w:tcPr>
          <w:p w14:paraId="116EC1C5" w14:textId="4FFE64DF" w:rsidR="00850B5C" w:rsidRPr="00B41A8D" w:rsidRDefault="004351E0" w:rsidP="00656F3D">
            <w:pPr>
              <w:rPr>
                <w:rFonts w:ascii="Arial" w:hAnsi="Arial" w:cs="Arial"/>
                <w:sz w:val="20"/>
                <w:szCs w:val="20"/>
                <w:lang w:val="en"/>
              </w:rPr>
            </w:pPr>
            <w:r w:rsidRPr="00B41A8D">
              <w:rPr>
                <w:rFonts w:ascii="Arial" w:hAnsi="Arial" w:cs="Arial"/>
                <w:sz w:val="20"/>
                <w:szCs w:val="20"/>
                <w:lang w:val="en-US"/>
              </w:rPr>
              <w:t>The peripheral cornea becomes locally ectatic</w:t>
            </w:r>
          </w:p>
        </w:tc>
        <w:tc>
          <w:tcPr>
            <w:tcW w:w="4570" w:type="dxa"/>
          </w:tcPr>
          <w:p w14:paraId="610C5810" w14:textId="4D2E1545" w:rsidR="00850B5C" w:rsidRPr="00B41A8D" w:rsidRDefault="00B640E9" w:rsidP="00656F3D">
            <w:pPr>
              <w:pStyle w:val="NormaaliWWW"/>
              <w:rPr>
                <w:rFonts w:ascii="Arial" w:hAnsi="Arial" w:cs="Arial"/>
                <w:sz w:val="20"/>
                <w:szCs w:val="20"/>
                <w:lang w:val="en"/>
              </w:rPr>
            </w:pPr>
            <w:r w:rsidRPr="00B41A8D">
              <w:rPr>
                <w:rFonts w:ascii="Arial" w:hAnsi="Arial" w:cs="Arial"/>
                <w:sz w:val="20"/>
                <w:szCs w:val="20"/>
                <w:lang w:val="en"/>
              </w:rPr>
              <w:t>Anterior curvature concave, posterior curvature bowed forward</w:t>
            </w:r>
            <w:r w:rsidR="008F2D09" w:rsidRPr="00B41A8D">
              <w:rPr>
                <w:rFonts w:ascii="Arial" w:hAnsi="Arial" w:cs="Arial"/>
                <w:sz w:val="20"/>
                <w:szCs w:val="20"/>
                <w:lang w:val="en"/>
              </w:rPr>
              <w:t xml:space="preserve">, thinnest corneal thickness </w:t>
            </w:r>
            <w:r w:rsidR="008F2D09" w:rsidRPr="00B41A8D">
              <w:rPr>
                <w:rFonts w:ascii="Arial" w:hAnsi="Arial" w:cs="Arial"/>
                <w:color w:val="111111"/>
                <w:sz w:val="20"/>
                <w:szCs w:val="20"/>
                <w:lang w:val="en"/>
              </w:rPr>
              <w:t xml:space="preserve">≥ 0.24 mm and &lt; 0.41 mm </w:t>
            </w:r>
          </w:p>
        </w:tc>
      </w:tr>
      <w:tr w:rsidR="00F63A6B" w:rsidRPr="00687451" w14:paraId="2E3ABFAA" w14:textId="77777777" w:rsidTr="00F63A6B">
        <w:tc>
          <w:tcPr>
            <w:tcW w:w="755" w:type="dxa"/>
          </w:tcPr>
          <w:p w14:paraId="2EAC658F" w14:textId="77777777" w:rsidR="00850B5C" w:rsidRPr="00B41A8D" w:rsidRDefault="00850B5C" w:rsidP="00656F3D">
            <w:pPr>
              <w:rPr>
                <w:rFonts w:ascii="Arial" w:hAnsi="Arial" w:cs="Arial"/>
                <w:sz w:val="20"/>
                <w:szCs w:val="20"/>
              </w:rPr>
            </w:pPr>
            <w:r w:rsidRPr="00B41A8D">
              <w:rPr>
                <w:rFonts w:ascii="Arial" w:hAnsi="Arial" w:cs="Arial"/>
                <w:sz w:val="20"/>
                <w:szCs w:val="20"/>
              </w:rPr>
              <w:t>4</w:t>
            </w:r>
          </w:p>
        </w:tc>
        <w:tc>
          <w:tcPr>
            <w:tcW w:w="4297" w:type="dxa"/>
          </w:tcPr>
          <w:p w14:paraId="26C0F74B" w14:textId="23DB2FD3" w:rsidR="00850B5C" w:rsidRPr="00B41A8D" w:rsidRDefault="004351E0" w:rsidP="00656F3D">
            <w:pPr>
              <w:rPr>
                <w:rFonts w:ascii="Arial" w:hAnsi="Arial" w:cs="Arial"/>
                <w:sz w:val="20"/>
                <w:szCs w:val="20"/>
                <w:lang w:val="en"/>
              </w:rPr>
            </w:pPr>
            <w:r w:rsidRPr="00B41A8D">
              <w:rPr>
                <w:rFonts w:ascii="Arial" w:hAnsi="Arial" w:cs="Arial"/>
                <w:sz w:val="20"/>
                <w:szCs w:val="20"/>
                <w:lang w:val="en-US"/>
              </w:rPr>
              <w:t>The peripheral cornea becomes totally ectatic</w:t>
            </w:r>
          </w:p>
        </w:tc>
        <w:tc>
          <w:tcPr>
            <w:tcW w:w="4570" w:type="dxa"/>
          </w:tcPr>
          <w:p w14:paraId="53DBB1A4" w14:textId="4AC9B86A" w:rsidR="00850B5C" w:rsidRPr="00B41A8D" w:rsidRDefault="008F2D09" w:rsidP="00656F3D">
            <w:pPr>
              <w:pStyle w:val="NormaaliWWW"/>
              <w:rPr>
                <w:rFonts w:ascii="Arial" w:hAnsi="Arial" w:cs="Arial"/>
                <w:sz w:val="20"/>
                <w:szCs w:val="20"/>
                <w:lang w:val="en"/>
              </w:rPr>
            </w:pPr>
            <w:r w:rsidRPr="00B41A8D">
              <w:rPr>
                <w:rFonts w:ascii="Arial" w:hAnsi="Arial" w:cs="Arial"/>
                <w:sz w:val="20"/>
                <w:szCs w:val="20"/>
                <w:lang w:val="en"/>
              </w:rPr>
              <w:t xml:space="preserve">Anterior curvature normal, posterior curvature bowed forward, thinnest corneal thickness </w:t>
            </w:r>
            <w:r w:rsidRPr="00B41A8D">
              <w:rPr>
                <w:rFonts w:ascii="Arial" w:hAnsi="Arial" w:cs="Arial"/>
                <w:color w:val="111111"/>
                <w:sz w:val="20"/>
                <w:szCs w:val="20"/>
                <w:lang w:val="en"/>
              </w:rPr>
              <w:t xml:space="preserve">≥ 0.13 mm and &lt; 0.24 mm </w:t>
            </w:r>
          </w:p>
        </w:tc>
      </w:tr>
      <w:tr w:rsidR="00F63A6B" w:rsidRPr="00687451" w14:paraId="5A2270E2" w14:textId="77777777" w:rsidTr="00F63A6B">
        <w:tc>
          <w:tcPr>
            <w:tcW w:w="755" w:type="dxa"/>
          </w:tcPr>
          <w:p w14:paraId="1ED7A37E" w14:textId="77777777" w:rsidR="00850B5C" w:rsidRPr="00B41A8D" w:rsidRDefault="00850B5C" w:rsidP="00656F3D">
            <w:pPr>
              <w:rPr>
                <w:rFonts w:ascii="Arial" w:hAnsi="Arial" w:cs="Arial"/>
                <w:sz w:val="20"/>
                <w:szCs w:val="20"/>
              </w:rPr>
            </w:pPr>
            <w:r w:rsidRPr="00B41A8D">
              <w:rPr>
                <w:rFonts w:ascii="Arial" w:hAnsi="Arial" w:cs="Arial"/>
                <w:sz w:val="20"/>
                <w:szCs w:val="20"/>
              </w:rPr>
              <w:t>5</w:t>
            </w:r>
          </w:p>
        </w:tc>
        <w:tc>
          <w:tcPr>
            <w:tcW w:w="4297" w:type="dxa"/>
          </w:tcPr>
          <w:p w14:paraId="51A7DE3B" w14:textId="118A9391" w:rsidR="00850B5C" w:rsidRPr="00B41A8D" w:rsidRDefault="004351E0" w:rsidP="00656F3D">
            <w:pPr>
              <w:rPr>
                <w:rFonts w:ascii="Arial" w:hAnsi="Arial" w:cs="Arial"/>
                <w:sz w:val="20"/>
                <w:szCs w:val="20"/>
              </w:rPr>
            </w:pPr>
            <w:r w:rsidRPr="00B41A8D">
              <w:rPr>
                <w:rFonts w:ascii="Arial" w:hAnsi="Arial" w:cs="Arial"/>
                <w:sz w:val="20"/>
                <w:szCs w:val="20"/>
                <w:lang w:val="en-US"/>
              </w:rPr>
              <w:t>Central cornea becomes opaque</w:t>
            </w:r>
          </w:p>
        </w:tc>
        <w:tc>
          <w:tcPr>
            <w:tcW w:w="4570" w:type="dxa"/>
          </w:tcPr>
          <w:p w14:paraId="300565E3" w14:textId="0390384E" w:rsidR="00850B5C" w:rsidRPr="00B41A8D" w:rsidRDefault="008F2D09" w:rsidP="00656F3D">
            <w:pPr>
              <w:pStyle w:val="NormaaliWWW"/>
              <w:rPr>
                <w:rFonts w:ascii="Arial" w:hAnsi="Arial" w:cs="Arial"/>
                <w:sz w:val="20"/>
                <w:szCs w:val="20"/>
                <w:lang w:val="en"/>
              </w:rPr>
            </w:pPr>
            <w:r w:rsidRPr="00B41A8D">
              <w:rPr>
                <w:rFonts w:ascii="Arial" w:hAnsi="Arial" w:cs="Arial"/>
                <w:sz w:val="20"/>
                <w:szCs w:val="20"/>
                <w:lang w:val="en"/>
              </w:rPr>
              <w:t xml:space="preserve">Anterior curvature bowed forward, posterior curvature bowed forward, thinnest corneal thickness </w:t>
            </w:r>
            <w:r w:rsidRPr="00B41A8D">
              <w:rPr>
                <w:rFonts w:ascii="Arial" w:hAnsi="Arial" w:cs="Arial"/>
                <w:color w:val="111111"/>
                <w:sz w:val="20"/>
                <w:szCs w:val="20"/>
                <w:lang w:val="en"/>
              </w:rPr>
              <w:t xml:space="preserve">≤ 0.13 mm </w:t>
            </w:r>
          </w:p>
        </w:tc>
      </w:tr>
      <w:tr w:rsidR="00F63A6B" w:rsidRPr="00687451" w14:paraId="7BE0FF6F" w14:textId="77777777" w:rsidTr="00F63A6B">
        <w:tc>
          <w:tcPr>
            <w:tcW w:w="755" w:type="dxa"/>
          </w:tcPr>
          <w:p w14:paraId="76516983" w14:textId="77777777" w:rsidR="00850B5C" w:rsidRPr="00B41A8D" w:rsidRDefault="00850B5C" w:rsidP="00656F3D">
            <w:pPr>
              <w:rPr>
                <w:rFonts w:ascii="Arial" w:hAnsi="Arial" w:cs="Arial"/>
                <w:sz w:val="20"/>
                <w:szCs w:val="20"/>
              </w:rPr>
            </w:pPr>
            <w:r w:rsidRPr="00B41A8D">
              <w:rPr>
                <w:rFonts w:ascii="Arial" w:hAnsi="Arial" w:cs="Arial"/>
                <w:sz w:val="20"/>
                <w:szCs w:val="20"/>
              </w:rPr>
              <w:t>6</w:t>
            </w:r>
          </w:p>
        </w:tc>
        <w:tc>
          <w:tcPr>
            <w:tcW w:w="4297" w:type="dxa"/>
          </w:tcPr>
          <w:p w14:paraId="2C49B782" w14:textId="0C4BED82" w:rsidR="00850B5C" w:rsidRPr="00B41A8D" w:rsidRDefault="004351E0" w:rsidP="00656F3D">
            <w:pPr>
              <w:rPr>
                <w:rFonts w:ascii="Arial" w:hAnsi="Arial" w:cs="Arial"/>
                <w:sz w:val="20"/>
                <w:szCs w:val="20"/>
              </w:rPr>
            </w:pPr>
            <w:r w:rsidRPr="00B41A8D">
              <w:rPr>
                <w:rFonts w:ascii="Arial" w:hAnsi="Arial" w:cs="Arial"/>
                <w:sz w:val="20"/>
                <w:szCs w:val="20"/>
              </w:rPr>
              <w:t>-</w:t>
            </w:r>
          </w:p>
        </w:tc>
        <w:tc>
          <w:tcPr>
            <w:tcW w:w="4570" w:type="dxa"/>
          </w:tcPr>
          <w:p w14:paraId="2311C5E1" w14:textId="05D990D2" w:rsidR="00850B5C" w:rsidRPr="00B41A8D" w:rsidRDefault="008F2D09" w:rsidP="00656F3D">
            <w:pPr>
              <w:rPr>
                <w:rFonts w:ascii="Arial" w:hAnsi="Arial" w:cs="Arial"/>
                <w:sz w:val="20"/>
                <w:szCs w:val="20"/>
                <w:lang w:val="en"/>
              </w:rPr>
            </w:pPr>
            <w:r w:rsidRPr="00B41A8D">
              <w:rPr>
                <w:rFonts w:ascii="Arial" w:hAnsi="Arial" w:cs="Arial"/>
                <w:sz w:val="20"/>
                <w:szCs w:val="20"/>
                <w:lang w:val="en"/>
              </w:rPr>
              <w:t>Cornea perforated, thinnest corneal thickness 0</w:t>
            </w:r>
            <w:r w:rsidR="00687451">
              <w:rPr>
                <w:rFonts w:ascii="Arial" w:hAnsi="Arial" w:cs="Arial"/>
                <w:sz w:val="20"/>
                <w:szCs w:val="20"/>
                <w:lang w:val="en"/>
              </w:rPr>
              <w:t xml:space="preserve"> </w:t>
            </w:r>
            <w:bookmarkStart w:id="0" w:name="_GoBack"/>
            <w:bookmarkEnd w:id="0"/>
            <w:r w:rsidRPr="00B41A8D">
              <w:rPr>
                <w:rFonts w:ascii="Arial" w:hAnsi="Arial" w:cs="Arial"/>
                <w:sz w:val="20"/>
                <w:szCs w:val="20"/>
                <w:lang w:val="en"/>
              </w:rPr>
              <w:t>mm</w:t>
            </w:r>
          </w:p>
        </w:tc>
      </w:tr>
    </w:tbl>
    <w:p w14:paraId="01B43618" w14:textId="77777777" w:rsidR="00D41A01" w:rsidRPr="00656F3D" w:rsidRDefault="00687451" w:rsidP="00656F3D">
      <w:pPr>
        <w:rPr>
          <w:rFonts w:ascii="Times New Roman" w:hAnsi="Times New Roman" w:cs="Times New Roman"/>
          <w:sz w:val="20"/>
          <w:szCs w:val="20"/>
          <w:lang w:val="en"/>
        </w:rPr>
      </w:pPr>
    </w:p>
    <w:p w14:paraId="32891461" w14:textId="22C95453" w:rsidR="00960976" w:rsidRPr="00B41A8D" w:rsidRDefault="00FE350D" w:rsidP="00656F3D">
      <w:pPr>
        <w:rPr>
          <w:rFonts w:ascii="Arial" w:hAnsi="Arial" w:cs="Arial"/>
          <w:b/>
          <w:lang w:val="en"/>
        </w:rPr>
      </w:pPr>
      <w:r w:rsidRPr="00B41A8D">
        <w:rPr>
          <w:rFonts w:ascii="Arial" w:hAnsi="Arial" w:cs="Arial"/>
          <w:b/>
          <w:lang w:val="en"/>
        </w:rPr>
        <w:t>e</w:t>
      </w:r>
      <w:r w:rsidR="00F63A6B" w:rsidRPr="00B41A8D">
        <w:rPr>
          <w:rFonts w:ascii="Arial" w:hAnsi="Arial" w:cs="Arial"/>
          <w:b/>
          <w:lang w:val="en"/>
        </w:rPr>
        <w:t xml:space="preserve">Table </w:t>
      </w:r>
      <w:r w:rsidR="00ED0FAB">
        <w:rPr>
          <w:rFonts w:ascii="Arial" w:hAnsi="Arial" w:cs="Arial"/>
          <w:b/>
          <w:lang w:val="en"/>
        </w:rPr>
        <w:t>1</w:t>
      </w:r>
      <w:r w:rsidR="00960976" w:rsidRPr="00B41A8D">
        <w:rPr>
          <w:rFonts w:ascii="Arial" w:hAnsi="Arial" w:cs="Arial"/>
          <w:b/>
          <w:i/>
          <w:lang w:val="en"/>
        </w:rPr>
        <w:t xml:space="preserve">. </w:t>
      </w:r>
      <w:r w:rsidR="00F63A6B" w:rsidRPr="00B41A8D">
        <w:rPr>
          <w:rFonts w:ascii="Arial" w:hAnsi="Arial" w:cs="Arial"/>
          <w:b/>
          <w:lang w:val="en"/>
        </w:rPr>
        <w:t>Staging of Terrien’s Marginal Degeneration</w:t>
      </w:r>
      <w:r w:rsidR="00960976" w:rsidRPr="00B41A8D">
        <w:rPr>
          <w:rFonts w:ascii="Arial" w:hAnsi="Arial" w:cs="Arial"/>
          <w:b/>
          <w:lang w:val="en"/>
        </w:rPr>
        <w:t xml:space="preserve"> by Süveges and Wang</w:t>
      </w:r>
    </w:p>
    <w:sectPr w:rsidR="00960976" w:rsidRPr="00B41A8D" w:rsidSect="00F20C0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5C"/>
    <w:rsid w:val="002E23D8"/>
    <w:rsid w:val="00357790"/>
    <w:rsid w:val="004351E0"/>
    <w:rsid w:val="00656F3D"/>
    <w:rsid w:val="00687451"/>
    <w:rsid w:val="007C0145"/>
    <w:rsid w:val="00850B5C"/>
    <w:rsid w:val="008F2D09"/>
    <w:rsid w:val="00920FA9"/>
    <w:rsid w:val="00960976"/>
    <w:rsid w:val="00A55D39"/>
    <w:rsid w:val="00B41A8D"/>
    <w:rsid w:val="00B640E9"/>
    <w:rsid w:val="00E6765F"/>
    <w:rsid w:val="00E70120"/>
    <w:rsid w:val="00ED0FAB"/>
    <w:rsid w:val="00F20C09"/>
    <w:rsid w:val="00F63A6B"/>
    <w:rsid w:val="00FD4B3B"/>
    <w:rsid w:val="00FE350D"/>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270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5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WW">
    <w:name w:val="Normal (Web)"/>
    <w:basedOn w:val="Normaali"/>
    <w:uiPriority w:val="99"/>
    <w:unhideWhenUsed/>
    <w:rsid w:val="00E6765F"/>
    <w:pPr>
      <w:spacing w:before="100" w:beforeAutospacing="1" w:after="100" w:afterAutospacing="1"/>
    </w:pPr>
    <w:rPr>
      <w:rFonts w:ascii="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72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001">
          <w:marLeft w:val="0"/>
          <w:marRight w:val="0"/>
          <w:marTop w:val="0"/>
          <w:marBottom w:val="0"/>
          <w:divBdr>
            <w:top w:val="none" w:sz="0" w:space="0" w:color="auto"/>
            <w:left w:val="none" w:sz="0" w:space="0" w:color="auto"/>
            <w:bottom w:val="none" w:sz="0" w:space="0" w:color="auto"/>
            <w:right w:val="none" w:sz="0" w:space="0" w:color="auto"/>
          </w:divBdr>
          <w:divsChild>
            <w:div w:id="160774791">
              <w:marLeft w:val="0"/>
              <w:marRight w:val="0"/>
              <w:marTop w:val="0"/>
              <w:marBottom w:val="0"/>
              <w:divBdr>
                <w:top w:val="none" w:sz="0" w:space="0" w:color="auto"/>
                <w:left w:val="none" w:sz="0" w:space="0" w:color="auto"/>
                <w:bottom w:val="none" w:sz="0" w:space="0" w:color="auto"/>
                <w:right w:val="none" w:sz="0" w:space="0" w:color="auto"/>
              </w:divBdr>
              <w:divsChild>
                <w:div w:id="749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28381">
      <w:bodyDiv w:val="1"/>
      <w:marLeft w:val="0"/>
      <w:marRight w:val="0"/>
      <w:marTop w:val="0"/>
      <w:marBottom w:val="0"/>
      <w:divBdr>
        <w:top w:val="none" w:sz="0" w:space="0" w:color="auto"/>
        <w:left w:val="none" w:sz="0" w:space="0" w:color="auto"/>
        <w:bottom w:val="none" w:sz="0" w:space="0" w:color="auto"/>
        <w:right w:val="none" w:sz="0" w:space="0" w:color="auto"/>
      </w:divBdr>
      <w:divsChild>
        <w:div w:id="1247224265">
          <w:marLeft w:val="0"/>
          <w:marRight w:val="0"/>
          <w:marTop w:val="0"/>
          <w:marBottom w:val="0"/>
          <w:divBdr>
            <w:top w:val="none" w:sz="0" w:space="0" w:color="auto"/>
            <w:left w:val="none" w:sz="0" w:space="0" w:color="auto"/>
            <w:bottom w:val="none" w:sz="0" w:space="0" w:color="auto"/>
            <w:right w:val="none" w:sz="0" w:space="0" w:color="auto"/>
          </w:divBdr>
          <w:divsChild>
            <w:div w:id="901674671">
              <w:marLeft w:val="0"/>
              <w:marRight w:val="0"/>
              <w:marTop w:val="0"/>
              <w:marBottom w:val="0"/>
              <w:divBdr>
                <w:top w:val="none" w:sz="0" w:space="0" w:color="auto"/>
                <w:left w:val="none" w:sz="0" w:space="0" w:color="auto"/>
                <w:bottom w:val="none" w:sz="0" w:space="0" w:color="auto"/>
                <w:right w:val="none" w:sz="0" w:space="0" w:color="auto"/>
              </w:divBdr>
              <w:divsChild>
                <w:div w:id="19631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5180">
      <w:bodyDiv w:val="1"/>
      <w:marLeft w:val="0"/>
      <w:marRight w:val="0"/>
      <w:marTop w:val="0"/>
      <w:marBottom w:val="0"/>
      <w:divBdr>
        <w:top w:val="none" w:sz="0" w:space="0" w:color="auto"/>
        <w:left w:val="none" w:sz="0" w:space="0" w:color="auto"/>
        <w:bottom w:val="none" w:sz="0" w:space="0" w:color="auto"/>
        <w:right w:val="none" w:sz="0" w:space="0" w:color="auto"/>
      </w:divBdr>
      <w:divsChild>
        <w:div w:id="1208421165">
          <w:marLeft w:val="0"/>
          <w:marRight w:val="0"/>
          <w:marTop w:val="0"/>
          <w:marBottom w:val="0"/>
          <w:divBdr>
            <w:top w:val="none" w:sz="0" w:space="0" w:color="auto"/>
            <w:left w:val="none" w:sz="0" w:space="0" w:color="auto"/>
            <w:bottom w:val="none" w:sz="0" w:space="0" w:color="auto"/>
            <w:right w:val="none" w:sz="0" w:space="0" w:color="auto"/>
          </w:divBdr>
          <w:divsChild>
            <w:div w:id="1122723319">
              <w:marLeft w:val="0"/>
              <w:marRight w:val="0"/>
              <w:marTop w:val="0"/>
              <w:marBottom w:val="0"/>
              <w:divBdr>
                <w:top w:val="none" w:sz="0" w:space="0" w:color="auto"/>
                <w:left w:val="none" w:sz="0" w:space="0" w:color="auto"/>
                <w:bottom w:val="none" w:sz="0" w:space="0" w:color="auto"/>
                <w:right w:val="none" w:sz="0" w:space="0" w:color="auto"/>
              </w:divBdr>
              <w:divsChild>
                <w:div w:id="1119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5856">
      <w:bodyDiv w:val="1"/>
      <w:marLeft w:val="0"/>
      <w:marRight w:val="0"/>
      <w:marTop w:val="0"/>
      <w:marBottom w:val="0"/>
      <w:divBdr>
        <w:top w:val="none" w:sz="0" w:space="0" w:color="auto"/>
        <w:left w:val="none" w:sz="0" w:space="0" w:color="auto"/>
        <w:bottom w:val="none" w:sz="0" w:space="0" w:color="auto"/>
        <w:right w:val="none" w:sz="0" w:space="0" w:color="auto"/>
      </w:divBdr>
      <w:divsChild>
        <w:div w:id="2005231923">
          <w:marLeft w:val="0"/>
          <w:marRight w:val="0"/>
          <w:marTop w:val="0"/>
          <w:marBottom w:val="0"/>
          <w:divBdr>
            <w:top w:val="none" w:sz="0" w:space="0" w:color="auto"/>
            <w:left w:val="none" w:sz="0" w:space="0" w:color="auto"/>
            <w:bottom w:val="none" w:sz="0" w:space="0" w:color="auto"/>
            <w:right w:val="none" w:sz="0" w:space="0" w:color="auto"/>
          </w:divBdr>
          <w:divsChild>
            <w:div w:id="1274746404">
              <w:marLeft w:val="0"/>
              <w:marRight w:val="0"/>
              <w:marTop w:val="0"/>
              <w:marBottom w:val="0"/>
              <w:divBdr>
                <w:top w:val="none" w:sz="0" w:space="0" w:color="auto"/>
                <w:left w:val="none" w:sz="0" w:space="0" w:color="auto"/>
                <w:bottom w:val="none" w:sz="0" w:space="0" w:color="auto"/>
                <w:right w:val="none" w:sz="0" w:space="0" w:color="auto"/>
              </w:divBdr>
              <w:divsChild>
                <w:div w:id="21470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0176">
      <w:bodyDiv w:val="1"/>
      <w:marLeft w:val="0"/>
      <w:marRight w:val="0"/>
      <w:marTop w:val="0"/>
      <w:marBottom w:val="0"/>
      <w:divBdr>
        <w:top w:val="none" w:sz="0" w:space="0" w:color="auto"/>
        <w:left w:val="none" w:sz="0" w:space="0" w:color="auto"/>
        <w:bottom w:val="none" w:sz="0" w:space="0" w:color="auto"/>
        <w:right w:val="none" w:sz="0" w:space="0" w:color="auto"/>
      </w:divBdr>
      <w:divsChild>
        <w:div w:id="1376737146">
          <w:marLeft w:val="0"/>
          <w:marRight w:val="0"/>
          <w:marTop w:val="0"/>
          <w:marBottom w:val="0"/>
          <w:divBdr>
            <w:top w:val="none" w:sz="0" w:space="0" w:color="auto"/>
            <w:left w:val="none" w:sz="0" w:space="0" w:color="auto"/>
            <w:bottom w:val="none" w:sz="0" w:space="0" w:color="auto"/>
            <w:right w:val="none" w:sz="0" w:space="0" w:color="auto"/>
          </w:divBdr>
          <w:divsChild>
            <w:div w:id="2031448010">
              <w:marLeft w:val="0"/>
              <w:marRight w:val="0"/>
              <w:marTop w:val="0"/>
              <w:marBottom w:val="0"/>
              <w:divBdr>
                <w:top w:val="none" w:sz="0" w:space="0" w:color="auto"/>
                <w:left w:val="none" w:sz="0" w:space="0" w:color="auto"/>
                <w:bottom w:val="none" w:sz="0" w:space="0" w:color="auto"/>
                <w:right w:val="none" w:sz="0" w:space="0" w:color="auto"/>
              </w:divBdr>
              <w:divsChild>
                <w:div w:id="13851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124</Words>
  <Characters>1005</Characters>
  <Application>Microsoft Macintosh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Ruutila</dc:creator>
  <cp:keywords/>
  <dc:description/>
  <cp:lastModifiedBy>Minna Ruutila</cp:lastModifiedBy>
  <cp:revision>11</cp:revision>
  <dcterms:created xsi:type="dcterms:W3CDTF">2017-11-27T09:18:00Z</dcterms:created>
  <dcterms:modified xsi:type="dcterms:W3CDTF">2019-05-17T04:34:00Z</dcterms:modified>
</cp:coreProperties>
</file>