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EB" w:rsidRPr="0068597D" w:rsidRDefault="00EF45EB" w:rsidP="00EF45EB">
      <w:pPr>
        <w:pStyle w:val="Heading2"/>
        <w:spacing w:line="480" w:lineRule="auto"/>
        <w:rPr>
          <w:bCs/>
          <w:lang w:val="en-US"/>
        </w:rPr>
      </w:pPr>
      <w:bookmarkStart w:id="0" w:name="_GoBack"/>
      <w:bookmarkEnd w:id="0"/>
      <w:r w:rsidRPr="0068597D">
        <w:rPr>
          <w:bCs/>
          <w:lang w:val="en-US"/>
        </w:rPr>
        <w:t>Supplemental digital content 1</w:t>
      </w:r>
    </w:p>
    <w:p w:rsidR="00EF45EB" w:rsidRPr="0068597D" w:rsidRDefault="00EF45EB" w:rsidP="00C32A1C">
      <w:pPr>
        <w:pStyle w:val="BodyText1"/>
        <w:rPr>
          <w:b/>
          <w:lang w:val="en-US"/>
        </w:rPr>
      </w:pPr>
      <w:r w:rsidRPr="0068597D">
        <w:rPr>
          <w:b/>
          <w:lang w:val="en-US"/>
        </w:rPr>
        <w:t>The effects of brexpiprazole and aripiprazole on body weight as monotherapy in patients with schizophrenia and as adjunctive treatment in patients with major depressive disorder: an analysis of short- and long-term studies</w:t>
      </w:r>
    </w:p>
    <w:p w:rsidR="00EF45EB" w:rsidRPr="00DF48C7" w:rsidRDefault="00EF45EB" w:rsidP="00C32A1C">
      <w:pPr>
        <w:pStyle w:val="BodyText1"/>
        <w:rPr>
          <w:lang w:val="en-US"/>
        </w:rPr>
      </w:pPr>
      <w:r w:rsidRPr="00DF48C7">
        <w:rPr>
          <w:lang w:val="en-US"/>
        </w:rPr>
        <w:t>Catherine Weiss,</w:t>
      </w:r>
      <w:r w:rsidRPr="00DF48C7">
        <w:rPr>
          <w:vertAlign w:val="superscript"/>
          <w:lang w:val="en-US"/>
        </w:rPr>
        <w:t>1</w:t>
      </w:r>
      <w:r w:rsidRPr="00DF48C7">
        <w:rPr>
          <w:lang w:val="en-US"/>
        </w:rPr>
        <w:t xml:space="preserve"> Emmanuelle Weiller,</w:t>
      </w:r>
      <w:r w:rsidRPr="00DF48C7">
        <w:rPr>
          <w:vertAlign w:val="superscript"/>
          <w:lang w:val="en-US"/>
        </w:rPr>
        <w:t>2</w:t>
      </w:r>
      <w:r w:rsidRPr="00DF48C7">
        <w:rPr>
          <w:lang w:val="en-US"/>
        </w:rPr>
        <w:t xml:space="preserve"> Ross A. Baker,</w:t>
      </w:r>
      <w:r w:rsidRPr="00DF48C7">
        <w:rPr>
          <w:vertAlign w:val="superscript"/>
          <w:lang w:val="en-US"/>
        </w:rPr>
        <w:t>1</w:t>
      </w:r>
      <w:r w:rsidRPr="00DF48C7">
        <w:rPr>
          <w:lang w:val="en-US"/>
        </w:rPr>
        <w:t xml:space="preserve"> Ruth A. Duffy,</w:t>
      </w:r>
      <w:r w:rsidRPr="00DF48C7">
        <w:rPr>
          <w:vertAlign w:val="superscript"/>
          <w:lang w:val="en-US"/>
        </w:rPr>
        <w:t>1</w:t>
      </w:r>
      <w:r w:rsidRPr="00DF48C7">
        <w:rPr>
          <w:lang w:val="en-US"/>
        </w:rPr>
        <w:t xml:space="preserve"> Keva K. Gwin,</w:t>
      </w:r>
      <w:r w:rsidRPr="00DF48C7">
        <w:rPr>
          <w:vertAlign w:val="superscript"/>
          <w:lang w:val="en-US"/>
        </w:rPr>
        <w:t>3</w:t>
      </w:r>
      <w:r w:rsidRPr="00DF48C7">
        <w:rPr>
          <w:lang w:val="en-US"/>
        </w:rPr>
        <w:t xml:space="preserve"> Peter Zhang,</w:t>
      </w:r>
      <w:r w:rsidRPr="00DF48C7">
        <w:rPr>
          <w:vertAlign w:val="superscript"/>
          <w:lang w:val="en-US"/>
        </w:rPr>
        <w:t>1</w:t>
      </w:r>
      <w:r w:rsidRPr="00DF48C7">
        <w:rPr>
          <w:lang w:val="en-US"/>
        </w:rPr>
        <w:t xml:space="preserve"> Robert D. McQuade</w:t>
      </w:r>
      <w:r w:rsidRPr="00DF48C7">
        <w:rPr>
          <w:vertAlign w:val="superscript"/>
          <w:lang w:val="en-US"/>
        </w:rPr>
        <w:t>1</w:t>
      </w:r>
    </w:p>
    <w:p w:rsidR="00EF45EB" w:rsidRPr="00DF48C7" w:rsidRDefault="00EF45EB" w:rsidP="00C32A1C">
      <w:pPr>
        <w:pStyle w:val="BodyText1"/>
        <w:rPr>
          <w:lang w:val="en-US"/>
        </w:rPr>
      </w:pPr>
      <w:r w:rsidRPr="00DF48C7">
        <w:rPr>
          <w:vertAlign w:val="superscript"/>
          <w:lang w:val="en-US"/>
        </w:rPr>
        <w:t>1</w:t>
      </w:r>
      <w:r w:rsidRPr="00DF48C7">
        <w:rPr>
          <w:lang w:val="en-US"/>
        </w:rPr>
        <w:t>Otsuka Pharmaceutical Development &amp; Commercialization Inc., 508 Carnegie Center Drive, 1 University Square Drive, Princeton, NJ 08540, USA.</w:t>
      </w:r>
    </w:p>
    <w:p w:rsidR="00EF45EB" w:rsidRPr="00DF48C7" w:rsidRDefault="00EF45EB" w:rsidP="00C32A1C">
      <w:pPr>
        <w:pStyle w:val="BodyText1"/>
        <w:rPr>
          <w:lang w:val="en-US"/>
        </w:rPr>
      </w:pPr>
      <w:r w:rsidRPr="00DF48C7">
        <w:rPr>
          <w:vertAlign w:val="superscript"/>
          <w:lang w:val="en-US"/>
        </w:rPr>
        <w:t>2</w:t>
      </w:r>
      <w:r w:rsidRPr="00DF48C7">
        <w:rPr>
          <w:lang w:val="en-US"/>
        </w:rPr>
        <w:t>H. Lundbeck A/S, Ottiliavej 9, 2500, Valby, Denmark.</w:t>
      </w:r>
    </w:p>
    <w:p w:rsidR="00EF45EB" w:rsidRPr="00DF48C7" w:rsidRDefault="00EF45EB" w:rsidP="00C32A1C">
      <w:pPr>
        <w:pStyle w:val="BodyText1"/>
        <w:rPr>
          <w:lang w:val="en-US"/>
        </w:rPr>
      </w:pPr>
      <w:r w:rsidRPr="00DF48C7">
        <w:rPr>
          <w:vertAlign w:val="superscript"/>
          <w:lang w:val="en-US"/>
        </w:rPr>
        <w:t>3</w:t>
      </w:r>
      <w:r w:rsidRPr="00DF48C7">
        <w:rPr>
          <w:lang w:val="en-US"/>
        </w:rPr>
        <w:t>Lundbeck LLC, Deerfield, IL 60015, USA.</w:t>
      </w:r>
    </w:p>
    <w:p w:rsidR="00C32A1C" w:rsidRDefault="00C32A1C" w:rsidP="00EF45EB">
      <w:pPr>
        <w:pStyle w:val="BodyText1"/>
        <w:rPr>
          <w:lang w:val="en-US"/>
        </w:rPr>
        <w:sectPr w:rsidR="00C32A1C" w:rsidSect="00C32A1C">
          <w:headerReference w:type="default" r:id="rId8"/>
          <w:footnotePr>
            <w:numRestart w:val="eachSect"/>
          </w:footnotePr>
          <w:pgSz w:w="11907" w:h="16840" w:code="9"/>
          <w:pgMar w:top="1701" w:right="1701" w:bottom="1701" w:left="1701" w:header="510" w:footer="510" w:gutter="0"/>
          <w:cols w:space="720"/>
          <w:docGrid w:linePitch="326"/>
        </w:sectPr>
      </w:pPr>
    </w:p>
    <w:p w:rsidR="00EF45EB" w:rsidRPr="00DF48C7" w:rsidRDefault="00EF45EB" w:rsidP="00EF45EB">
      <w:pPr>
        <w:pStyle w:val="BodyText1"/>
        <w:rPr>
          <w:b/>
          <w:lang w:val="en-US"/>
        </w:rPr>
      </w:pPr>
      <w:r w:rsidRPr="00DF48C7">
        <w:rPr>
          <w:b/>
          <w:lang w:val="en-US"/>
        </w:rPr>
        <w:lastRenderedPageBreak/>
        <w:t>Supplementary Table 1: Schizophrenia studies included in the analysis</w:t>
      </w:r>
    </w:p>
    <w:p w:rsidR="00EF45EB" w:rsidRPr="00DF48C7" w:rsidRDefault="00EF45EB" w:rsidP="00EF45EB">
      <w:pPr>
        <w:pStyle w:val="BodyText1"/>
        <w:rPr>
          <w:lang w:val="en-US"/>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26"/>
        <w:gridCol w:w="11312"/>
      </w:tblGrid>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t>Study</w:t>
            </w:r>
          </w:p>
        </w:tc>
        <w:tc>
          <w:tcPr>
            <w:tcW w:w="4209" w:type="pct"/>
            <w:hideMark/>
          </w:tcPr>
          <w:p w:rsidR="00EF45EB" w:rsidRPr="00DF48C7" w:rsidRDefault="00EF45EB" w:rsidP="009D3D09">
            <w:pPr>
              <w:pStyle w:val="BodyText1"/>
              <w:rPr>
                <w:b/>
                <w:sz w:val="18"/>
                <w:szCs w:val="18"/>
                <w:lang w:val="en-US"/>
              </w:rPr>
            </w:pPr>
            <w:r w:rsidRPr="00DF48C7">
              <w:rPr>
                <w:b/>
                <w:sz w:val="18"/>
                <w:szCs w:val="18"/>
                <w:lang w:val="en-US"/>
              </w:rPr>
              <w:t>Study design and patients</w:t>
            </w:r>
          </w:p>
        </w:tc>
      </w:tr>
      <w:tr w:rsidR="00EF45EB" w:rsidRPr="00DF48C7" w:rsidTr="009D3D09">
        <w:tc>
          <w:tcPr>
            <w:tcW w:w="5000" w:type="pct"/>
            <w:gridSpan w:val="2"/>
            <w:hideMark/>
          </w:tcPr>
          <w:p w:rsidR="00EF45EB" w:rsidRPr="00DF48C7" w:rsidRDefault="00EF45EB" w:rsidP="009D3D09">
            <w:pPr>
              <w:pStyle w:val="BodyText1"/>
              <w:rPr>
                <w:b/>
                <w:sz w:val="18"/>
                <w:szCs w:val="18"/>
                <w:lang w:val="en-US"/>
              </w:rPr>
            </w:pPr>
            <w:r w:rsidRPr="00DF48C7">
              <w:rPr>
                <w:b/>
                <w:sz w:val="18"/>
                <w:szCs w:val="18"/>
                <w:lang w:val="en-US"/>
              </w:rPr>
              <w:t>Brexpiprazole</w:t>
            </w:r>
          </w:p>
        </w:tc>
      </w:tr>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t>Short-term</w:t>
            </w:r>
          </w:p>
        </w:tc>
        <w:tc>
          <w:tcPr>
            <w:tcW w:w="4209" w:type="pct"/>
            <w:hideMark/>
          </w:tcPr>
          <w:p w:rsidR="00EF45EB" w:rsidRPr="00DF48C7" w:rsidRDefault="00EF45EB" w:rsidP="009D3D09">
            <w:pPr>
              <w:pStyle w:val="bulletedlist"/>
              <w:rPr>
                <w:sz w:val="18"/>
                <w:szCs w:val="18"/>
                <w:lang w:val="en-US"/>
              </w:rPr>
            </w:pPr>
            <w:r w:rsidRPr="00DF48C7">
              <w:rPr>
                <w:sz w:val="18"/>
                <w:szCs w:val="18"/>
                <w:lang w:val="en-US"/>
              </w:rPr>
              <w:t>Two 6-week, double-blind, placebo-controlled, fixed-dose studies, in adults with schizophrenia:</w:t>
            </w:r>
            <w:r w:rsidR="0077681B" w:rsidRPr="0077681B">
              <w:rPr>
                <w:sz w:val="18"/>
                <w:szCs w:val="18"/>
                <w:vertAlign w:val="superscript"/>
                <w:lang w:val="en-US"/>
              </w:rPr>
              <w:t>1,2</w:t>
            </w:r>
          </w:p>
          <w:p w:rsidR="00EF45EB" w:rsidRPr="00DF48C7" w:rsidRDefault="00EF45EB" w:rsidP="009D3D09">
            <w:pPr>
              <w:pStyle w:val="bulletedlist"/>
              <w:ind w:left="720"/>
              <w:rPr>
                <w:sz w:val="18"/>
                <w:szCs w:val="18"/>
                <w:lang w:val="en-US"/>
              </w:rPr>
            </w:pPr>
            <w:r w:rsidRPr="00DF48C7">
              <w:rPr>
                <w:sz w:val="18"/>
                <w:szCs w:val="18"/>
                <w:lang w:val="en-US"/>
              </w:rPr>
              <w:t>Vector (Study 331-10-231</w:t>
            </w:r>
            <w:r>
              <w:rPr>
                <w:sz w:val="18"/>
                <w:szCs w:val="18"/>
                <w:lang w:val="en-US"/>
              </w:rPr>
              <w:t>; NCT01396421</w:t>
            </w:r>
            <w:r w:rsidRPr="00DF48C7">
              <w:rPr>
                <w:sz w:val="18"/>
                <w:szCs w:val="18"/>
                <w:lang w:val="en-US"/>
              </w:rPr>
              <w:t xml:space="preserve">): 0.25 mg/day, 2 mg/day, and 4 mg/day </w:t>
            </w:r>
          </w:p>
          <w:p w:rsidR="00EF45EB" w:rsidRPr="00DF48C7" w:rsidRDefault="00EF45EB" w:rsidP="009D3D09">
            <w:pPr>
              <w:pStyle w:val="bulletedlist"/>
              <w:ind w:left="720"/>
              <w:rPr>
                <w:sz w:val="18"/>
                <w:szCs w:val="18"/>
                <w:lang w:val="en-US"/>
              </w:rPr>
            </w:pPr>
            <w:r w:rsidRPr="00DF48C7">
              <w:rPr>
                <w:sz w:val="18"/>
                <w:szCs w:val="18"/>
                <w:lang w:val="en-US"/>
              </w:rPr>
              <w:t>Beacon (Study 331-10-230</w:t>
            </w:r>
            <w:r>
              <w:rPr>
                <w:sz w:val="18"/>
                <w:szCs w:val="18"/>
                <w:lang w:val="en-US"/>
              </w:rPr>
              <w:t>; NCT01393613</w:t>
            </w:r>
            <w:r w:rsidRPr="00DF48C7">
              <w:rPr>
                <w:sz w:val="18"/>
                <w:szCs w:val="18"/>
                <w:lang w:val="en-US"/>
              </w:rPr>
              <w:t>): 1 mg/day, 2 mg/day, and 4 mg/day.</w:t>
            </w:r>
          </w:p>
          <w:p w:rsidR="00EF45EB" w:rsidRPr="00DF48C7" w:rsidRDefault="00EF45EB" w:rsidP="009D3D09">
            <w:pPr>
              <w:pStyle w:val="bulletedlist"/>
              <w:rPr>
                <w:sz w:val="18"/>
                <w:szCs w:val="18"/>
                <w:lang w:val="en-US"/>
              </w:rPr>
            </w:pPr>
            <w:r w:rsidRPr="00DF48C7">
              <w:rPr>
                <w:sz w:val="18"/>
                <w:szCs w:val="18"/>
                <w:lang w:val="en-US"/>
              </w:rPr>
              <w:t xml:space="preserve">Eligible patients were aged 18–65 years, with a DSM-IV-TR diagnosis of schizophrenia (confirmed by the MINI). They were required to have been experiencing an acute exacerbation of psychotic symptoms, and marked deterioration of usual function (BPRS score </w:t>
            </w:r>
            <w:r w:rsidRPr="00DF48C7">
              <w:rPr>
                <w:rFonts w:cstheme="minorHAnsi"/>
                <w:sz w:val="18"/>
                <w:szCs w:val="18"/>
                <w:lang w:val="en-US"/>
              </w:rPr>
              <w:t>≥</w:t>
            </w:r>
            <w:r w:rsidRPr="00DF48C7">
              <w:rPr>
                <w:sz w:val="18"/>
                <w:szCs w:val="18"/>
                <w:lang w:val="en-US"/>
              </w:rPr>
              <w:t xml:space="preserve">40, a score of </w:t>
            </w:r>
            <w:r w:rsidRPr="00DF48C7">
              <w:rPr>
                <w:rFonts w:ascii="Arial" w:hAnsi="Arial" w:cs="Arial"/>
                <w:sz w:val="18"/>
                <w:szCs w:val="18"/>
                <w:lang w:val="en-US"/>
              </w:rPr>
              <w:t>≥</w:t>
            </w:r>
            <w:r w:rsidRPr="00DF48C7">
              <w:rPr>
                <w:sz w:val="18"/>
                <w:szCs w:val="18"/>
                <w:lang w:val="en-US"/>
              </w:rPr>
              <w:t>4 on two or more BPRS items,</w:t>
            </w:r>
            <w:r w:rsidRPr="00DF48C7">
              <w:rPr>
                <w:sz w:val="18"/>
                <w:szCs w:val="18"/>
                <w:vertAlign w:val="superscript"/>
                <w:lang w:val="en-US"/>
              </w:rPr>
              <w:t>a</w:t>
            </w:r>
            <w:r w:rsidRPr="00DF48C7">
              <w:rPr>
                <w:sz w:val="18"/>
                <w:szCs w:val="18"/>
                <w:lang w:val="en-US"/>
              </w:rPr>
              <w:t xml:space="preserve"> and a CGI-S score </w:t>
            </w:r>
            <w:r w:rsidRPr="00DF48C7">
              <w:rPr>
                <w:rFonts w:ascii="Arial" w:hAnsi="Arial" w:cs="Arial"/>
                <w:sz w:val="18"/>
                <w:szCs w:val="18"/>
                <w:lang w:val="en-US"/>
              </w:rPr>
              <w:t>≥</w:t>
            </w:r>
            <w:r w:rsidRPr="00DF48C7">
              <w:rPr>
                <w:sz w:val="18"/>
                <w:szCs w:val="18"/>
                <w:lang w:val="en-US"/>
              </w:rPr>
              <w:t>4), and would have benefitted from hospitalization or continued hospitalization for treatment.</w:t>
            </w:r>
            <w:r w:rsidR="00EB60DE" w:rsidRPr="00EB60DE">
              <w:rPr>
                <w:sz w:val="18"/>
                <w:szCs w:val="18"/>
                <w:vertAlign w:val="superscript"/>
                <w:lang w:val="en-US"/>
              </w:rPr>
              <w:t>1,2</w:t>
            </w:r>
          </w:p>
        </w:tc>
      </w:tr>
      <w:tr w:rsidR="00EF45EB" w:rsidRPr="00DF48C7" w:rsidTr="009D3D09">
        <w:trPr>
          <w:trHeight w:val="1146"/>
        </w:trPr>
        <w:tc>
          <w:tcPr>
            <w:tcW w:w="791" w:type="pct"/>
            <w:hideMark/>
          </w:tcPr>
          <w:p w:rsidR="00EF45EB" w:rsidRPr="00DF48C7" w:rsidRDefault="00EF45EB" w:rsidP="009D3D09">
            <w:pPr>
              <w:pStyle w:val="BodyText1"/>
              <w:rPr>
                <w:b/>
                <w:sz w:val="18"/>
                <w:lang w:val="en-US"/>
              </w:rPr>
            </w:pPr>
            <w:r w:rsidRPr="00DF48C7">
              <w:rPr>
                <w:b/>
                <w:sz w:val="18"/>
                <w:szCs w:val="18"/>
                <w:lang w:val="en-US"/>
              </w:rPr>
              <w:t>Long-term</w:t>
            </w:r>
          </w:p>
        </w:tc>
        <w:tc>
          <w:tcPr>
            <w:tcW w:w="4209" w:type="pct"/>
            <w:hideMark/>
          </w:tcPr>
          <w:p w:rsidR="004C1B6C" w:rsidRPr="004B06E7" w:rsidRDefault="00EF45EB" w:rsidP="004B06E7">
            <w:pPr>
              <w:pStyle w:val="bulletedlist"/>
              <w:rPr>
                <w:sz w:val="18"/>
                <w:szCs w:val="18"/>
                <w:lang w:val="en-US"/>
              </w:rPr>
            </w:pPr>
            <w:r w:rsidRPr="00DF48C7">
              <w:rPr>
                <w:sz w:val="18"/>
                <w:szCs w:val="18"/>
                <w:lang w:val="en-US"/>
              </w:rPr>
              <w:t>Zenith (Study 331-10-237; NCT01397786):</w:t>
            </w:r>
            <w:r w:rsidRPr="00DF48C7">
              <w:rPr>
                <w:sz w:val="18"/>
                <w:szCs w:val="18"/>
                <w:vertAlign w:val="superscript"/>
                <w:lang w:val="en-US"/>
              </w:rPr>
              <w:t>b</w:t>
            </w:r>
            <w:r w:rsidRPr="00DF48C7">
              <w:rPr>
                <w:sz w:val="18"/>
                <w:szCs w:val="18"/>
                <w:lang w:val="en-US"/>
              </w:rPr>
              <w:t xml:space="preserve"> a 52-week, open-label, flexible-dose (1–4 mg/day), extension study for patients completing one of the two short-term, pivotal studies (Vector or Beacon), or the long-term study (Equator), who were willing to discontinue all prohibited psychotropic medications prior to, and during, the study period; </w:t>
            </w:r>
            <w:r w:rsidRPr="00DF48C7">
              <w:rPr>
                <w:i/>
                <w:sz w:val="18"/>
                <w:szCs w:val="18"/>
                <w:lang w:val="en-US"/>
              </w:rPr>
              <w:t>de novo</w:t>
            </w:r>
            <w:r w:rsidRPr="00DF48C7">
              <w:rPr>
                <w:sz w:val="18"/>
                <w:szCs w:val="18"/>
                <w:lang w:val="en-US"/>
              </w:rPr>
              <w:t xml:space="preserve"> patients were also included</w:t>
            </w:r>
            <w:bookmarkStart w:id="1" w:name="_Hlk499117804"/>
            <w:r w:rsidRPr="00DF48C7">
              <w:rPr>
                <w:sz w:val="18"/>
                <w:szCs w:val="18"/>
                <w:lang w:val="en-US"/>
              </w:rPr>
              <w:t>.</w:t>
            </w:r>
            <w:bookmarkEnd w:id="1"/>
            <w:r w:rsidR="00632978" w:rsidRPr="00632978">
              <w:rPr>
                <w:sz w:val="18"/>
                <w:szCs w:val="18"/>
                <w:vertAlign w:val="superscript"/>
                <w:lang w:val="en-US"/>
              </w:rPr>
              <w:t>3</w:t>
            </w:r>
          </w:p>
        </w:tc>
      </w:tr>
      <w:tr w:rsidR="00EF45EB" w:rsidRPr="00DF48C7" w:rsidTr="009D3D09">
        <w:tc>
          <w:tcPr>
            <w:tcW w:w="5000" w:type="pct"/>
            <w:gridSpan w:val="2"/>
            <w:hideMark/>
          </w:tcPr>
          <w:p w:rsidR="00EF45EB" w:rsidRPr="00DF48C7" w:rsidRDefault="00EF45EB" w:rsidP="009D3D09">
            <w:pPr>
              <w:pStyle w:val="BodyText1"/>
              <w:rPr>
                <w:b/>
                <w:sz w:val="18"/>
                <w:szCs w:val="18"/>
                <w:lang w:val="en-US"/>
              </w:rPr>
            </w:pPr>
            <w:r w:rsidRPr="00DF48C7">
              <w:rPr>
                <w:b/>
                <w:sz w:val="18"/>
                <w:szCs w:val="18"/>
                <w:lang w:val="en-US"/>
              </w:rPr>
              <w:t>Aripiprazole</w:t>
            </w:r>
          </w:p>
        </w:tc>
      </w:tr>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t>Short-term</w:t>
            </w:r>
          </w:p>
        </w:tc>
        <w:tc>
          <w:tcPr>
            <w:tcW w:w="4209" w:type="pct"/>
            <w:hideMark/>
          </w:tcPr>
          <w:p w:rsidR="00EF45EB" w:rsidRPr="00DF48C7" w:rsidRDefault="00EF45EB" w:rsidP="009D3D09">
            <w:pPr>
              <w:pStyle w:val="bulletedlist"/>
              <w:rPr>
                <w:sz w:val="18"/>
                <w:szCs w:val="18"/>
                <w:lang w:val="en-US"/>
              </w:rPr>
            </w:pPr>
            <w:r w:rsidRPr="00DF48C7">
              <w:rPr>
                <w:sz w:val="18"/>
                <w:szCs w:val="18"/>
                <w:lang w:val="en-US"/>
              </w:rPr>
              <w:t>Three 4/6-week, double-blind, placebo-controlled studies, in adults with schizophrenia:</w:t>
            </w:r>
            <w:r w:rsidR="00A720C6">
              <w:rPr>
                <w:sz w:val="18"/>
                <w:szCs w:val="18"/>
                <w:vertAlign w:val="superscript"/>
                <w:lang w:val="en-US"/>
              </w:rPr>
              <w:t>4</w:t>
            </w:r>
            <w:r w:rsidR="0036474E" w:rsidRPr="0036474E">
              <w:rPr>
                <w:sz w:val="18"/>
                <w:szCs w:val="18"/>
                <w:vertAlign w:val="superscript"/>
                <w:lang w:val="en-US"/>
              </w:rPr>
              <w:t>-</w:t>
            </w:r>
            <w:r w:rsidR="00A720C6">
              <w:rPr>
                <w:sz w:val="18"/>
                <w:szCs w:val="18"/>
                <w:vertAlign w:val="superscript"/>
                <w:lang w:val="en-US"/>
              </w:rPr>
              <w:t>6</w:t>
            </w:r>
          </w:p>
          <w:p w:rsidR="00EF45EB" w:rsidRPr="00DF48C7" w:rsidRDefault="00EF45EB" w:rsidP="009D3D09">
            <w:pPr>
              <w:pStyle w:val="bulletedlist"/>
              <w:ind w:left="720"/>
              <w:rPr>
                <w:sz w:val="18"/>
                <w:szCs w:val="18"/>
                <w:lang w:val="en-US"/>
              </w:rPr>
            </w:pPr>
            <w:r w:rsidRPr="00DF48C7">
              <w:rPr>
                <w:sz w:val="18"/>
                <w:szCs w:val="18"/>
                <w:lang w:val="en-US"/>
              </w:rPr>
              <w:t xml:space="preserve">Kane </w:t>
            </w:r>
            <w:r w:rsidRPr="00DF48C7">
              <w:rPr>
                <w:i/>
                <w:sz w:val="18"/>
                <w:szCs w:val="18"/>
                <w:lang w:val="en-US"/>
              </w:rPr>
              <w:t>et al</w:t>
            </w:r>
            <w:r w:rsidRPr="00DF48C7">
              <w:rPr>
                <w:sz w:val="18"/>
                <w:szCs w:val="18"/>
                <w:lang w:val="en-US"/>
              </w:rPr>
              <w:t>., (2002) (4 weeks): aripiprazole 15 mg/day and 30 mg/day; haloperidol 10 mg/day (active control)</w:t>
            </w:r>
          </w:p>
          <w:p w:rsidR="00EF45EB" w:rsidRPr="00DF48C7" w:rsidRDefault="00EF45EB" w:rsidP="009D3D09">
            <w:pPr>
              <w:pStyle w:val="bulletedlist"/>
              <w:ind w:left="720"/>
              <w:rPr>
                <w:sz w:val="18"/>
                <w:szCs w:val="18"/>
                <w:lang w:val="en-US"/>
              </w:rPr>
            </w:pPr>
            <w:r w:rsidRPr="00DF48C7">
              <w:rPr>
                <w:sz w:val="18"/>
                <w:szCs w:val="18"/>
                <w:lang w:val="en-US"/>
              </w:rPr>
              <w:t xml:space="preserve">Potkin </w:t>
            </w:r>
            <w:r w:rsidRPr="00DF48C7">
              <w:rPr>
                <w:i/>
                <w:sz w:val="18"/>
                <w:szCs w:val="18"/>
                <w:lang w:val="en-US"/>
              </w:rPr>
              <w:t>et al</w:t>
            </w:r>
            <w:r w:rsidRPr="00DF48C7">
              <w:rPr>
                <w:sz w:val="18"/>
                <w:szCs w:val="18"/>
                <w:lang w:val="en-US"/>
              </w:rPr>
              <w:t>., (2003) (4 weeks): aripiprazole 20 mg/day and 30 mg/day; risperidone 6 mg/day (active control)</w:t>
            </w:r>
          </w:p>
          <w:p w:rsidR="00EF45EB" w:rsidRPr="00DF48C7" w:rsidRDefault="00EF45EB" w:rsidP="009D3D09">
            <w:pPr>
              <w:pStyle w:val="bulletedlist"/>
              <w:ind w:left="720"/>
              <w:rPr>
                <w:sz w:val="18"/>
                <w:szCs w:val="18"/>
                <w:lang w:val="en-US"/>
              </w:rPr>
            </w:pPr>
            <w:r w:rsidRPr="00DF48C7">
              <w:rPr>
                <w:sz w:val="18"/>
                <w:szCs w:val="18"/>
                <w:lang w:val="en-US"/>
              </w:rPr>
              <w:t xml:space="preserve">McEvoy </w:t>
            </w:r>
            <w:r w:rsidRPr="00DF48C7">
              <w:rPr>
                <w:i/>
                <w:sz w:val="18"/>
                <w:szCs w:val="18"/>
                <w:lang w:val="en-US"/>
              </w:rPr>
              <w:t>et al</w:t>
            </w:r>
            <w:r w:rsidRPr="00DF48C7">
              <w:rPr>
                <w:sz w:val="18"/>
                <w:szCs w:val="18"/>
                <w:lang w:val="en-US"/>
              </w:rPr>
              <w:t>., (2007) (6 weeks): aripiprazole 10 mg/day, 15 mg/day and 20 mg/day</w:t>
            </w:r>
            <w:r w:rsidR="00D753B8">
              <w:rPr>
                <w:sz w:val="18"/>
                <w:szCs w:val="18"/>
                <w:lang w:val="en-US"/>
              </w:rPr>
              <w:t>.</w:t>
            </w:r>
          </w:p>
          <w:p w:rsidR="00EF45EB" w:rsidRPr="00DF48C7" w:rsidRDefault="00EF45EB" w:rsidP="009D3D09">
            <w:pPr>
              <w:pStyle w:val="bulletedlist"/>
              <w:rPr>
                <w:sz w:val="18"/>
                <w:szCs w:val="18"/>
                <w:lang w:val="en-US"/>
              </w:rPr>
            </w:pPr>
            <w:r w:rsidRPr="00DF48C7">
              <w:rPr>
                <w:sz w:val="18"/>
                <w:szCs w:val="18"/>
                <w:lang w:val="en-US"/>
              </w:rPr>
              <w:t>Eligible patients included</w:t>
            </w:r>
            <w:r w:rsidRPr="00DF48C7">
              <w:rPr>
                <w:rFonts w:eastAsia="Calibri"/>
                <w:sz w:val="18"/>
                <w:szCs w:val="18"/>
                <w:lang w:val="en-US"/>
              </w:rPr>
              <w:t xml:space="preserve"> men and non-lactating, non-pregnant women, aged 18–65 years (</w:t>
            </w:r>
            <w:r w:rsidRPr="004D016D">
              <w:rPr>
                <w:rFonts w:eastAsia="Calibri"/>
                <w:sz w:val="18"/>
                <w:szCs w:val="18"/>
                <w:lang w:val="en-US"/>
              </w:rPr>
              <w:t xml:space="preserve">McEvoy </w:t>
            </w:r>
            <w:r w:rsidRPr="004D016D">
              <w:rPr>
                <w:rFonts w:eastAsia="Calibri"/>
                <w:i/>
                <w:sz w:val="18"/>
                <w:szCs w:val="18"/>
                <w:lang w:val="en-US"/>
              </w:rPr>
              <w:t>et al</w:t>
            </w:r>
            <w:r w:rsidRPr="004D016D">
              <w:rPr>
                <w:rFonts w:eastAsia="Calibri"/>
                <w:sz w:val="18"/>
                <w:szCs w:val="18"/>
                <w:lang w:val="en-US"/>
              </w:rPr>
              <w:t>., [2007]:</w:t>
            </w:r>
            <w:r w:rsidRPr="00DF48C7">
              <w:rPr>
                <w:rFonts w:eastAsia="Calibri"/>
                <w:sz w:val="18"/>
                <w:szCs w:val="18"/>
                <w:lang w:val="en-US"/>
              </w:rPr>
              <w:t xml:space="preserve"> ≥18 years), who had a DSM-IV diagnosis of schizophrenia or schizoaffective disorder (</w:t>
            </w:r>
            <w:r w:rsidRPr="004D016D">
              <w:rPr>
                <w:rFonts w:eastAsia="Calibri"/>
                <w:sz w:val="18"/>
                <w:szCs w:val="18"/>
                <w:lang w:val="en-US"/>
              </w:rPr>
              <w:t xml:space="preserve">McEvoy </w:t>
            </w:r>
            <w:r w:rsidRPr="004D016D">
              <w:rPr>
                <w:rFonts w:eastAsia="Calibri"/>
                <w:i/>
                <w:sz w:val="18"/>
                <w:szCs w:val="18"/>
                <w:lang w:val="en-US"/>
              </w:rPr>
              <w:t>et al</w:t>
            </w:r>
            <w:r w:rsidRPr="004D016D">
              <w:rPr>
                <w:rFonts w:eastAsia="Calibri"/>
                <w:sz w:val="18"/>
                <w:szCs w:val="18"/>
                <w:lang w:val="en-US"/>
              </w:rPr>
              <w:t>., [2007]</w:t>
            </w:r>
            <w:r w:rsidRPr="00DF48C7">
              <w:rPr>
                <w:rFonts w:eastAsia="Calibri"/>
                <w:sz w:val="18"/>
                <w:szCs w:val="18"/>
                <w:lang w:val="en-US"/>
              </w:rPr>
              <w:t xml:space="preserve"> did not include schizoaffective patients) and who were hospitalized due to an acute relapse.</w:t>
            </w:r>
            <w:r w:rsidR="00A720C6">
              <w:rPr>
                <w:rFonts w:eastAsia="Calibri"/>
                <w:sz w:val="18"/>
                <w:szCs w:val="18"/>
                <w:vertAlign w:val="superscript"/>
                <w:lang w:val="en-US"/>
              </w:rPr>
              <w:t>4</w:t>
            </w:r>
            <w:r w:rsidR="00C744A1" w:rsidRPr="00C744A1">
              <w:rPr>
                <w:rFonts w:eastAsia="Calibri"/>
                <w:sz w:val="18"/>
                <w:szCs w:val="18"/>
                <w:vertAlign w:val="superscript"/>
                <w:lang w:val="en-US"/>
              </w:rPr>
              <w:t>-</w:t>
            </w:r>
            <w:r w:rsidR="00A720C6">
              <w:rPr>
                <w:rFonts w:eastAsia="Calibri"/>
                <w:sz w:val="18"/>
                <w:szCs w:val="18"/>
                <w:vertAlign w:val="superscript"/>
                <w:lang w:val="en-US"/>
              </w:rPr>
              <w:t>6</w:t>
            </w:r>
            <w:r w:rsidR="00A720C6" w:rsidRPr="00DF48C7">
              <w:rPr>
                <w:sz w:val="18"/>
                <w:szCs w:val="18"/>
                <w:lang w:val="en-US"/>
              </w:rPr>
              <w:t xml:space="preserve"> </w:t>
            </w:r>
            <w:r w:rsidRPr="00DF48C7">
              <w:rPr>
                <w:rFonts w:eastAsia="Calibri"/>
                <w:sz w:val="18"/>
                <w:szCs w:val="18"/>
                <w:lang w:val="en-US"/>
              </w:rPr>
              <w:t>Eligible patients were also required to have</w:t>
            </w:r>
            <w:r w:rsidRPr="00DF48C7">
              <w:rPr>
                <w:sz w:val="18"/>
                <w:szCs w:val="18"/>
                <w:lang w:val="en-US"/>
              </w:rPr>
              <w:t>:</w:t>
            </w:r>
            <w:r w:rsidR="00A720C6">
              <w:rPr>
                <w:rFonts w:eastAsia="Calibri"/>
                <w:sz w:val="18"/>
                <w:szCs w:val="18"/>
                <w:vertAlign w:val="superscript"/>
                <w:lang w:val="en-US"/>
              </w:rPr>
              <w:t>4</w:t>
            </w:r>
            <w:r w:rsidR="00CC6C53" w:rsidRPr="00C744A1">
              <w:rPr>
                <w:rFonts w:eastAsia="Calibri"/>
                <w:sz w:val="18"/>
                <w:szCs w:val="18"/>
                <w:vertAlign w:val="superscript"/>
                <w:lang w:val="en-US"/>
              </w:rPr>
              <w:t>-</w:t>
            </w:r>
            <w:r w:rsidR="00A720C6">
              <w:rPr>
                <w:rFonts w:eastAsia="Calibri"/>
                <w:sz w:val="18"/>
                <w:szCs w:val="18"/>
                <w:vertAlign w:val="superscript"/>
                <w:lang w:val="en-US"/>
              </w:rPr>
              <w:t>6</w:t>
            </w:r>
          </w:p>
          <w:p w:rsidR="00EF45EB" w:rsidRPr="00DF48C7" w:rsidRDefault="00EF45EB" w:rsidP="009D3D09">
            <w:pPr>
              <w:pStyle w:val="bulletedlist"/>
              <w:ind w:left="720"/>
              <w:rPr>
                <w:sz w:val="18"/>
                <w:szCs w:val="18"/>
                <w:lang w:val="en-US"/>
              </w:rPr>
            </w:pPr>
            <w:r w:rsidRPr="00DF48C7">
              <w:rPr>
                <w:rFonts w:eastAsia="Calibri"/>
                <w:sz w:val="18"/>
                <w:szCs w:val="18"/>
                <w:lang w:val="en-US"/>
              </w:rPr>
              <w:t>previously shown an improvement with an antipsychotic</w:t>
            </w:r>
          </w:p>
          <w:p w:rsidR="00EF45EB" w:rsidRPr="00DF48C7" w:rsidRDefault="00EF45EB" w:rsidP="009D3D09">
            <w:pPr>
              <w:pStyle w:val="bulletedlist"/>
              <w:ind w:left="720"/>
              <w:rPr>
                <w:sz w:val="18"/>
                <w:szCs w:val="18"/>
                <w:lang w:val="en-US"/>
              </w:rPr>
            </w:pPr>
            <w:r w:rsidRPr="00DF48C7">
              <w:rPr>
                <w:rFonts w:eastAsia="Calibri"/>
                <w:sz w:val="18"/>
                <w:szCs w:val="18"/>
                <w:lang w:val="en-US"/>
              </w:rPr>
              <w:t>been an outpatient for at least one 3-month period during the last year</w:t>
            </w:r>
          </w:p>
          <w:p w:rsidR="00EF45EB" w:rsidRPr="00DF48C7" w:rsidRDefault="00EF45EB" w:rsidP="009D3D09">
            <w:pPr>
              <w:pStyle w:val="bulletedlist"/>
              <w:ind w:left="720"/>
              <w:rPr>
                <w:sz w:val="18"/>
                <w:szCs w:val="18"/>
                <w:lang w:val="en-US"/>
              </w:rPr>
            </w:pPr>
            <w:r w:rsidRPr="00DF48C7">
              <w:rPr>
                <w:rFonts w:eastAsia="Calibri"/>
                <w:sz w:val="18"/>
                <w:szCs w:val="18"/>
                <w:lang w:val="en-US"/>
              </w:rPr>
              <w:t xml:space="preserve">a PANSS Total score </w:t>
            </w:r>
            <w:r w:rsidRPr="00DF48C7">
              <w:rPr>
                <w:rFonts w:eastAsia="Calibri" w:cstheme="minorHAnsi"/>
                <w:sz w:val="18"/>
                <w:szCs w:val="18"/>
                <w:lang w:val="en-US"/>
              </w:rPr>
              <w:t>≥</w:t>
            </w:r>
            <w:r w:rsidRPr="00DF48C7">
              <w:rPr>
                <w:rFonts w:eastAsia="Calibri"/>
                <w:sz w:val="18"/>
                <w:szCs w:val="18"/>
                <w:lang w:val="en-US"/>
              </w:rPr>
              <w:t xml:space="preserve">60, with a score </w:t>
            </w:r>
            <w:r w:rsidRPr="00DF48C7">
              <w:rPr>
                <w:rFonts w:eastAsia="Calibri" w:cstheme="minorHAnsi"/>
                <w:sz w:val="18"/>
                <w:szCs w:val="18"/>
                <w:lang w:val="en-US"/>
              </w:rPr>
              <w:t>≥</w:t>
            </w:r>
            <w:r w:rsidRPr="00DF48C7">
              <w:rPr>
                <w:rFonts w:eastAsia="Calibri"/>
                <w:sz w:val="18"/>
                <w:szCs w:val="18"/>
                <w:lang w:val="en-US"/>
              </w:rPr>
              <w:t>4 on at least two items of the psychotic items subscale.</w:t>
            </w:r>
            <w:r w:rsidRPr="00DF48C7">
              <w:rPr>
                <w:rFonts w:eastAsia="Calibri"/>
                <w:sz w:val="18"/>
                <w:szCs w:val="18"/>
                <w:vertAlign w:val="superscript"/>
                <w:lang w:val="en-US"/>
              </w:rPr>
              <w:t>c</w:t>
            </w:r>
          </w:p>
        </w:tc>
      </w:tr>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lastRenderedPageBreak/>
              <w:t>Long-term</w:t>
            </w:r>
          </w:p>
        </w:tc>
        <w:tc>
          <w:tcPr>
            <w:tcW w:w="4209" w:type="pct"/>
            <w:hideMark/>
          </w:tcPr>
          <w:p w:rsidR="00EF45EB" w:rsidRPr="00DF48C7" w:rsidRDefault="00EF45EB" w:rsidP="009D3D09">
            <w:pPr>
              <w:pStyle w:val="bulletedlist"/>
              <w:rPr>
                <w:rFonts w:eastAsia="Calibri"/>
                <w:sz w:val="18"/>
                <w:szCs w:val="18"/>
                <w:lang w:val="en-US"/>
              </w:rPr>
            </w:pPr>
            <w:r w:rsidRPr="00DF48C7">
              <w:rPr>
                <w:sz w:val="18"/>
                <w:szCs w:val="18"/>
                <w:lang w:val="en-US"/>
              </w:rPr>
              <w:t xml:space="preserve">Kasper </w:t>
            </w:r>
            <w:r w:rsidRPr="00DF48C7">
              <w:rPr>
                <w:i/>
                <w:sz w:val="18"/>
                <w:szCs w:val="18"/>
                <w:lang w:val="en-US"/>
              </w:rPr>
              <w:t>et al</w:t>
            </w:r>
            <w:r w:rsidRPr="00DF48C7">
              <w:rPr>
                <w:sz w:val="18"/>
                <w:szCs w:val="18"/>
                <w:lang w:val="en-US"/>
              </w:rPr>
              <w:t xml:space="preserve">., (2003): two, </w:t>
            </w:r>
            <w:r w:rsidRPr="00DF48C7">
              <w:rPr>
                <w:rFonts w:eastAsia="Calibri"/>
                <w:sz w:val="18"/>
                <w:szCs w:val="18"/>
                <w:lang w:val="en-US"/>
              </w:rPr>
              <w:t xml:space="preserve">52-week, double-blind, </w:t>
            </w:r>
            <w:r w:rsidRPr="00DF48C7">
              <w:rPr>
                <w:sz w:val="18"/>
                <w:szCs w:val="18"/>
                <w:lang w:val="en-US"/>
              </w:rPr>
              <w:t xml:space="preserve">fixed-dose (aripiprazole 30 mg/day; haloperidol 10 mg/day), </w:t>
            </w:r>
            <w:r w:rsidRPr="00DF48C7">
              <w:rPr>
                <w:rFonts w:eastAsia="Calibri"/>
                <w:sz w:val="18"/>
                <w:szCs w:val="18"/>
                <w:lang w:val="en-US"/>
              </w:rPr>
              <w:t xml:space="preserve">haloperidol-controlled </w:t>
            </w:r>
            <w:r w:rsidRPr="00DF48C7">
              <w:rPr>
                <w:sz w:val="18"/>
                <w:szCs w:val="18"/>
                <w:lang w:val="en-US"/>
              </w:rPr>
              <w:t>maintenance studies.</w:t>
            </w:r>
            <w:r w:rsidR="00A720C6">
              <w:rPr>
                <w:sz w:val="18"/>
                <w:szCs w:val="18"/>
                <w:vertAlign w:val="superscript"/>
                <w:lang w:val="en-US"/>
              </w:rPr>
              <w:t>7</w:t>
            </w:r>
          </w:p>
          <w:p w:rsidR="00EF45EB" w:rsidRPr="00DF48C7" w:rsidRDefault="00EF45EB" w:rsidP="009D3D09">
            <w:pPr>
              <w:pStyle w:val="bulletedlist"/>
              <w:rPr>
                <w:sz w:val="18"/>
                <w:szCs w:val="18"/>
                <w:lang w:val="en-US"/>
              </w:rPr>
            </w:pPr>
            <w:r w:rsidRPr="00DF48C7">
              <w:rPr>
                <w:rFonts w:eastAsia="Calibri"/>
                <w:sz w:val="18"/>
                <w:szCs w:val="18"/>
                <w:lang w:val="en-US"/>
              </w:rPr>
              <w:t xml:space="preserve">The studies were prospectively designed for pooled data evaluation, </w:t>
            </w:r>
            <w:r w:rsidRPr="00DF48C7">
              <w:rPr>
                <w:sz w:val="18"/>
                <w:szCs w:val="18"/>
                <w:lang w:val="en-US"/>
              </w:rPr>
              <w:t>enrolling patients who had experienced an acute relapse.</w:t>
            </w:r>
            <w:r w:rsidR="00A720C6">
              <w:rPr>
                <w:sz w:val="18"/>
                <w:szCs w:val="18"/>
                <w:vertAlign w:val="superscript"/>
                <w:lang w:val="en-US"/>
              </w:rPr>
              <w:t>7</w:t>
            </w:r>
            <w:r w:rsidRPr="00DF48C7">
              <w:rPr>
                <w:sz w:val="18"/>
                <w:szCs w:val="18"/>
                <w:lang w:val="en-US"/>
              </w:rPr>
              <w:t xml:space="preserve"> The i</w:t>
            </w:r>
            <w:r w:rsidRPr="00DF48C7">
              <w:rPr>
                <w:rFonts w:eastAsia="Calibri"/>
                <w:sz w:val="18"/>
                <w:szCs w:val="18"/>
                <w:lang w:val="en-US"/>
              </w:rPr>
              <w:t>nclusion criteria were the same as those used in the short-term studies.</w:t>
            </w:r>
            <w:r w:rsidR="00A720C6">
              <w:rPr>
                <w:rFonts w:eastAsia="Calibri"/>
                <w:sz w:val="18"/>
                <w:szCs w:val="18"/>
                <w:vertAlign w:val="superscript"/>
                <w:lang w:val="en-US"/>
              </w:rPr>
              <w:t>4</w:t>
            </w:r>
            <w:r w:rsidR="00612735" w:rsidRPr="00612735">
              <w:rPr>
                <w:rFonts w:eastAsia="Calibri"/>
                <w:sz w:val="18"/>
                <w:szCs w:val="18"/>
                <w:vertAlign w:val="superscript"/>
                <w:lang w:val="en-US"/>
              </w:rPr>
              <w:t>-</w:t>
            </w:r>
            <w:r w:rsidR="00A720C6">
              <w:rPr>
                <w:rFonts w:eastAsia="Calibri"/>
                <w:sz w:val="18"/>
                <w:szCs w:val="18"/>
                <w:vertAlign w:val="superscript"/>
                <w:lang w:val="en-US"/>
              </w:rPr>
              <w:t>7</w:t>
            </w:r>
          </w:p>
        </w:tc>
      </w:tr>
    </w:tbl>
    <w:p w:rsidR="00EF45EB" w:rsidRPr="00DF48C7" w:rsidRDefault="00EF45EB" w:rsidP="00EF45EB">
      <w:pPr>
        <w:pStyle w:val="BodyText1"/>
        <w:rPr>
          <w:sz w:val="18"/>
          <w:szCs w:val="18"/>
          <w:lang w:val="en-US"/>
        </w:rPr>
      </w:pPr>
      <w:r w:rsidRPr="00DF48C7">
        <w:rPr>
          <w:sz w:val="18"/>
          <w:szCs w:val="18"/>
          <w:vertAlign w:val="superscript"/>
          <w:lang w:val="en-US"/>
        </w:rPr>
        <w:t>a</w:t>
      </w:r>
      <w:r w:rsidRPr="00DF48C7">
        <w:rPr>
          <w:sz w:val="18"/>
          <w:szCs w:val="18"/>
          <w:lang w:val="en-US"/>
        </w:rPr>
        <w:t>Hallucinatory behavior</w:t>
      </w:r>
      <w:r w:rsidRPr="00DF48C7">
        <w:rPr>
          <w:noProof/>
          <w:sz w:val="18"/>
          <w:szCs w:val="18"/>
          <w:lang w:val="en-US"/>
        </w:rPr>
        <w:t>, unusual thought content, conceptual disorganization, and suspiciousness.</w:t>
      </w:r>
      <w:r w:rsidRPr="00DF48C7">
        <w:rPr>
          <w:noProof/>
          <w:sz w:val="18"/>
          <w:szCs w:val="18"/>
          <w:lang w:val="en-US"/>
        </w:rPr>
        <w:br/>
      </w:r>
      <w:r w:rsidRPr="00DF48C7">
        <w:rPr>
          <w:sz w:val="18"/>
          <w:szCs w:val="18"/>
          <w:vertAlign w:val="superscript"/>
          <w:lang w:val="en-US"/>
        </w:rPr>
        <w:t>b</w:t>
      </w:r>
      <w:r w:rsidRPr="00DF48C7">
        <w:rPr>
          <w:sz w:val="18"/>
          <w:szCs w:val="18"/>
          <w:lang w:val="en-US"/>
        </w:rPr>
        <w:t>The study duration was amended to 26 weeks owing to a sufficient number of patients exposed for &gt;52 weeks.</w:t>
      </w:r>
      <w:r w:rsidR="00A720C6">
        <w:rPr>
          <w:sz w:val="18"/>
          <w:szCs w:val="18"/>
          <w:vertAlign w:val="superscript"/>
          <w:lang w:val="en-US"/>
        </w:rPr>
        <w:t>3</w:t>
      </w:r>
      <w:r w:rsidRPr="00DF48C7">
        <w:rPr>
          <w:sz w:val="18"/>
          <w:szCs w:val="18"/>
          <w:lang w:val="en-US"/>
        </w:rPr>
        <w:br/>
      </w:r>
      <w:r w:rsidRPr="00DF48C7">
        <w:rPr>
          <w:noProof/>
          <w:sz w:val="18"/>
          <w:szCs w:val="18"/>
          <w:vertAlign w:val="superscript"/>
          <w:lang w:val="en-US"/>
        </w:rPr>
        <w:t>c</w:t>
      </w:r>
      <w:r w:rsidRPr="00DF48C7">
        <w:rPr>
          <w:sz w:val="18"/>
          <w:szCs w:val="18"/>
          <w:lang w:val="en-US"/>
        </w:rPr>
        <w:t>Hallucination</w:t>
      </w:r>
      <w:r w:rsidRPr="00DF48C7">
        <w:rPr>
          <w:noProof/>
          <w:sz w:val="18"/>
          <w:szCs w:val="18"/>
          <w:lang w:val="en-US"/>
        </w:rPr>
        <w:t>, delusion, conceptual disorganization, and suspiciousness/persecution.</w:t>
      </w:r>
    </w:p>
    <w:p w:rsidR="00EF45EB" w:rsidRPr="00DF48C7" w:rsidRDefault="00EF45EB" w:rsidP="00EF45EB">
      <w:pPr>
        <w:pStyle w:val="BodyText1"/>
        <w:rPr>
          <w:lang w:val="en-US"/>
        </w:rPr>
      </w:pPr>
      <w:r w:rsidRPr="00DF48C7">
        <w:rPr>
          <w:noProof/>
          <w:sz w:val="18"/>
          <w:szCs w:val="18"/>
          <w:lang w:val="en-US"/>
        </w:rPr>
        <w:t>BPRS=Brief Psychiatric Rating Scale; CGI-S=Clinical Global Impression</w:t>
      </w:r>
      <w:r>
        <w:rPr>
          <w:noProof/>
          <w:sz w:val="18"/>
          <w:szCs w:val="18"/>
          <w:lang w:val="en-US"/>
        </w:rPr>
        <w:t xml:space="preserve">s </w:t>
      </w:r>
      <w:r w:rsidRPr="00DF48C7">
        <w:rPr>
          <w:noProof/>
          <w:sz w:val="18"/>
          <w:szCs w:val="18"/>
          <w:lang w:val="en-US"/>
        </w:rPr>
        <w:t>–</w:t>
      </w:r>
      <w:r>
        <w:rPr>
          <w:noProof/>
          <w:sz w:val="18"/>
          <w:szCs w:val="18"/>
          <w:lang w:val="en-US"/>
        </w:rPr>
        <w:t xml:space="preserve"> </w:t>
      </w:r>
      <w:r w:rsidRPr="00DF48C7">
        <w:rPr>
          <w:noProof/>
          <w:sz w:val="18"/>
          <w:szCs w:val="18"/>
          <w:lang w:val="en-US"/>
        </w:rPr>
        <w:t xml:space="preserve">Severity of </w:t>
      </w:r>
      <w:r>
        <w:rPr>
          <w:noProof/>
          <w:sz w:val="18"/>
          <w:szCs w:val="18"/>
          <w:lang w:val="en-US"/>
        </w:rPr>
        <w:t>i</w:t>
      </w:r>
      <w:r w:rsidRPr="00DF48C7">
        <w:rPr>
          <w:noProof/>
          <w:sz w:val="18"/>
          <w:szCs w:val="18"/>
          <w:lang w:val="en-US"/>
        </w:rPr>
        <w:t>llness; DSM-IV=Diagnostic and Statistical Manual of Mental Disorders, Fourth Edition; DSM-IV-TR=DSM-IV, Text Revision; MINI=Mini International Neuropsychiatric Interview; PANSS=Positive and Negative Syndrome Scale.</w:t>
      </w:r>
      <w:r w:rsidRPr="00DF48C7">
        <w:rPr>
          <w:lang w:val="en-US"/>
        </w:rPr>
        <w:br w:type="page"/>
      </w:r>
    </w:p>
    <w:p w:rsidR="00EF45EB" w:rsidRPr="00DF48C7" w:rsidRDefault="00EF45EB" w:rsidP="00EF45EB">
      <w:pPr>
        <w:pStyle w:val="BodyText1"/>
        <w:rPr>
          <w:b/>
          <w:lang w:val="en-US"/>
        </w:rPr>
      </w:pPr>
      <w:r w:rsidRPr="00DF48C7">
        <w:rPr>
          <w:b/>
          <w:lang w:val="en-US"/>
        </w:rPr>
        <w:lastRenderedPageBreak/>
        <w:t>Supplementary Table 2: MDD studies included in the analysis</w:t>
      </w:r>
    </w:p>
    <w:p w:rsidR="00EF45EB" w:rsidRPr="00DF48C7" w:rsidRDefault="00EF45EB" w:rsidP="00EF45EB">
      <w:pPr>
        <w:pStyle w:val="BodyText1"/>
        <w:rPr>
          <w:lang w:val="en-US"/>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26"/>
        <w:gridCol w:w="11312"/>
      </w:tblGrid>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t>Study</w:t>
            </w:r>
          </w:p>
        </w:tc>
        <w:tc>
          <w:tcPr>
            <w:tcW w:w="4209" w:type="pct"/>
            <w:hideMark/>
          </w:tcPr>
          <w:p w:rsidR="00EF45EB" w:rsidRPr="00DF48C7" w:rsidRDefault="00EF45EB" w:rsidP="009D3D09">
            <w:pPr>
              <w:pStyle w:val="BodyText1"/>
              <w:rPr>
                <w:b/>
                <w:sz w:val="18"/>
                <w:szCs w:val="18"/>
                <w:lang w:val="en-US"/>
              </w:rPr>
            </w:pPr>
            <w:r w:rsidRPr="00DF48C7">
              <w:rPr>
                <w:b/>
                <w:sz w:val="18"/>
                <w:szCs w:val="18"/>
                <w:lang w:val="en-US"/>
              </w:rPr>
              <w:t>Study design and patients</w:t>
            </w:r>
          </w:p>
        </w:tc>
      </w:tr>
      <w:tr w:rsidR="00EF45EB" w:rsidRPr="00DF48C7" w:rsidTr="009D3D09">
        <w:tc>
          <w:tcPr>
            <w:tcW w:w="5000" w:type="pct"/>
            <w:gridSpan w:val="2"/>
            <w:hideMark/>
          </w:tcPr>
          <w:p w:rsidR="00EF45EB" w:rsidRPr="00DF48C7" w:rsidRDefault="00EF45EB" w:rsidP="009D3D09">
            <w:pPr>
              <w:pStyle w:val="BodyText1"/>
              <w:rPr>
                <w:b/>
                <w:sz w:val="18"/>
                <w:szCs w:val="18"/>
                <w:lang w:val="en-US"/>
              </w:rPr>
            </w:pPr>
            <w:r w:rsidRPr="00DF48C7">
              <w:rPr>
                <w:b/>
                <w:sz w:val="18"/>
                <w:szCs w:val="18"/>
                <w:lang w:val="en-US"/>
              </w:rPr>
              <w:t>Brexpiprazole</w:t>
            </w:r>
          </w:p>
        </w:tc>
      </w:tr>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t>Short-term</w:t>
            </w:r>
          </w:p>
        </w:tc>
        <w:tc>
          <w:tcPr>
            <w:tcW w:w="4209" w:type="pct"/>
            <w:hideMark/>
          </w:tcPr>
          <w:p w:rsidR="00EF45EB" w:rsidRPr="00DF48C7" w:rsidRDefault="00EF45EB" w:rsidP="009D3D09">
            <w:pPr>
              <w:pStyle w:val="bulletedlist"/>
              <w:rPr>
                <w:sz w:val="18"/>
                <w:szCs w:val="18"/>
                <w:lang w:val="en-US"/>
              </w:rPr>
            </w:pPr>
            <w:r w:rsidRPr="00DF48C7">
              <w:rPr>
                <w:sz w:val="18"/>
                <w:szCs w:val="18"/>
                <w:lang w:val="en-US"/>
              </w:rPr>
              <w:t>Two double-blind, placebo-controlled, fixed-dose studies, in adults with MDD showing an inadequate response to ADT:</w:t>
            </w:r>
            <w:r w:rsidR="00A720C6">
              <w:rPr>
                <w:sz w:val="18"/>
                <w:szCs w:val="18"/>
                <w:vertAlign w:val="superscript"/>
                <w:lang w:val="en-US"/>
              </w:rPr>
              <w:t>8</w:t>
            </w:r>
            <w:r w:rsidR="00CF640C" w:rsidRPr="00CF640C">
              <w:rPr>
                <w:sz w:val="18"/>
                <w:szCs w:val="18"/>
                <w:vertAlign w:val="superscript"/>
                <w:lang w:val="en-US"/>
              </w:rPr>
              <w:t>,</w:t>
            </w:r>
            <w:r w:rsidR="00A720C6">
              <w:rPr>
                <w:sz w:val="18"/>
                <w:szCs w:val="18"/>
                <w:vertAlign w:val="superscript"/>
                <w:lang w:val="en-US"/>
              </w:rPr>
              <w:t>9</w:t>
            </w:r>
          </w:p>
          <w:p w:rsidR="00EF45EB" w:rsidRPr="00DF48C7" w:rsidRDefault="00EF45EB" w:rsidP="009D3D09">
            <w:pPr>
              <w:pStyle w:val="bulletedlist"/>
              <w:ind w:left="720"/>
              <w:rPr>
                <w:sz w:val="18"/>
                <w:szCs w:val="18"/>
                <w:lang w:val="en-US"/>
              </w:rPr>
            </w:pPr>
            <w:r w:rsidRPr="00DF48C7">
              <w:rPr>
                <w:sz w:val="18"/>
                <w:szCs w:val="18"/>
                <w:lang w:val="en-US"/>
              </w:rPr>
              <w:t>Pyxis (Study 331-10-228; NCT01360645): 2 mg/day as adjunct</w:t>
            </w:r>
            <w:r>
              <w:rPr>
                <w:sz w:val="18"/>
                <w:szCs w:val="18"/>
                <w:lang w:val="en-US"/>
              </w:rPr>
              <w:t>ive treatment</w:t>
            </w:r>
            <w:r w:rsidRPr="00DF48C7">
              <w:rPr>
                <w:sz w:val="18"/>
                <w:szCs w:val="18"/>
                <w:lang w:val="en-US"/>
              </w:rPr>
              <w:t xml:space="preserve"> to ADT</w:t>
            </w:r>
          </w:p>
          <w:p w:rsidR="00EF45EB" w:rsidRPr="00DF48C7" w:rsidRDefault="00EF45EB" w:rsidP="009D3D09">
            <w:pPr>
              <w:pStyle w:val="bulletedlist"/>
              <w:ind w:left="720"/>
              <w:rPr>
                <w:sz w:val="18"/>
                <w:szCs w:val="18"/>
                <w:lang w:val="en-US"/>
              </w:rPr>
            </w:pPr>
            <w:r w:rsidRPr="00DF48C7">
              <w:rPr>
                <w:sz w:val="18"/>
                <w:szCs w:val="18"/>
                <w:lang w:val="en-US"/>
              </w:rPr>
              <w:t>Polaris (Study 331-10-227; NCT01360632): 1 mg/day and 3 mg/day as adjunct</w:t>
            </w:r>
            <w:r>
              <w:rPr>
                <w:sz w:val="18"/>
                <w:szCs w:val="18"/>
                <w:lang w:val="en-US"/>
              </w:rPr>
              <w:t>ive treatment</w:t>
            </w:r>
            <w:r w:rsidRPr="00DF48C7">
              <w:rPr>
                <w:sz w:val="18"/>
                <w:szCs w:val="18"/>
                <w:lang w:val="en-US"/>
              </w:rPr>
              <w:t xml:space="preserve"> to ADT.</w:t>
            </w:r>
          </w:p>
          <w:p w:rsidR="00EF45EB" w:rsidRPr="00DF48C7" w:rsidRDefault="00EF45EB" w:rsidP="009D3D09">
            <w:pPr>
              <w:pStyle w:val="bulletedlist"/>
              <w:rPr>
                <w:sz w:val="18"/>
                <w:szCs w:val="18"/>
                <w:lang w:val="en-US"/>
              </w:rPr>
            </w:pPr>
            <w:r w:rsidRPr="00DF48C7">
              <w:rPr>
                <w:sz w:val="18"/>
                <w:szCs w:val="18"/>
                <w:lang w:val="en-US"/>
              </w:rPr>
              <w:t>The studies comprised an 8-week, single-blind prospective treatment phase, followed by a 6-week, double-blind, placebo-controlled, adjunctive treatment phase.</w:t>
            </w:r>
            <w:r w:rsidR="00A720C6">
              <w:rPr>
                <w:sz w:val="18"/>
                <w:szCs w:val="18"/>
                <w:vertAlign w:val="superscript"/>
                <w:lang w:val="en-US"/>
              </w:rPr>
              <w:t>8</w:t>
            </w:r>
            <w:r w:rsidR="00FE1307" w:rsidRPr="00FE1307">
              <w:rPr>
                <w:sz w:val="18"/>
                <w:szCs w:val="18"/>
                <w:vertAlign w:val="superscript"/>
                <w:lang w:val="en-US"/>
              </w:rPr>
              <w:t>,</w:t>
            </w:r>
            <w:r w:rsidR="00A720C6">
              <w:rPr>
                <w:sz w:val="18"/>
                <w:szCs w:val="18"/>
                <w:vertAlign w:val="superscript"/>
                <w:lang w:val="en-US"/>
              </w:rPr>
              <w:t>9</w:t>
            </w:r>
          </w:p>
          <w:p w:rsidR="00EF45EB" w:rsidRPr="00DF48C7" w:rsidRDefault="00EF45EB" w:rsidP="009D3D09">
            <w:pPr>
              <w:pStyle w:val="bulletedlist"/>
              <w:rPr>
                <w:sz w:val="18"/>
                <w:szCs w:val="18"/>
                <w:lang w:val="en-US"/>
              </w:rPr>
            </w:pPr>
            <w:r w:rsidRPr="00DF48C7">
              <w:rPr>
                <w:sz w:val="18"/>
                <w:szCs w:val="18"/>
                <w:lang w:val="en-US"/>
              </w:rPr>
              <w:t>Eligible patients were outpatients, aged 18–65 years, diagnosed with a single or recurrent nonpsychotic episode of MDD (DSM-IV-TR) lasting ≥8 weeks.</w:t>
            </w:r>
            <w:r w:rsidR="00A720C6">
              <w:rPr>
                <w:sz w:val="18"/>
                <w:szCs w:val="18"/>
                <w:vertAlign w:val="superscript"/>
                <w:lang w:val="en-US"/>
              </w:rPr>
              <w:t>8</w:t>
            </w:r>
            <w:r w:rsidR="00FE1307" w:rsidRPr="00FE1307">
              <w:rPr>
                <w:sz w:val="18"/>
                <w:szCs w:val="18"/>
                <w:vertAlign w:val="superscript"/>
                <w:lang w:val="en-US"/>
              </w:rPr>
              <w:t>,</w:t>
            </w:r>
            <w:r w:rsidR="00A720C6">
              <w:rPr>
                <w:sz w:val="18"/>
                <w:szCs w:val="18"/>
                <w:vertAlign w:val="superscript"/>
                <w:lang w:val="en-US"/>
              </w:rPr>
              <w:t>9</w:t>
            </w:r>
            <w:r w:rsidRPr="00DF48C7">
              <w:rPr>
                <w:sz w:val="18"/>
                <w:szCs w:val="18"/>
                <w:lang w:val="en-US"/>
              </w:rPr>
              <w:t xml:space="preserve"> During this episode, patients must have had an inadequate response (&lt;50% </w:t>
            </w:r>
            <w:r>
              <w:rPr>
                <w:sz w:val="18"/>
                <w:szCs w:val="18"/>
                <w:lang w:val="en-US"/>
              </w:rPr>
              <w:t xml:space="preserve">improved according to the </w:t>
            </w:r>
            <w:r w:rsidRPr="00DF48C7">
              <w:rPr>
                <w:sz w:val="18"/>
                <w:szCs w:val="18"/>
                <w:lang w:val="en-US"/>
              </w:rPr>
              <w:t>Massachusetts General Hospital ATRQ) to an adequate trial of 1–3 ADTs.</w:t>
            </w:r>
            <w:r w:rsidR="00A720C6">
              <w:rPr>
                <w:sz w:val="18"/>
                <w:szCs w:val="18"/>
                <w:vertAlign w:val="superscript"/>
                <w:lang w:val="en-US"/>
              </w:rPr>
              <w:t>8</w:t>
            </w:r>
            <w:r w:rsidR="00FE1307" w:rsidRPr="00FE1307">
              <w:rPr>
                <w:sz w:val="18"/>
                <w:szCs w:val="18"/>
                <w:vertAlign w:val="superscript"/>
                <w:lang w:val="en-US"/>
              </w:rPr>
              <w:t>,</w:t>
            </w:r>
            <w:r w:rsidR="00A720C6">
              <w:rPr>
                <w:sz w:val="18"/>
                <w:szCs w:val="18"/>
                <w:vertAlign w:val="superscript"/>
                <w:lang w:val="en-US"/>
              </w:rPr>
              <w:t>9</w:t>
            </w:r>
            <w:r w:rsidRPr="00DF48C7">
              <w:rPr>
                <w:sz w:val="18"/>
                <w:szCs w:val="18"/>
                <w:lang w:val="en-US"/>
              </w:rPr>
              <w:t xml:space="preserve"> Patients were also required to have an HDRS-17 Total score ≥18 at screening and at the start of the prospective treatment phase.</w:t>
            </w:r>
            <w:r w:rsidR="00A720C6">
              <w:rPr>
                <w:sz w:val="18"/>
                <w:szCs w:val="18"/>
                <w:vertAlign w:val="superscript"/>
                <w:lang w:val="en-US"/>
              </w:rPr>
              <w:t>8</w:t>
            </w:r>
            <w:r w:rsidR="00FE1307" w:rsidRPr="00FE1307">
              <w:rPr>
                <w:sz w:val="18"/>
                <w:szCs w:val="18"/>
                <w:vertAlign w:val="superscript"/>
                <w:lang w:val="en-US"/>
              </w:rPr>
              <w:t>,</w:t>
            </w:r>
            <w:r w:rsidR="00A720C6">
              <w:rPr>
                <w:sz w:val="18"/>
                <w:szCs w:val="18"/>
                <w:vertAlign w:val="superscript"/>
                <w:lang w:val="en-US"/>
              </w:rPr>
              <w:t>9</w:t>
            </w:r>
          </w:p>
        </w:tc>
      </w:tr>
      <w:tr w:rsidR="00EF45EB" w:rsidRPr="00DF48C7" w:rsidTr="009D3D09">
        <w:tc>
          <w:tcPr>
            <w:tcW w:w="791" w:type="pct"/>
            <w:vMerge w:val="restart"/>
            <w:hideMark/>
          </w:tcPr>
          <w:p w:rsidR="00EF45EB" w:rsidRPr="00DF48C7" w:rsidRDefault="00EF45EB" w:rsidP="009D3D09">
            <w:pPr>
              <w:pStyle w:val="BodyText1"/>
              <w:rPr>
                <w:sz w:val="18"/>
                <w:szCs w:val="18"/>
                <w:lang w:val="en-US"/>
              </w:rPr>
            </w:pPr>
            <w:r w:rsidRPr="00DF48C7">
              <w:rPr>
                <w:b/>
                <w:sz w:val="18"/>
                <w:szCs w:val="18"/>
                <w:lang w:val="en-US"/>
              </w:rPr>
              <w:t>Long-term</w:t>
            </w:r>
          </w:p>
        </w:tc>
        <w:tc>
          <w:tcPr>
            <w:tcW w:w="4209" w:type="pct"/>
            <w:hideMark/>
          </w:tcPr>
          <w:p w:rsidR="00EF45EB" w:rsidRPr="00DF48C7" w:rsidRDefault="00EF45EB" w:rsidP="009D3D09">
            <w:pPr>
              <w:pStyle w:val="bulletedlist"/>
              <w:rPr>
                <w:sz w:val="18"/>
                <w:szCs w:val="18"/>
                <w:lang w:val="en-US"/>
              </w:rPr>
            </w:pPr>
            <w:r w:rsidRPr="00DF48C7">
              <w:rPr>
                <w:sz w:val="18"/>
                <w:szCs w:val="18"/>
                <w:lang w:val="en-US"/>
              </w:rPr>
              <w:t>Study 331-08-212 (NCT01447576): a 52-week, open-label, flexible-dose (0.25–3 mg/day), extension study of brexpiprazole as adjunctive treatment in adults with MDD.</w:t>
            </w:r>
            <w:r w:rsidR="00FE5EFE" w:rsidRPr="00FE5EFE">
              <w:rPr>
                <w:sz w:val="18"/>
                <w:szCs w:val="18"/>
                <w:vertAlign w:val="superscript"/>
                <w:lang w:val="en-US"/>
              </w:rPr>
              <w:t>1</w:t>
            </w:r>
            <w:r w:rsidR="00A720C6">
              <w:rPr>
                <w:sz w:val="18"/>
                <w:szCs w:val="18"/>
                <w:vertAlign w:val="superscript"/>
                <w:lang w:val="en-US"/>
              </w:rPr>
              <w:t>0</w:t>
            </w:r>
            <w:r w:rsidR="00FE5EFE" w:rsidRPr="00FE5EFE">
              <w:rPr>
                <w:sz w:val="18"/>
                <w:szCs w:val="18"/>
                <w:vertAlign w:val="superscript"/>
                <w:lang w:val="en-US"/>
              </w:rPr>
              <w:t>,1</w:t>
            </w:r>
            <w:r w:rsidR="00A720C6">
              <w:rPr>
                <w:sz w:val="18"/>
                <w:szCs w:val="18"/>
                <w:vertAlign w:val="superscript"/>
                <w:lang w:val="en-US"/>
              </w:rPr>
              <w:t>1</w:t>
            </w:r>
          </w:p>
          <w:p w:rsidR="00EF45EB" w:rsidRPr="00DF48C7" w:rsidRDefault="00EF45EB" w:rsidP="009D3D09">
            <w:pPr>
              <w:pStyle w:val="bulletedlist"/>
              <w:rPr>
                <w:sz w:val="18"/>
                <w:szCs w:val="18"/>
                <w:lang w:val="en-US"/>
              </w:rPr>
            </w:pPr>
            <w:r w:rsidRPr="00DF48C7">
              <w:rPr>
                <w:sz w:val="18"/>
                <w:szCs w:val="18"/>
                <w:lang w:val="en-US"/>
              </w:rPr>
              <w:t xml:space="preserve">The study enrolled patients completing either of two parent trials (Study 331-08-211 or Study 331-09-222), plus </w:t>
            </w:r>
            <w:r w:rsidRPr="00DF48C7">
              <w:rPr>
                <w:i/>
                <w:sz w:val="18"/>
                <w:szCs w:val="18"/>
                <w:lang w:val="en-US"/>
              </w:rPr>
              <w:t xml:space="preserve">de </w:t>
            </w:r>
            <w:r w:rsidRPr="000B272E">
              <w:rPr>
                <w:i/>
                <w:sz w:val="18"/>
                <w:szCs w:val="18"/>
                <w:lang w:val="en-US"/>
              </w:rPr>
              <w:t xml:space="preserve">novo </w:t>
            </w:r>
            <w:r w:rsidRPr="000B272E">
              <w:rPr>
                <w:sz w:val="18"/>
                <w:szCs w:val="18"/>
                <w:lang w:val="en-US"/>
              </w:rPr>
              <w:t>patients</w:t>
            </w:r>
            <w:r w:rsidR="000B272E">
              <w:rPr>
                <w:sz w:val="18"/>
                <w:szCs w:val="18"/>
                <w:lang w:val="en-US"/>
              </w:rPr>
              <w:t>.</w:t>
            </w:r>
            <w:r w:rsidR="00FE5EFE" w:rsidRPr="000B272E">
              <w:rPr>
                <w:sz w:val="18"/>
                <w:szCs w:val="18"/>
                <w:vertAlign w:val="superscript"/>
                <w:lang w:val="en-US"/>
              </w:rPr>
              <w:t>1</w:t>
            </w:r>
            <w:r w:rsidR="00A720C6">
              <w:rPr>
                <w:sz w:val="18"/>
                <w:szCs w:val="18"/>
                <w:vertAlign w:val="superscript"/>
                <w:lang w:val="en-US"/>
              </w:rPr>
              <w:t>0</w:t>
            </w:r>
            <w:r w:rsidR="00FE5EFE" w:rsidRPr="000B272E">
              <w:rPr>
                <w:sz w:val="18"/>
                <w:szCs w:val="18"/>
                <w:vertAlign w:val="superscript"/>
                <w:lang w:val="en-US"/>
              </w:rPr>
              <w:t>,1</w:t>
            </w:r>
            <w:r w:rsidR="00A720C6">
              <w:rPr>
                <w:sz w:val="18"/>
                <w:szCs w:val="18"/>
                <w:vertAlign w:val="superscript"/>
                <w:lang w:val="en-US"/>
              </w:rPr>
              <w:t>1</w:t>
            </w:r>
          </w:p>
          <w:p w:rsidR="00EF45EB" w:rsidRPr="00DF48C7" w:rsidRDefault="00EF45EB" w:rsidP="00CF1028">
            <w:pPr>
              <w:pStyle w:val="bulletedlist"/>
              <w:rPr>
                <w:sz w:val="18"/>
                <w:szCs w:val="18"/>
                <w:lang w:val="en-US"/>
              </w:rPr>
            </w:pPr>
            <w:r w:rsidRPr="00DF48C7">
              <w:rPr>
                <w:sz w:val="18"/>
                <w:szCs w:val="18"/>
                <w:lang w:val="en-US"/>
              </w:rPr>
              <w:t xml:space="preserve">Eligible patients were aged 18–65 years, diagnosed with a single or recurrent nonpsychotic episode of MDD (according to DSM-IV-TR criteria and confirmed by the MINI) of duration </w:t>
            </w:r>
            <w:r w:rsidRPr="00DF48C7">
              <w:rPr>
                <w:rFonts w:cstheme="minorHAnsi"/>
                <w:sz w:val="18"/>
                <w:szCs w:val="18"/>
                <w:lang w:val="en-US"/>
              </w:rPr>
              <w:t>≥</w:t>
            </w:r>
            <w:r w:rsidRPr="00DF48C7">
              <w:rPr>
                <w:sz w:val="18"/>
                <w:szCs w:val="18"/>
                <w:lang w:val="en-US"/>
              </w:rPr>
              <w:t>8 weeks.</w:t>
            </w:r>
            <w:r w:rsidR="00FE5EFE" w:rsidRPr="00FE5EFE">
              <w:rPr>
                <w:sz w:val="18"/>
                <w:szCs w:val="18"/>
                <w:vertAlign w:val="superscript"/>
                <w:lang w:val="en-US"/>
              </w:rPr>
              <w:t>1</w:t>
            </w:r>
            <w:r w:rsidR="00A720C6">
              <w:rPr>
                <w:sz w:val="18"/>
                <w:szCs w:val="18"/>
                <w:vertAlign w:val="superscript"/>
                <w:lang w:val="en-US"/>
              </w:rPr>
              <w:t>0</w:t>
            </w:r>
            <w:r w:rsidRPr="00DF48C7">
              <w:rPr>
                <w:sz w:val="18"/>
                <w:szCs w:val="18"/>
                <w:lang w:val="en-US"/>
              </w:rPr>
              <w:t xml:space="preserve"> Patients also had to be taking a permitted ADT at an adequate dose for </w:t>
            </w:r>
            <w:r w:rsidRPr="00DF48C7">
              <w:rPr>
                <w:rFonts w:cstheme="minorHAnsi"/>
                <w:sz w:val="18"/>
                <w:szCs w:val="18"/>
                <w:lang w:val="en-US"/>
              </w:rPr>
              <w:t>≥</w:t>
            </w:r>
            <w:r w:rsidRPr="00DF48C7">
              <w:rPr>
                <w:sz w:val="18"/>
                <w:szCs w:val="18"/>
                <w:lang w:val="en-US"/>
              </w:rPr>
              <w:t>6 weeks by the end of the screening period, and to have reported an inadequate response to at least one, but no more than four, adequate trials of an ADT during the current depressive episode.</w:t>
            </w:r>
            <w:r w:rsidR="00FE5EFE" w:rsidRPr="00FE5EFE">
              <w:rPr>
                <w:sz w:val="18"/>
                <w:szCs w:val="18"/>
                <w:vertAlign w:val="superscript"/>
                <w:lang w:val="en-US"/>
              </w:rPr>
              <w:t>1</w:t>
            </w:r>
            <w:r w:rsidR="00A720C6">
              <w:rPr>
                <w:sz w:val="18"/>
                <w:szCs w:val="18"/>
                <w:vertAlign w:val="superscript"/>
                <w:lang w:val="en-US"/>
              </w:rPr>
              <w:t>0</w:t>
            </w:r>
          </w:p>
        </w:tc>
      </w:tr>
      <w:tr w:rsidR="00EF45EB" w:rsidRPr="00DF48C7" w:rsidTr="009D3D09">
        <w:tc>
          <w:tcPr>
            <w:tcW w:w="791" w:type="pct"/>
            <w:vMerge/>
            <w:vAlign w:val="center"/>
            <w:hideMark/>
          </w:tcPr>
          <w:p w:rsidR="00EF45EB" w:rsidRPr="00DF48C7" w:rsidRDefault="00EF45EB" w:rsidP="009D3D09">
            <w:pPr>
              <w:rPr>
                <w:rFonts w:ascii="Verdana" w:hAnsi="Verdana"/>
                <w:sz w:val="18"/>
                <w:szCs w:val="18"/>
                <w:lang w:val="en-US"/>
              </w:rPr>
            </w:pPr>
          </w:p>
        </w:tc>
        <w:tc>
          <w:tcPr>
            <w:tcW w:w="4209" w:type="pct"/>
            <w:hideMark/>
          </w:tcPr>
          <w:p w:rsidR="00EF45EB" w:rsidRPr="00DF48C7" w:rsidRDefault="00EF45EB" w:rsidP="009D3D09">
            <w:pPr>
              <w:pStyle w:val="bulletedlist"/>
              <w:rPr>
                <w:sz w:val="18"/>
                <w:szCs w:val="18"/>
                <w:lang w:val="en-US"/>
              </w:rPr>
            </w:pPr>
            <w:r w:rsidRPr="00DF48C7">
              <w:rPr>
                <w:sz w:val="18"/>
                <w:szCs w:val="18"/>
                <w:lang w:val="en-US"/>
              </w:rPr>
              <w:t>Orion (Study 331-10-238; NCT01360866):</w:t>
            </w:r>
            <w:r w:rsidRPr="00DF48C7">
              <w:rPr>
                <w:sz w:val="18"/>
                <w:szCs w:val="18"/>
                <w:vertAlign w:val="superscript"/>
                <w:lang w:val="en-US"/>
              </w:rPr>
              <w:t>a</w:t>
            </w:r>
            <w:r w:rsidRPr="00DF48C7">
              <w:rPr>
                <w:sz w:val="18"/>
                <w:szCs w:val="18"/>
                <w:lang w:val="en-US"/>
              </w:rPr>
              <w:t xml:space="preserve"> a 52-week, open-label, flexible-dose (0.5–3 mg/day), extension study of brexpiprazole as adjunctive treatment in adults with MDD.</w:t>
            </w:r>
            <w:r w:rsidR="00FE5EFE" w:rsidRPr="00FE5EFE">
              <w:rPr>
                <w:sz w:val="18"/>
                <w:szCs w:val="18"/>
                <w:vertAlign w:val="superscript"/>
                <w:lang w:val="en-US"/>
              </w:rPr>
              <w:t>1</w:t>
            </w:r>
            <w:r w:rsidR="00A720C6">
              <w:rPr>
                <w:sz w:val="18"/>
                <w:szCs w:val="18"/>
                <w:vertAlign w:val="superscript"/>
                <w:lang w:val="en-US"/>
              </w:rPr>
              <w:t>1</w:t>
            </w:r>
            <w:r w:rsidR="00FE5EFE" w:rsidRPr="00FE5EFE">
              <w:rPr>
                <w:sz w:val="18"/>
                <w:szCs w:val="18"/>
                <w:vertAlign w:val="superscript"/>
                <w:lang w:val="en-US"/>
              </w:rPr>
              <w:t>,1</w:t>
            </w:r>
            <w:r w:rsidR="00A720C6">
              <w:rPr>
                <w:sz w:val="18"/>
                <w:szCs w:val="18"/>
                <w:vertAlign w:val="superscript"/>
                <w:lang w:val="en-US"/>
              </w:rPr>
              <w:t>2</w:t>
            </w:r>
          </w:p>
          <w:p w:rsidR="00EF45EB" w:rsidRPr="00DF48C7" w:rsidRDefault="00EF45EB" w:rsidP="009D3D09">
            <w:pPr>
              <w:pStyle w:val="bulletedlist"/>
              <w:ind w:left="720"/>
              <w:rPr>
                <w:sz w:val="18"/>
                <w:szCs w:val="18"/>
                <w:lang w:val="en-US"/>
              </w:rPr>
            </w:pPr>
            <w:r w:rsidRPr="00DF48C7">
              <w:rPr>
                <w:sz w:val="18"/>
                <w:szCs w:val="18"/>
                <w:lang w:val="en-US"/>
              </w:rPr>
              <w:t xml:space="preserve">The study enrolled patients completing either of the two short-term, pivotal studies (Pyxis or Polaris), or </w:t>
            </w:r>
            <w:r>
              <w:rPr>
                <w:sz w:val="18"/>
                <w:szCs w:val="18"/>
                <w:lang w:val="en-US"/>
              </w:rPr>
              <w:t xml:space="preserve">the </w:t>
            </w:r>
            <w:r w:rsidRPr="00DF48C7">
              <w:rPr>
                <w:sz w:val="18"/>
                <w:szCs w:val="18"/>
                <w:lang w:val="en-US"/>
              </w:rPr>
              <w:t xml:space="preserve">double-blind, short-term brexpiprazole </w:t>
            </w:r>
            <w:r>
              <w:rPr>
                <w:sz w:val="18"/>
                <w:szCs w:val="18"/>
                <w:lang w:val="en-US"/>
              </w:rPr>
              <w:t xml:space="preserve">flexible-dose study, Delphinus </w:t>
            </w:r>
            <w:r w:rsidRPr="00DF48C7">
              <w:rPr>
                <w:sz w:val="18"/>
                <w:szCs w:val="18"/>
                <w:lang w:val="en-US"/>
              </w:rPr>
              <w:t>(</w:t>
            </w:r>
            <w:r>
              <w:rPr>
                <w:sz w:val="18"/>
                <w:szCs w:val="18"/>
                <w:lang w:val="en-US"/>
              </w:rPr>
              <w:t>Study 331-10-282</w:t>
            </w:r>
            <w:r w:rsidRPr="00DF48C7">
              <w:rPr>
                <w:sz w:val="18"/>
                <w:szCs w:val="18"/>
                <w:lang w:val="en-US"/>
              </w:rPr>
              <w:t>)</w:t>
            </w:r>
            <w:r>
              <w:rPr>
                <w:sz w:val="18"/>
                <w:szCs w:val="18"/>
                <w:lang w:val="en-US"/>
              </w:rPr>
              <w:t>.</w:t>
            </w:r>
            <w:r w:rsidR="001F6140" w:rsidRPr="001F6140">
              <w:rPr>
                <w:sz w:val="18"/>
                <w:szCs w:val="18"/>
                <w:vertAlign w:val="superscript"/>
                <w:lang w:val="en-US"/>
              </w:rPr>
              <w:t>1</w:t>
            </w:r>
            <w:r w:rsidR="00A720C6">
              <w:rPr>
                <w:sz w:val="18"/>
                <w:szCs w:val="18"/>
                <w:vertAlign w:val="superscript"/>
                <w:lang w:val="en-US"/>
              </w:rPr>
              <w:t>2</w:t>
            </w:r>
            <w:r w:rsidRPr="00DF48C7">
              <w:rPr>
                <w:sz w:val="18"/>
                <w:szCs w:val="18"/>
                <w:lang w:val="en-US"/>
              </w:rPr>
              <w:t xml:space="preserve"> Eligible patients had completed participation in the double-blind, randomization phase.</w:t>
            </w:r>
            <w:r w:rsidR="001F6140" w:rsidRPr="001F6140">
              <w:rPr>
                <w:sz w:val="18"/>
                <w:szCs w:val="18"/>
                <w:vertAlign w:val="superscript"/>
                <w:lang w:val="en-US"/>
              </w:rPr>
              <w:t>1</w:t>
            </w:r>
            <w:r w:rsidR="00A720C6">
              <w:rPr>
                <w:sz w:val="18"/>
                <w:szCs w:val="18"/>
                <w:vertAlign w:val="superscript"/>
                <w:lang w:val="en-US"/>
              </w:rPr>
              <w:t>2</w:t>
            </w:r>
          </w:p>
        </w:tc>
      </w:tr>
    </w:tbl>
    <w:p w:rsidR="006F27D5" w:rsidRDefault="006F27D5">
      <w:r>
        <w:br w:type="page"/>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26"/>
        <w:gridCol w:w="11312"/>
      </w:tblGrid>
      <w:tr w:rsidR="00EF45EB" w:rsidRPr="00DF48C7" w:rsidTr="009D3D09">
        <w:tc>
          <w:tcPr>
            <w:tcW w:w="5000" w:type="pct"/>
            <w:gridSpan w:val="2"/>
            <w:hideMark/>
          </w:tcPr>
          <w:p w:rsidR="00EF45EB" w:rsidRPr="00DF48C7" w:rsidRDefault="00EF45EB" w:rsidP="009D3D09">
            <w:pPr>
              <w:pStyle w:val="BodyText1"/>
              <w:rPr>
                <w:b/>
                <w:sz w:val="18"/>
                <w:szCs w:val="18"/>
                <w:lang w:val="en-US"/>
              </w:rPr>
            </w:pPr>
            <w:r w:rsidRPr="00DF48C7">
              <w:rPr>
                <w:b/>
                <w:sz w:val="18"/>
                <w:szCs w:val="18"/>
                <w:lang w:val="en-US"/>
              </w:rPr>
              <w:lastRenderedPageBreak/>
              <w:t>Aripiprazole</w:t>
            </w:r>
          </w:p>
        </w:tc>
      </w:tr>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t>Short-term</w:t>
            </w:r>
          </w:p>
        </w:tc>
        <w:tc>
          <w:tcPr>
            <w:tcW w:w="4209" w:type="pct"/>
            <w:hideMark/>
          </w:tcPr>
          <w:p w:rsidR="00EF45EB" w:rsidRPr="00DF48C7" w:rsidRDefault="00EF45EB" w:rsidP="009D3D09">
            <w:pPr>
              <w:pStyle w:val="bulletedlist"/>
              <w:rPr>
                <w:sz w:val="18"/>
                <w:szCs w:val="18"/>
                <w:lang w:val="en-US"/>
              </w:rPr>
            </w:pPr>
            <w:r w:rsidRPr="00DF48C7">
              <w:rPr>
                <w:sz w:val="18"/>
                <w:szCs w:val="18"/>
                <w:lang w:val="en-US"/>
              </w:rPr>
              <w:t xml:space="preserve">Three double-blind, placebo-controlled studies, in adults with MDD – Berman </w:t>
            </w:r>
            <w:r w:rsidRPr="00DF48C7">
              <w:rPr>
                <w:i/>
                <w:sz w:val="18"/>
                <w:szCs w:val="18"/>
                <w:lang w:val="en-US"/>
              </w:rPr>
              <w:t>et al</w:t>
            </w:r>
            <w:r w:rsidRPr="00DF48C7">
              <w:rPr>
                <w:sz w:val="18"/>
                <w:szCs w:val="18"/>
                <w:lang w:val="en-US"/>
              </w:rPr>
              <w:t xml:space="preserve">., (2007), Marcus </w:t>
            </w:r>
            <w:r w:rsidRPr="00DF48C7">
              <w:rPr>
                <w:i/>
                <w:sz w:val="18"/>
                <w:szCs w:val="18"/>
                <w:lang w:val="en-US"/>
              </w:rPr>
              <w:t>et al</w:t>
            </w:r>
            <w:r w:rsidRPr="00DF48C7">
              <w:rPr>
                <w:sz w:val="18"/>
                <w:szCs w:val="18"/>
                <w:lang w:val="en-US"/>
              </w:rPr>
              <w:t xml:space="preserve">., (2008), and Berman </w:t>
            </w:r>
            <w:r w:rsidRPr="00DF48C7">
              <w:rPr>
                <w:i/>
                <w:sz w:val="18"/>
                <w:szCs w:val="18"/>
                <w:lang w:val="en-US"/>
              </w:rPr>
              <w:t>et al</w:t>
            </w:r>
            <w:r w:rsidRPr="00DF48C7">
              <w:rPr>
                <w:sz w:val="18"/>
                <w:szCs w:val="18"/>
                <w:lang w:val="en-US"/>
              </w:rPr>
              <w:t>., (2009).</w:t>
            </w:r>
            <w:r w:rsidR="00DE0892" w:rsidRPr="00FE5EFE">
              <w:rPr>
                <w:sz w:val="18"/>
                <w:szCs w:val="18"/>
                <w:vertAlign w:val="superscript"/>
                <w:lang w:val="en-US"/>
              </w:rPr>
              <w:t>1</w:t>
            </w:r>
            <w:r w:rsidR="00A720C6">
              <w:rPr>
                <w:sz w:val="18"/>
                <w:szCs w:val="18"/>
                <w:vertAlign w:val="superscript"/>
                <w:lang w:val="en-US"/>
              </w:rPr>
              <w:t>3</w:t>
            </w:r>
            <w:r w:rsidR="00DE0892" w:rsidRPr="00FE5EFE">
              <w:rPr>
                <w:sz w:val="18"/>
                <w:szCs w:val="18"/>
                <w:vertAlign w:val="superscript"/>
                <w:lang w:val="en-US"/>
              </w:rPr>
              <w:t>-1</w:t>
            </w:r>
            <w:r w:rsidR="00A720C6">
              <w:rPr>
                <w:sz w:val="18"/>
                <w:szCs w:val="18"/>
                <w:vertAlign w:val="superscript"/>
                <w:lang w:val="en-US"/>
              </w:rPr>
              <w:t>5</w:t>
            </w:r>
          </w:p>
          <w:p w:rsidR="00EF45EB" w:rsidRPr="00DF48C7" w:rsidRDefault="00EF45EB" w:rsidP="009D3D09">
            <w:pPr>
              <w:pStyle w:val="bulletedlist"/>
              <w:rPr>
                <w:sz w:val="18"/>
                <w:szCs w:val="18"/>
                <w:lang w:val="en-US"/>
              </w:rPr>
            </w:pPr>
            <w:r w:rsidRPr="00DF48C7">
              <w:rPr>
                <w:sz w:val="18"/>
                <w:szCs w:val="18"/>
                <w:lang w:val="en-US"/>
              </w:rPr>
              <w:t>The studies comprised an 8-week prospective treatment phase, followed by a 6-week, double-blind, adjunctive treatment phase (aripiprazole 2–20 mg/day, or 2–15 mg/day if adjunct</w:t>
            </w:r>
            <w:r>
              <w:rPr>
                <w:sz w:val="18"/>
                <w:szCs w:val="18"/>
                <w:lang w:val="en-US"/>
              </w:rPr>
              <w:t>ive</w:t>
            </w:r>
            <w:r w:rsidRPr="00DF48C7">
              <w:rPr>
                <w:sz w:val="18"/>
                <w:szCs w:val="18"/>
                <w:lang w:val="en-US"/>
              </w:rPr>
              <w:t xml:space="preserve"> to fluoxetine or paroxetine).</w:t>
            </w:r>
            <w:r w:rsidR="00FE5EFE" w:rsidRPr="00FE5EFE">
              <w:rPr>
                <w:sz w:val="18"/>
                <w:szCs w:val="18"/>
                <w:vertAlign w:val="superscript"/>
                <w:lang w:val="en-US"/>
              </w:rPr>
              <w:t>1</w:t>
            </w:r>
            <w:r w:rsidR="00A720C6">
              <w:rPr>
                <w:sz w:val="18"/>
                <w:szCs w:val="18"/>
                <w:vertAlign w:val="superscript"/>
                <w:lang w:val="en-US"/>
              </w:rPr>
              <w:t>3</w:t>
            </w:r>
            <w:r w:rsidR="00FE5EFE" w:rsidRPr="00FE5EFE">
              <w:rPr>
                <w:sz w:val="18"/>
                <w:szCs w:val="18"/>
                <w:vertAlign w:val="superscript"/>
                <w:lang w:val="en-US"/>
              </w:rPr>
              <w:t>-1</w:t>
            </w:r>
            <w:r w:rsidR="00A720C6">
              <w:rPr>
                <w:sz w:val="18"/>
                <w:szCs w:val="18"/>
                <w:vertAlign w:val="superscript"/>
                <w:lang w:val="en-US"/>
              </w:rPr>
              <w:t>5</w:t>
            </w:r>
          </w:p>
          <w:p w:rsidR="00EF45EB" w:rsidRPr="00DF48C7" w:rsidRDefault="00EF45EB" w:rsidP="009D3D09">
            <w:pPr>
              <w:pStyle w:val="bulletedlist"/>
              <w:rPr>
                <w:sz w:val="18"/>
                <w:szCs w:val="18"/>
                <w:lang w:val="en-US"/>
              </w:rPr>
            </w:pPr>
            <w:r w:rsidRPr="00DF48C7">
              <w:rPr>
                <w:sz w:val="18"/>
                <w:szCs w:val="18"/>
                <w:lang w:val="en-US"/>
              </w:rPr>
              <w:t xml:space="preserve">Eligible patients were outpatients, aged 18–65 years, with a major depressive episode (according to DSM-IV-TR criteria) lasting </w:t>
            </w:r>
            <w:r w:rsidRPr="00DF48C7">
              <w:rPr>
                <w:rFonts w:cstheme="minorHAnsi"/>
                <w:sz w:val="18"/>
                <w:szCs w:val="18"/>
                <w:lang w:val="en-US"/>
              </w:rPr>
              <w:t>≥</w:t>
            </w:r>
            <w:r w:rsidRPr="00DF48C7">
              <w:rPr>
                <w:sz w:val="18"/>
                <w:szCs w:val="18"/>
                <w:lang w:val="en-US"/>
              </w:rPr>
              <w:t xml:space="preserve">8 weeks prior to inclusion with an inadequate response (&lt;50% </w:t>
            </w:r>
            <w:r>
              <w:rPr>
                <w:sz w:val="18"/>
                <w:szCs w:val="18"/>
                <w:lang w:val="en-US"/>
              </w:rPr>
              <w:t>improved according to the</w:t>
            </w:r>
            <w:r w:rsidRPr="00DF48C7">
              <w:rPr>
                <w:sz w:val="18"/>
                <w:szCs w:val="18"/>
                <w:lang w:val="en-US"/>
              </w:rPr>
              <w:t xml:space="preserve"> Massachusetts General Hospital ATRQ) to at least one, but no more than three, adequate ADT trials of duration </w:t>
            </w:r>
            <w:r w:rsidRPr="00DF48C7">
              <w:rPr>
                <w:rFonts w:cstheme="minorHAnsi"/>
                <w:sz w:val="18"/>
                <w:szCs w:val="18"/>
                <w:lang w:val="en-US"/>
              </w:rPr>
              <w:t>≥</w:t>
            </w:r>
            <w:r w:rsidRPr="00DF48C7">
              <w:rPr>
                <w:sz w:val="18"/>
                <w:szCs w:val="18"/>
                <w:lang w:val="en-US"/>
              </w:rPr>
              <w:t>6 weeks.</w:t>
            </w:r>
            <w:r w:rsidR="00FE5EFE" w:rsidRPr="00FE5EFE">
              <w:rPr>
                <w:sz w:val="18"/>
                <w:szCs w:val="18"/>
                <w:vertAlign w:val="superscript"/>
                <w:lang w:val="en-US"/>
              </w:rPr>
              <w:t>1</w:t>
            </w:r>
            <w:r w:rsidR="00A720C6">
              <w:rPr>
                <w:sz w:val="18"/>
                <w:szCs w:val="18"/>
                <w:vertAlign w:val="superscript"/>
                <w:lang w:val="en-US"/>
              </w:rPr>
              <w:t>3</w:t>
            </w:r>
            <w:r w:rsidR="00FE5EFE" w:rsidRPr="00FE5EFE">
              <w:rPr>
                <w:sz w:val="18"/>
                <w:szCs w:val="18"/>
                <w:vertAlign w:val="superscript"/>
                <w:lang w:val="en-US"/>
              </w:rPr>
              <w:t>-1</w:t>
            </w:r>
            <w:r w:rsidR="00A720C6">
              <w:rPr>
                <w:sz w:val="18"/>
                <w:szCs w:val="18"/>
                <w:vertAlign w:val="superscript"/>
                <w:lang w:val="en-US"/>
              </w:rPr>
              <w:t>5</w:t>
            </w:r>
            <w:r w:rsidRPr="00DF48C7">
              <w:rPr>
                <w:sz w:val="18"/>
                <w:szCs w:val="18"/>
                <w:lang w:val="en-US"/>
              </w:rPr>
              <w:t xml:space="preserve"> Patients were also required to have an HDRS-17 Total score ≥18 at the end of screening.</w:t>
            </w:r>
            <w:r w:rsidR="00FE5EFE" w:rsidRPr="00FE5EFE">
              <w:rPr>
                <w:sz w:val="18"/>
                <w:szCs w:val="18"/>
                <w:vertAlign w:val="superscript"/>
                <w:lang w:val="en-US"/>
              </w:rPr>
              <w:t>1</w:t>
            </w:r>
            <w:r w:rsidR="00A720C6">
              <w:rPr>
                <w:sz w:val="18"/>
                <w:szCs w:val="18"/>
                <w:vertAlign w:val="superscript"/>
                <w:lang w:val="en-US"/>
              </w:rPr>
              <w:t>3</w:t>
            </w:r>
            <w:r w:rsidR="00FE5EFE" w:rsidRPr="00FE5EFE">
              <w:rPr>
                <w:sz w:val="18"/>
                <w:szCs w:val="18"/>
                <w:vertAlign w:val="superscript"/>
                <w:lang w:val="en-US"/>
              </w:rPr>
              <w:t>-1</w:t>
            </w:r>
            <w:r w:rsidR="00A720C6">
              <w:rPr>
                <w:sz w:val="18"/>
                <w:szCs w:val="18"/>
                <w:vertAlign w:val="superscript"/>
                <w:lang w:val="en-US"/>
              </w:rPr>
              <w:t>5</w:t>
            </w:r>
          </w:p>
        </w:tc>
      </w:tr>
      <w:tr w:rsidR="00EF45EB" w:rsidRPr="00DF48C7" w:rsidTr="009D3D09">
        <w:tc>
          <w:tcPr>
            <w:tcW w:w="791" w:type="pct"/>
            <w:hideMark/>
          </w:tcPr>
          <w:p w:rsidR="00EF45EB" w:rsidRPr="00DF48C7" w:rsidRDefault="00EF45EB" w:rsidP="009D3D09">
            <w:pPr>
              <w:pStyle w:val="BodyText1"/>
              <w:rPr>
                <w:b/>
                <w:sz w:val="18"/>
                <w:szCs w:val="18"/>
                <w:lang w:val="en-US"/>
              </w:rPr>
            </w:pPr>
            <w:r w:rsidRPr="00DF48C7">
              <w:rPr>
                <w:b/>
                <w:sz w:val="18"/>
                <w:szCs w:val="18"/>
                <w:lang w:val="en-US"/>
              </w:rPr>
              <w:t>Long-term</w:t>
            </w:r>
          </w:p>
        </w:tc>
        <w:tc>
          <w:tcPr>
            <w:tcW w:w="4209" w:type="pct"/>
            <w:hideMark/>
          </w:tcPr>
          <w:p w:rsidR="00EF45EB" w:rsidRPr="00DF48C7" w:rsidRDefault="00EF45EB" w:rsidP="009D3D09">
            <w:pPr>
              <w:pStyle w:val="bulletedlist"/>
              <w:rPr>
                <w:sz w:val="18"/>
                <w:szCs w:val="18"/>
                <w:lang w:val="en-US"/>
              </w:rPr>
            </w:pPr>
            <w:r w:rsidRPr="00DF48C7">
              <w:rPr>
                <w:sz w:val="18"/>
                <w:szCs w:val="18"/>
                <w:lang w:val="en-US"/>
              </w:rPr>
              <w:t xml:space="preserve">Berman </w:t>
            </w:r>
            <w:r w:rsidRPr="00DF48C7">
              <w:rPr>
                <w:i/>
                <w:sz w:val="18"/>
                <w:szCs w:val="18"/>
                <w:lang w:val="en-US"/>
              </w:rPr>
              <w:t>et al</w:t>
            </w:r>
            <w:r w:rsidRPr="00DF48C7">
              <w:rPr>
                <w:sz w:val="18"/>
                <w:szCs w:val="18"/>
                <w:lang w:val="en-US"/>
              </w:rPr>
              <w:t>., (2011): a 52-week, open-label, flexible-dose (2–30 mg/day if adjunct</w:t>
            </w:r>
            <w:r>
              <w:rPr>
                <w:sz w:val="18"/>
                <w:szCs w:val="18"/>
                <w:lang w:val="en-US"/>
              </w:rPr>
              <w:t>ive</w:t>
            </w:r>
            <w:r w:rsidRPr="00DF48C7">
              <w:rPr>
                <w:sz w:val="18"/>
                <w:szCs w:val="18"/>
                <w:lang w:val="en-US"/>
              </w:rPr>
              <w:t xml:space="preserve"> to venlafaxine extended-release, escitalopram, mirtazapine or sertraline, or 2–15 mg/day if adjunct</w:t>
            </w:r>
            <w:r>
              <w:rPr>
                <w:sz w:val="18"/>
                <w:szCs w:val="18"/>
                <w:lang w:val="en-US"/>
              </w:rPr>
              <w:t>ive</w:t>
            </w:r>
            <w:r w:rsidRPr="00DF48C7">
              <w:rPr>
                <w:sz w:val="18"/>
                <w:szCs w:val="18"/>
                <w:lang w:val="en-US"/>
              </w:rPr>
              <w:t xml:space="preserve"> to fluoxetine, paroxetine, duloxetine or bupropion), extension study in adults with MDD.</w:t>
            </w:r>
            <w:r w:rsidR="001B6911" w:rsidRPr="001B6911">
              <w:rPr>
                <w:sz w:val="18"/>
                <w:szCs w:val="18"/>
                <w:vertAlign w:val="superscript"/>
                <w:lang w:val="en-US"/>
              </w:rPr>
              <w:t>1</w:t>
            </w:r>
            <w:r w:rsidR="00A720C6">
              <w:rPr>
                <w:sz w:val="18"/>
                <w:szCs w:val="18"/>
                <w:vertAlign w:val="superscript"/>
                <w:lang w:val="en-US"/>
              </w:rPr>
              <w:t>6</w:t>
            </w:r>
          </w:p>
          <w:p w:rsidR="00EF45EB" w:rsidRPr="00DF48C7" w:rsidRDefault="00EF45EB" w:rsidP="009D3D09">
            <w:pPr>
              <w:pStyle w:val="bulletedlist"/>
              <w:rPr>
                <w:sz w:val="18"/>
                <w:szCs w:val="18"/>
                <w:lang w:val="en-US"/>
              </w:rPr>
            </w:pPr>
            <w:r w:rsidRPr="00DF48C7">
              <w:rPr>
                <w:sz w:val="18"/>
                <w:szCs w:val="18"/>
                <w:lang w:val="en-US"/>
              </w:rPr>
              <w:t>Eligible patients had, previously, completed one of two short-term studies (</w:t>
            </w:r>
            <w:r w:rsidRPr="00CF1028">
              <w:rPr>
                <w:sz w:val="18"/>
                <w:szCs w:val="18"/>
                <w:lang w:val="en-US"/>
              </w:rPr>
              <w:t xml:space="preserve">Berman </w:t>
            </w:r>
            <w:r w:rsidRPr="00CF1028">
              <w:rPr>
                <w:i/>
                <w:sz w:val="18"/>
                <w:szCs w:val="18"/>
                <w:lang w:val="en-US"/>
              </w:rPr>
              <w:t>et al</w:t>
            </w:r>
            <w:r w:rsidRPr="00CF1028">
              <w:rPr>
                <w:sz w:val="18"/>
                <w:szCs w:val="18"/>
                <w:lang w:val="en-US"/>
              </w:rPr>
              <w:t xml:space="preserve">., [2007]; Marcus </w:t>
            </w:r>
            <w:r w:rsidRPr="00CF1028">
              <w:rPr>
                <w:i/>
                <w:sz w:val="18"/>
                <w:szCs w:val="18"/>
                <w:lang w:val="en-US"/>
              </w:rPr>
              <w:t>et al</w:t>
            </w:r>
            <w:r w:rsidRPr="00CF1028">
              <w:rPr>
                <w:sz w:val="18"/>
                <w:szCs w:val="18"/>
                <w:lang w:val="en-US"/>
              </w:rPr>
              <w:t>., [2008])</w:t>
            </w:r>
            <w:r w:rsidRPr="00DF48C7">
              <w:rPr>
                <w:sz w:val="18"/>
                <w:szCs w:val="18"/>
                <w:lang w:val="en-US"/>
              </w:rPr>
              <w:t xml:space="preserve"> showing an inadequate response to a prospective ADT</w:t>
            </w:r>
            <w:r w:rsidRPr="00DF48C7">
              <w:rPr>
                <w:sz w:val="18"/>
                <w:szCs w:val="18"/>
                <w:vertAlign w:val="superscript"/>
                <w:lang w:val="en-US"/>
              </w:rPr>
              <w:t>b</w:t>
            </w:r>
            <w:r w:rsidRPr="00DF48C7">
              <w:rPr>
                <w:sz w:val="18"/>
                <w:szCs w:val="18"/>
                <w:lang w:val="en-US"/>
              </w:rPr>
              <w:t xml:space="preserve"> at Week 8, and had completed the 6-week randomized, double-blind period with adjunctive aripiprazole or placebo treatment.</w:t>
            </w:r>
            <w:r w:rsidR="001B6911" w:rsidRPr="001B6911">
              <w:rPr>
                <w:sz w:val="18"/>
                <w:szCs w:val="18"/>
                <w:vertAlign w:val="superscript"/>
                <w:lang w:val="en-US"/>
              </w:rPr>
              <w:t>1</w:t>
            </w:r>
            <w:r w:rsidR="00A720C6">
              <w:rPr>
                <w:sz w:val="18"/>
                <w:szCs w:val="18"/>
                <w:vertAlign w:val="superscript"/>
                <w:lang w:val="en-US"/>
              </w:rPr>
              <w:t>6</w:t>
            </w:r>
            <w:r w:rsidRPr="00DF48C7">
              <w:rPr>
                <w:sz w:val="18"/>
                <w:szCs w:val="18"/>
                <w:lang w:val="en-US"/>
              </w:rPr>
              <w:t xml:space="preserve"> Patients who were ADT responders at Week 8 of the short-term study were eligible if they did not meet the criteria for remission (MADRS </w:t>
            </w:r>
            <w:r w:rsidRPr="00DF48C7">
              <w:rPr>
                <w:rFonts w:cstheme="minorHAnsi"/>
                <w:sz w:val="18"/>
                <w:szCs w:val="18"/>
                <w:lang w:val="en-US"/>
              </w:rPr>
              <w:t>≤</w:t>
            </w:r>
            <w:r w:rsidRPr="00DF48C7">
              <w:rPr>
                <w:sz w:val="18"/>
                <w:szCs w:val="18"/>
                <w:lang w:val="en-US"/>
              </w:rPr>
              <w:t>10) at Week 14.</w:t>
            </w:r>
            <w:r w:rsidR="00217950" w:rsidRPr="00217950">
              <w:rPr>
                <w:sz w:val="18"/>
                <w:szCs w:val="18"/>
                <w:vertAlign w:val="superscript"/>
                <w:lang w:val="en-US"/>
              </w:rPr>
              <w:t>1</w:t>
            </w:r>
            <w:r w:rsidR="00A720C6">
              <w:rPr>
                <w:sz w:val="18"/>
                <w:szCs w:val="18"/>
                <w:vertAlign w:val="superscript"/>
                <w:lang w:val="en-US"/>
              </w:rPr>
              <w:t>6</w:t>
            </w:r>
            <w:r w:rsidRPr="00DF48C7">
              <w:rPr>
                <w:sz w:val="18"/>
                <w:szCs w:val="18"/>
                <w:lang w:val="en-US"/>
              </w:rPr>
              <w:t xml:space="preserve"> </w:t>
            </w:r>
            <w:r w:rsidRPr="00DF48C7">
              <w:rPr>
                <w:i/>
                <w:sz w:val="18"/>
                <w:szCs w:val="18"/>
                <w:lang w:val="en-US"/>
              </w:rPr>
              <w:t>De novo</w:t>
            </w:r>
            <w:r w:rsidRPr="00DF48C7">
              <w:rPr>
                <w:sz w:val="18"/>
                <w:szCs w:val="18"/>
                <w:lang w:val="en-US"/>
              </w:rPr>
              <w:t xml:space="preserve"> patients were also included.</w:t>
            </w:r>
            <w:r w:rsidR="00217950" w:rsidRPr="00217950">
              <w:rPr>
                <w:sz w:val="18"/>
                <w:szCs w:val="18"/>
                <w:vertAlign w:val="superscript"/>
                <w:lang w:val="en-US"/>
              </w:rPr>
              <w:t>1</w:t>
            </w:r>
            <w:r w:rsidR="00A720C6">
              <w:rPr>
                <w:sz w:val="18"/>
                <w:szCs w:val="18"/>
                <w:vertAlign w:val="superscript"/>
                <w:lang w:val="en-US"/>
              </w:rPr>
              <w:t>6</w:t>
            </w:r>
          </w:p>
        </w:tc>
      </w:tr>
    </w:tbl>
    <w:p w:rsidR="00EF45EB" w:rsidRPr="00DF48C7" w:rsidRDefault="00EF45EB" w:rsidP="00EF45EB">
      <w:pPr>
        <w:pStyle w:val="BodyText1"/>
        <w:rPr>
          <w:sz w:val="18"/>
          <w:szCs w:val="18"/>
          <w:lang w:val="en-US"/>
        </w:rPr>
      </w:pPr>
      <w:r w:rsidRPr="00DF48C7">
        <w:rPr>
          <w:sz w:val="18"/>
          <w:szCs w:val="18"/>
          <w:vertAlign w:val="superscript"/>
          <w:lang w:val="en-US"/>
        </w:rPr>
        <w:t>a</w:t>
      </w:r>
      <w:r w:rsidRPr="00DF48C7">
        <w:rPr>
          <w:sz w:val="18"/>
          <w:szCs w:val="18"/>
          <w:lang w:val="en-US"/>
        </w:rPr>
        <w:t xml:space="preserve">The study </w:t>
      </w:r>
      <w:r>
        <w:rPr>
          <w:sz w:val="18"/>
          <w:szCs w:val="18"/>
          <w:lang w:val="en-US"/>
        </w:rPr>
        <w:t>was</w:t>
      </w:r>
      <w:r w:rsidRPr="00DF48C7">
        <w:rPr>
          <w:sz w:val="18"/>
          <w:szCs w:val="18"/>
          <w:lang w:val="en-US"/>
        </w:rPr>
        <w:t xml:space="preserve"> ongoing and the brexpiprazole data presented are based on a cut-off date of 15 May 2015.</w:t>
      </w:r>
      <w:r w:rsidRPr="00DF48C7">
        <w:rPr>
          <w:sz w:val="18"/>
          <w:szCs w:val="18"/>
          <w:vertAlign w:val="superscript"/>
          <w:lang w:val="en-US"/>
        </w:rPr>
        <w:t xml:space="preserve"> </w:t>
      </w:r>
      <w:r w:rsidRPr="00DF48C7">
        <w:rPr>
          <w:sz w:val="18"/>
          <w:szCs w:val="18"/>
          <w:lang w:val="en-US"/>
        </w:rPr>
        <w:t>The study duration was amended to 26 weeks owing to a sufficient number of patients exposed for &gt;52 weeks.</w:t>
      </w:r>
      <w:r w:rsidR="00217950" w:rsidRPr="00217950">
        <w:rPr>
          <w:sz w:val="18"/>
          <w:szCs w:val="18"/>
          <w:vertAlign w:val="superscript"/>
          <w:lang w:val="en-US"/>
        </w:rPr>
        <w:t>1</w:t>
      </w:r>
      <w:r w:rsidR="00A720C6">
        <w:rPr>
          <w:sz w:val="18"/>
          <w:szCs w:val="18"/>
          <w:vertAlign w:val="superscript"/>
          <w:lang w:val="en-US"/>
        </w:rPr>
        <w:t>1</w:t>
      </w:r>
      <w:r w:rsidRPr="00DF48C7">
        <w:rPr>
          <w:sz w:val="18"/>
          <w:szCs w:val="18"/>
          <w:vertAlign w:val="superscript"/>
          <w:lang w:val="en-US"/>
        </w:rPr>
        <w:br/>
        <w:t>b</w:t>
      </w:r>
      <w:r w:rsidRPr="00DF48C7">
        <w:rPr>
          <w:sz w:val="18"/>
          <w:szCs w:val="18"/>
          <w:lang w:val="en-US"/>
        </w:rPr>
        <w:t>Venlafaxine extended-release, escitalopram, paroxetine controlled-release, fluoxetine or sertraline.</w:t>
      </w:r>
    </w:p>
    <w:p w:rsidR="00EF45EB" w:rsidRPr="00DF48C7" w:rsidRDefault="00EF45EB" w:rsidP="00EF45EB">
      <w:pPr>
        <w:pStyle w:val="BodyText1"/>
        <w:rPr>
          <w:lang w:val="en-US"/>
        </w:rPr>
      </w:pPr>
      <w:r w:rsidRPr="00DF48C7">
        <w:rPr>
          <w:sz w:val="18"/>
          <w:szCs w:val="18"/>
          <w:lang w:val="en-US"/>
        </w:rPr>
        <w:t xml:space="preserve">ADT=antidepressant treatment; ATRQ=Antidepressant Treatment Response Questionnaire; </w:t>
      </w:r>
      <w:r w:rsidRPr="00DF48C7">
        <w:rPr>
          <w:noProof/>
          <w:sz w:val="18"/>
          <w:szCs w:val="18"/>
          <w:lang w:val="en-US"/>
        </w:rPr>
        <w:t>DSM-IV-TR=Diagnostic and Statistical Manual of Mental Disorders, Fourth Edition, Text Revision;</w:t>
      </w:r>
      <w:r w:rsidRPr="00DF48C7">
        <w:rPr>
          <w:sz w:val="18"/>
          <w:szCs w:val="18"/>
          <w:lang w:val="en-US"/>
        </w:rPr>
        <w:t xml:space="preserve"> HDRS-17=17-item Hamilton Depression Rating Scale; MADRS=Montgomery–</w:t>
      </w:r>
      <w:r w:rsidRPr="00DF48C7">
        <w:rPr>
          <w:rFonts w:cstheme="minorHAnsi"/>
          <w:sz w:val="18"/>
          <w:szCs w:val="18"/>
          <w:lang w:val="en-US"/>
        </w:rPr>
        <w:t>Å</w:t>
      </w:r>
      <w:r w:rsidRPr="00DF48C7">
        <w:rPr>
          <w:sz w:val="18"/>
          <w:szCs w:val="18"/>
          <w:lang w:val="en-US"/>
        </w:rPr>
        <w:t xml:space="preserve">sberg Depression Rating Scale; MDD=major depressive disorder; </w:t>
      </w:r>
      <w:r w:rsidRPr="00DF48C7">
        <w:rPr>
          <w:noProof/>
          <w:sz w:val="18"/>
          <w:szCs w:val="18"/>
          <w:lang w:val="en-US"/>
        </w:rPr>
        <w:t>MINI=Mini International Neuropsychiatric Interview.</w:t>
      </w:r>
    </w:p>
    <w:p w:rsidR="009A2DAC" w:rsidRDefault="006F27D5">
      <w:pPr>
        <w:rPr>
          <w:b/>
          <w:lang w:val="en-US"/>
        </w:rPr>
        <w:sectPr w:rsidR="009A2DAC" w:rsidSect="006F27D5">
          <w:footnotePr>
            <w:numRestart w:val="eachSect"/>
          </w:footnotePr>
          <w:pgSz w:w="16840" w:h="11907" w:orient="landscape" w:code="9"/>
          <w:pgMar w:top="510" w:right="1701" w:bottom="510" w:left="1701" w:header="510" w:footer="510" w:gutter="0"/>
          <w:cols w:space="720"/>
          <w:docGrid w:linePitch="326"/>
        </w:sectPr>
      </w:pPr>
      <w:r>
        <w:rPr>
          <w:b/>
          <w:lang w:val="en-US"/>
        </w:rPr>
        <w:br w:type="page"/>
      </w:r>
    </w:p>
    <w:p w:rsidR="00EF45EB" w:rsidRPr="00DF48C7" w:rsidRDefault="00EF45EB" w:rsidP="00EF45EB">
      <w:pPr>
        <w:pStyle w:val="BodyText1"/>
        <w:rPr>
          <w:b/>
          <w:lang w:val="en-US"/>
        </w:rPr>
      </w:pPr>
      <w:r w:rsidRPr="00DF48C7">
        <w:rPr>
          <w:b/>
          <w:lang w:val="en-US"/>
        </w:rPr>
        <w:lastRenderedPageBreak/>
        <w:t>Supplementary Table 3: Baseline demographics and clinical characteristics in schizophrenia studies</w:t>
      </w:r>
    </w:p>
    <w:p w:rsidR="00EF45EB" w:rsidRPr="00DF48C7" w:rsidRDefault="00EF45EB" w:rsidP="00EF45EB">
      <w:pPr>
        <w:pStyle w:val="BodyText1"/>
        <w:rPr>
          <w:lang w:val="en-US"/>
        </w:rPr>
      </w:pPr>
    </w:p>
    <w:tbl>
      <w:tblPr>
        <w:tblStyle w:val="TableGrid"/>
        <w:tblW w:w="5000" w:type="pct"/>
        <w:tblLook w:val="04A0" w:firstRow="1" w:lastRow="0" w:firstColumn="1" w:lastColumn="0" w:noHBand="0" w:noVBand="1"/>
      </w:tblPr>
      <w:tblGrid>
        <w:gridCol w:w="3544"/>
        <w:gridCol w:w="1931"/>
        <w:gridCol w:w="1932"/>
        <w:gridCol w:w="106"/>
        <w:gridCol w:w="1826"/>
        <w:gridCol w:w="1932"/>
        <w:gridCol w:w="212"/>
        <w:gridCol w:w="1720"/>
        <w:gridCol w:w="1935"/>
      </w:tblGrid>
      <w:tr w:rsidR="00EF45EB" w:rsidRPr="00DF48C7" w:rsidTr="009A2DAC">
        <w:tc>
          <w:tcPr>
            <w:tcW w:w="1171" w:type="pct"/>
            <w:tcBorders>
              <w:left w:val="nil"/>
              <w:bottom w:val="nil"/>
              <w:right w:val="nil"/>
            </w:tcBorders>
          </w:tcPr>
          <w:p w:rsidR="00EF45EB" w:rsidRPr="00DF48C7" w:rsidRDefault="00EF45EB" w:rsidP="009D3D09">
            <w:pPr>
              <w:pStyle w:val="BodyText1"/>
              <w:rPr>
                <w:b/>
                <w:sz w:val="18"/>
                <w:szCs w:val="18"/>
                <w:lang w:val="en-US"/>
              </w:rPr>
            </w:pPr>
          </w:p>
        </w:tc>
        <w:tc>
          <w:tcPr>
            <w:tcW w:w="2621" w:type="pct"/>
            <w:gridSpan w:val="6"/>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Short-term studies</w:t>
            </w:r>
          </w:p>
        </w:tc>
        <w:tc>
          <w:tcPr>
            <w:tcW w:w="1208" w:type="pct"/>
            <w:gridSpan w:val="2"/>
            <w:vMerge w:val="restart"/>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Long-term studies</w:t>
            </w:r>
          </w:p>
        </w:tc>
      </w:tr>
      <w:tr w:rsidR="00EF45EB" w:rsidRPr="00DF48C7" w:rsidTr="009A2DAC">
        <w:tc>
          <w:tcPr>
            <w:tcW w:w="1171" w:type="pct"/>
            <w:tcBorders>
              <w:top w:val="nil"/>
              <w:left w:val="nil"/>
              <w:bottom w:val="nil"/>
              <w:right w:val="nil"/>
            </w:tcBorders>
          </w:tcPr>
          <w:p w:rsidR="00EF45EB" w:rsidRPr="00DF48C7" w:rsidRDefault="00EF45EB" w:rsidP="009D3D09">
            <w:pPr>
              <w:pStyle w:val="BodyText1"/>
              <w:rPr>
                <w:b/>
                <w:sz w:val="18"/>
                <w:szCs w:val="18"/>
                <w:lang w:val="en-US"/>
              </w:rPr>
            </w:pPr>
          </w:p>
        </w:tc>
        <w:tc>
          <w:tcPr>
            <w:tcW w:w="1311" w:type="pct"/>
            <w:gridSpan w:val="3"/>
            <w:tcBorders>
              <w:left w:val="nil"/>
              <w:right w:val="nil"/>
            </w:tcBorders>
          </w:tcPr>
          <w:p w:rsidR="00EF45EB" w:rsidRPr="00D10ABF" w:rsidRDefault="00EF45EB" w:rsidP="00D10ABF">
            <w:pPr>
              <w:pStyle w:val="BodyText1"/>
              <w:jc w:val="center"/>
              <w:rPr>
                <w:b/>
                <w:sz w:val="18"/>
                <w:szCs w:val="18"/>
                <w:lang w:val="en-US"/>
              </w:rPr>
            </w:pPr>
            <w:r w:rsidRPr="00DF48C7">
              <w:rPr>
                <w:b/>
                <w:sz w:val="18"/>
                <w:szCs w:val="18"/>
                <w:lang w:val="en-US"/>
              </w:rPr>
              <w:t>Brexpiprazole studies</w:t>
            </w:r>
          </w:p>
        </w:tc>
        <w:tc>
          <w:tcPr>
            <w:tcW w:w="1311" w:type="pct"/>
            <w:gridSpan w:val="3"/>
            <w:tcBorders>
              <w:left w:val="nil"/>
              <w:right w:val="nil"/>
            </w:tcBorders>
          </w:tcPr>
          <w:p w:rsidR="00EF45EB" w:rsidRPr="00D10ABF" w:rsidRDefault="00EF45EB" w:rsidP="00D10ABF">
            <w:pPr>
              <w:pStyle w:val="BodyText1"/>
              <w:jc w:val="center"/>
              <w:rPr>
                <w:b/>
                <w:sz w:val="18"/>
                <w:szCs w:val="18"/>
                <w:lang w:val="en-US"/>
              </w:rPr>
            </w:pPr>
            <w:r w:rsidRPr="00DF48C7">
              <w:rPr>
                <w:b/>
                <w:sz w:val="18"/>
                <w:szCs w:val="18"/>
                <w:lang w:val="en-US"/>
              </w:rPr>
              <w:t>Aripiprazole studies</w:t>
            </w:r>
          </w:p>
        </w:tc>
        <w:tc>
          <w:tcPr>
            <w:tcW w:w="1208" w:type="pct"/>
            <w:gridSpan w:val="2"/>
            <w:vMerge/>
            <w:tcBorders>
              <w:left w:val="nil"/>
              <w:right w:val="nil"/>
            </w:tcBorders>
          </w:tcPr>
          <w:p w:rsidR="00EF45EB" w:rsidRPr="00DF48C7" w:rsidRDefault="00EF45EB" w:rsidP="009D3D09">
            <w:pPr>
              <w:pStyle w:val="BodyText1"/>
              <w:jc w:val="center"/>
              <w:rPr>
                <w:b/>
                <w:sz w:val="18"/>
                <w:szCs w:val="18"/>
                <w:lang w:val="en-US"/>
              </w:rPr>
            </w:pPr>
          </w:p>
        </w:tc>
      </w:tr>
      <w:tr w:rsidR="00EF45EB" w:rsidRPr="00DF48C7" w:rsidTr="009A2DAC">
        <w:tc>
          <w:tcPr>
            <w:tcW w:w="1171" w:type="pct"/>
            <w:tcBorders>
              <w:top w:val="nil"/>
              <w:left w:val="nil"/>
              <w:bottom w:val="single" w:sz="4" w:space="0" w:color="auto"/>
              <w:right w:val="nil"/>
            </w:tcBorders>
          </w:tcPr>
          <w:p w:rsidR="00EF45EB" w:rsidRPr="00DF48C7" w:rsidRDefault="00EF45EB" w:rsidP="009D3D09">
            <w:pPr>
              <w:pStyle w:val="BodyText1"/>
              <w:rPr>
                <w:b/>
                <w:sz w:val="18"/>
                <w:szCs w:val="18"/>
                <w:lang w:val="en-US"/>
              </w:rPr>
            </w:pPr>
          </w:p>
        </w:tc>
        <w:tc>
          <w:tcPr>
            <w:tcW w:w="638" w:type="pct"/>
            <w:tcBorders>
              <w:left w:val="nil"/>
              <w:bottom w:val="single" w:sz="4" w:space="0" w:color="auto"/>
              <w:right w:val="nil"/>
            </w:tcBorders>
          </w:tcPr>
          <w:p w:rsidR="00EF45EB" w:rsidRPr="00DF48C7" w:rsidRDefault="00EF45EB" w:rsidP="009D3D09">
            <w:pPr>
              <w:pStyle w:val="BodyText1"/>
              <w:jc w:val="center"/>
              <w:rPr>
                <w:b/>
                <w:sz w:val="18"/>
                <w:szCs w:val="18"/>
                <w:lang w:val="en-US"/>
              </w:rPr>
            </w:pPr>
            <w:r w:rsidRPr="00DF48C7">
              <w:rPr>
                <w:b/>
                <w:sz w:val="18"/>
                <w:szCs w:val="18"/>
                <w:lang w:val="en-US"/>
              </w:rPr>
              <w:t>Placebo</w:t>
            </w:r>
            <w:r w:rsidRPr="00DF48C7">
              <w:rPr>
                <w:b/>
                <w:sz w:val="18"/>
                <w:szCs w:val="18"/>
                <w:lang w:val="en-US"/>
              </w:rPr>
              <w:br/>
              <w:t>(n=368)</w:t>
            </w:r>
          </w:p>
        </w:tc>
        <w:tc>
          <w:tcPr>
            <w:tcW w:w="638" w:type="pct"/>
            <w:tcBorders>
              <w:left w:val="nil"/>
              <w:bottom w:val="single" w:sz="4" w:space="0" w:color="auto"/>
              <w:right w:val="nil"/>
            </w:tcBorders>
          </w:tcPr>
          <w:p w:rsidR="00EF45EB" w:rsidRPr="00DF48C7" w:rsidRDefault="00EF45EB" w:rsidP="009D3D09">
            <w:pPr>
              <w:pStyle w:val="BodyText1"/>
              <w:jc w:val="center"/>
              <w:rPr>
                <w:b/>
                <w:sz w:val="18"/>
                <w:szCs w:val="18"/>
                <w:lang w:val="en-US"/>
              </w:rPr>
            </w:pPr>
            <w:r w:rsidRPr="00DF48C7">
              <w:rPr>
                <w:b/>
                <w:sz w:val="18"/>
                <w:szCs w:val="18"/>
                <w:lang w:val="en-US"/>
              </w:rPr>
              <w:t>Brexpiprazole</w:t>
            </w:r>
            <w:r w:rsidRPr="00DF48C7">
              <w:rPr>
                <w:b/>
                <w:sz w:val="18"/>
                <w:szCs w:val="18"/>
                <w:lang w:val="en-US"/>
              </w:rPr>
              <w:br/>
              <w:t>2 or 4 mg/day</w:t>
            </w:r>
            <w:r w:rsidRPr="00DF48C7">
              <w:rPr>
                <w:b/>
                <w:sz w:val="18"/>
                <w:szCs w:val="18"/>
                <w:lang w:val="en-US"/>
              </w:rPr>
              <w:br/>
              <w:t>(n=732)</w:t>
            </w:r>
          </w:p>
        </w:tc>
        <w:tc>
          <w:tcPr>
            <w:tcW w:w="638" w:type="pct"/>
            <w:gridSpan w:val="2"/>
            <w:tcBorders>
              <w:left w:val="nil"/>
              <w:bottom w:val="single" w:sz="4" w:space="0" w:color="auto"/>
              <w:right w:val="nil"/>
            </w:tcBorders>
          </w:tcPr>
          <w:p w:rsidR="00EF45EB" w:rsidRPr="00DF48C7" w:rsidRDefault="00EF45EB" w:rsidP="009D3D09">
            <w:pPr>
              <w:pStyle w:val="BodyText1"/>
              <w:jc w:val="center"/>
              <w:rPr>
                <w:b/>
                <w:sz w:val="18"/>
                <w:szCs w:val="18"/>
                <w:lang w:val="en-US"/>
              </w:rPr>
            </w:pPr>
            <w:r w:rsidRPr="00DF48C7">
              <w:rPr>
                <w:b/>
                <w:sz w:val="18"/>
                <w:szCs w:val="18"/>
                <w:lang w:val="en-US"/>
              </w:rPr>
              <w:t>Placebo</w:t>
            </w:r>
            <w:r w:rsidRPr="00DF48C7">
              <w:rPr>
                <w:b/>
                <w:sz w:val="18"/>
                <w:szCs w:val="18"/>
                <w:lang w:val="en-US"/>
              </w:rPr>
              <w:br/>
              <w:t>(n=317)</w:t>
            </w:r>
          </w:p>
        </w:tc>
        <w:tc>
          <w:tcPr>
            <w:tcW w:w="638" w:type="pct"/>
            <w:tcBorders>
              <w:left w:val="nil"/>
              <w:bottom w:val="single" w:sz="4" w:space="0" w:color="auto"/>
              <w:right w:val="nil"/>
            </w:tcBorders>
          </w:tcPr>
          <w:p w:rsidR="00EF45EB" w:rsidRPr="00DF48C7" w:rsidRDefault="00EF45EB" w:rsidP="009D3D09">
            <w:pPr>
              <w:pStyle w:val="BodyText1"/>
              <w:jc w:val="center"/>
              <w:rPr>
                <w:b/>
                <w:sz w:val="18"/>
                <w:szCs w:val="18"/>
                <w:lang w:val="en-US"/>
              </w:rPr>
            </w:pPr>
            <w:r w:rsidRPr="00DF48C7">
              <w:rPr>
                <w:b/>
                <w:sz w:val="18"/>
                <w:szCs w:val="18"/>
                <w:lang w:val="en-US"/>
              </w:rPr>
              <w:t>Aripiprazole</w:t>
            </w:r>
            <w:r w:rsidRPr="00DF48C7">
              <w:rPr>
                <w:b/>
                <w:sz w:val="18"/>
                <w:szCs w:val="18"/>
                <w:lang w:val="en-US"/>
              </w:rPr>
              <w:br/>
              <w:t xml:space="preserve">10, 15, 20 or </w:t>
            </w:r>
            <w:r w:rsidR="009A2DAC">
              <w:rPr>
                <w:b/>
                <w:sz w:val="18"/>
                <w:szCs w:val="18"/>
                <w:lang w:val="en-US"/>
              </w:rPr>
              <w:br/>
            </w:r>
            <w:r w:rsidRPr="00DF48C7">
              <w:rPr>
                <w:b/>
                <w:sz w:val="18"/>
                <w:szCs w:val="18"/>
                <w:lang w:val="en-US"/>
              </w:rPr>
              <w:t>30 mg/day</w:t>
            </w:r>
            <w:r w:rsidRPr="00DF48C7">
              <w:rPr>
                <w:b/>
                <w:sz w:val="18"/>
                <w:szCs w:val="18"/>
                <w:lang w:val="en-US"/>
              </w:rPr>
              <w:br/>
              <w:t>(n=718)</w:t>
            </w:r>
          </w:p>
        </w:tc>
        <w:tc>
          <w:tcPr>
            <w:tcW w:w="638" w:type="pct"/>
            <w:gridSpan w:val="2"/>
            <w:tcBorders>
              <w:left w:val="nil"/>
              <w:bottom w:val="single" w:sz="4" w:space="0" w:color="auto"/>
              <w:right w:val="nil"/>
            </w:tcBorders>
          </w:tcPr>
          <w:p w:rsidR="00EF45EB" w:rsidRPr="009A2DAC" w:rsidRDefault="00EF45EB" w:rsidP="009A2DAC">
            <w:pPr>
              <w:pStyle w:val="BodyText1"/>
              <w:jc w:val="center"/>
              <w:rPr>
                <w:b/>
                <w:sz w:val="18"/>
                <w:szCs w:val="18"/>
                <w:lang w:val="en-US"/>
              </w:rPr>
            </w:pPr>
            <w:r w:rsidRPr="00DF48C7">
              <w:rPr>
                <w:b/>
                <w:sz w:val="18"/>
                <w:szCs w:val="18"/>
                <w:lang w:val="en-US"/>
              </w:rPr>
              <w:t>Brexpiprazole</w:t>
            </w:r>
            <w:r w:rsidRPr="00DF48C7">
              <w:rPr>
                <w:b/>
                <w:sz w:val="18"/>
                <w:szCs w:val="18"/>
                <w:lang w:val="en-US"/>
              </w:rPr>
              <w:br/>
              <w:t>1–4 mg/day</w:t>
            </w:r>
            <w:r w:rsidRPr="00DF48C7">
              <w:rPr>
                <w:b/>
                <w:sz w:val="18"/>
                <w:szCs w:val="18"/>
                <w:lang w:val="en-US"/>
              </w:rPr>
              <w:br/>
              <w:t>(n=1,072)</w:t>
            </w:r>
          </w:p>
        </w:tc>
        <w:tc>
          <w:tcPr>
            <w:tcW w:w="639" w:type="pct"/>
            <w:tcBorders>
              <w:left w:val="nil"/>
              <w:bottom w:val="single" w:sz="4" w:space="0" w:color="auto"/>
              <w:right w:val="nil"/>
            </w:tcBorders>
          </w:tcPr>
          <w:p w:rsidR="00EF45EB" w:rsidRPr="00DF48C7" w:rsidRDefault="00EF45EB" w:rsidP="009A2DAC">
            <w:pPr>
              <w:pStyle w:val="BodyText1"/>
              <w:jc w:val="center"/>
              <w:rPr>
                <w:b/>
                <w:sz w:val="18"/>
                <w:szCs w:val="18"/>
                <w:lang w:val="en-US"/>
              </w:rPr>
            </w:pPr>
            <w:r w:rsidRPr="00DF48C7">
              <w:rPr>
                <w:b/>
                <w:sz w:val="18"/>
                <w:szCs w:val="18"/>
                <w:lang w:val="en-US"/>
              </w:rPr>
              <w:t>Aripiprazole</w:t>
            </w:r>
            <w:r w:rsidRPr="00DF48C7">
              <w:rPr>
                <w:b/>
                <w:sz w:val="18"/>
                <w:szCs w:val="18"/>
                <w:lang w:val="en-US"/>
              </w:rPr>
              <w:br/>
              <w:t>30 mg/day</w:t>
            </w:r>
            <w:r w:rsidRPr="00DF48C7">
              <w:rPr>
                <w:b/>
                <w:sz w:val="18"/>
                <w:szCs w:val="18"/>
                <w:lang w:val="en-US"/>
              </w:rPr>
              <w:br/>
              <w:t>(n=861)</w:t>
            </w:r>
          </w:p>
        </w:tc>
      </w:tr>
      <w:tr w:rsidR="00EF45EB" w:rsidRPr="00DF48C7" w:rsidTr="009D3D09">
        <w:tc>
          <w:tcPr>
            <w:tcW w:w="5000" w:type="pct"/>
            <w:gridSpan w:val="9"/>
            <w:tcBorders>
              <w:top w:val="single" w:sz="4" w:space="0" w:color="auto"/>
              <w:left w:val="nil"/>
              <w:bottom w:val="nil"/>
              <w:right w:val="nil"/>
            </w:tcBorders>
          </w:tcPr>
          <w:p w:rsidR="00EF45EB" w:rsidRPr="00DF48C7" w:rsidRDefault="00EF45EB" w:rsidP="009D3D09">
            <w:pPr>
              <w:pStyle w:val="BodyText1"/>
              <w:rPr>
                <w:b/>
                <w:sz w:val="18"/>
                <w:szCs w:val="18"/>
                <w:lang w:val="en-US"/>
              </w:rPr>
            </w:pPr>
            <w:r w:rsidRPr="00DF48C7">
              <w:rPr>
                <w:b/>
                <w:sz w:val="18"/>
                <w:szCs w:val="18"/>
                <w:lang w:val="en-US"/>
              </w:rPr>
              <w:t>Demographics</w:t>
            </w:r>
          </w:p>
        </w:tc>
      </w:tr>
      <w:tr w:rsidR="00EF45EB" w:rsidRPr="00DF48C7" w:rsidTr="009A2DAC">
        <w:tc>
          <w:tcPr>
            <w:tcW w:w="1171" w:type="pct"/>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Age (years), mean (SD)</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39.5 (10.8)</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39.0 (10.9)</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39.5 (10.5)</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39.4 (10.6)</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40.0 (11.1)</w:t>
            </w:r>
          </w:p>
        </w:tc>
        <w:tc>
          <w:tcPr>
            <w:tcW w:w="639"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37.3 (11)</w:t>
            </w:r>
          </w:p>
        </w:tc>
      </w:tr>
      <w:tr w:rsidR="00EF45EB" w:rsidRPr="00DF48C7" w:rsidTr="009A2DAC">
        <w:tc>
          <w:tcPr>
            <w:tcW w:w="1171" w:type="pct"/>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Male, n (%)</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229 (62.2)</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457 (62.4)</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230 (72.6)</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528 (73.5)</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663 (61.8)</w:t>
            </w:r>
          </w:p>
        </w:tc>
        <w:tc>
          <w:tcPr>
            <w:tcW w:w="639"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511 (59.3)</w:t>
            </w:r>
          </w:p>
        </w:tc>
      </w:tr>
      <w:tr w:rsidR="00EF45EB" w:rsidRPr="00DF48C7" w:rsidTr="009A2DAC">
        <w:tc>
          <w:tcPr>
            <w:tcW w:w="1171" w:type="pct"/>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Pr>
                <w:b/>
                <w:sz w:val="18"/>
                <w:szCs w:val="18"/>
                <w:lang w:val="en-US"/>
              </w:rPr>
              <w:t>Weight (kg), mean (SD)</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77.7 (18.6)</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78.9 (19.6)</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84.2 (20.1)</w:t>
            </w:r>
            <w:r w:rsidRPr="003800BF">
              <w:rPr>
                <w:sz w:val="18"/>
                <w:szCs w:val="18"/>
                <w:vertAlign w:val="superscript"/>
                <w:lang w:val="en-US"/>
              </w:rPr>
              <w:t>a</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85.1 (21.6)</w:t>
            </w:r>
            <w:r w:rsidRPr="003800BF">
              <w:rPr>
                <w:sz w:val="18"/>
                <w:szCs w:val="18"/>
                <w:vertAlign w:val="superscript"/>
                <w:lang w:val="en-US"/>
              </w:rPr>
              <w:t>b</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81.7 (21.0)</w:t>
            </w:r>
          </w:p>
        </w:tc>
        <w:tc>
          <w:tcPr>
            <w:tcW w:w="639"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74.5 (16.3)</w:t>
            </w:r>
            <w:r w:rsidRPr="003800BF">
              <w:rPr>
                <w:sz w:val="18"/>
                <w:szCs w:val="18"/>
                <w:vertAlign w:val="superscript"/>
                <w:lang w:val="en-US"/>
              </w:rPr>
              <w:t>c</w:t>
            </w:r>
          </w:p>
        </w:tc>
      </w:tr>
      <w:tr w:rsidR="00EF45EB" w:rsidRPr="00DF48C7" w:rsidTr="009A2DAC">
        <w:tc>
          <w:tcPr>
            <w:tcW w:w="1171" w:type="pct"/>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BMI (kg/m</w:t>
            </w:r>
            <w:r w:rsidRPr="00DF48C7">
              <w:rPr>
                <w:b/>
                <w:sz w:val="18"/>
                <w:szCs w:val="18"/>
                <w:vertAlign w:val="superscript"/>
                <w:lang w:val="en-US"/>
              </w:rPr>
              <w:t>2</w:t>
            </w:r>
            <w:r w:rsidRPr="00DF48C7">
              <w:rPr>
                <w:b/>
                <w:sz w:val="18"/>
                <w:szCs w:val="18"/>
                <w:lang w:val="en-US"/>
              </w:rPr>
              <w:t>), mean (SD)</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26.5 (5.5)</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26.9 (6.1)</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28.6 (6.6)</w:t>
            </w:r>
            <w:r w:rsidRPr="006A7F70">
              <w:rPr>
                <w:sz w:val="18"/>
                <w:szCs w:val="18"/>
                <w:vertAlign w:val="superscript"/>
                <w:lang w:val="en-US"/>
              </w:rPr>
              <w:t>a</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28.7 (7.2)</w:t>
            </w:r>
            <w:r w:rsidRPr="003800BF">
              <w:rPr>
                <w:sz w:val="18"/>
                <w:szCs w:val="18"/>
                <w:vertAlign w:val="superscript"/>
                <w:lang w:val="en-US"/>
              </w:rPr>
              <w:t>d</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27.9 (6.6)</w:t>
            </w:r>
          </w:p>
        </w:tc>
        <w:tc>
          <w:tcPr>
            <w:tcW w:w="639"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25.5 (5.4)</w:t>
            </w:r>
            <w:r w:rsidRPr="003800BF">
              <w:rPr>
                <w:sz w:val="18"/>
                <w:szCs w:val="18"/>
                <w:vertAlign w:val="superscript"/>
                <w:lang w:val="en-US"/>
              </w:rPr>
              <w:t>e</w:t>
            </w:r>
          </w:p>
        </w:tc>
      </w:tr>
      <w:tr w:rsidR="00EF45EB" w:rsidRPr="00DF48C7" w:rsidTr="009A2DAC">
        <w:tc>
          <w:tcPr>
            <w:tcW w:w="1171" w:type="pct"/>
            <w:tcBorders>
              <w:top w:val="nil"/>
              <w:left w:val="nil"/>
              <w:bottom w:val="single" w:sz="4" w:space="0" w:color="auto"/>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Caucasian, n (%)</w:t>
            </w:r>
          </w:p>
        </w:tc>
        <w:tc>
          <w:tcPr>
            <w:tcW w:w="638"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231 (62.8)</w:t>
            </w:r>
          </w:p>
        </w:tc>
        <w:tc>
          <w:tcPr>
            <w:tcW w:w="638"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461 (63.0)</w:t>
            </w:r>
          </w:p>
        </w:tc>
        <w:tc>
          <w:tcPr>
            <w:tcW w:w="638" w:type="pct"/>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160 (50.5)</w:t>
            </w:r>
          </w:p>
        </w:tc>
        <w:tc>
          <w:tcPr>
            <w:tcW w:w="638"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400 (55.7)</w:t>
            </w:r>
          </w:p>
        </w:tc>
        <w:tc>
          <w:tcPr>
            <w:tcW w:w="638" w:type="pct"/>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665 (62.0)</w:t>
            </w:r>
          </w:p>
        </w:tc>
        <w:tc>
          <w:tcPr>
            <w:tcW w:w="639"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733 (85.1)</w:t>
            </w:r>
          </w:p>
        </w:tc>
      </w:tr>
      <w:tr w:rsidR="00EF45EB" w:rsidRPr="00DF48C7" w:rsidTr="009D3D09">
        <w:tc>
          <w:tcPr>
            <w:tcW w:w="5000" w:type="pct"/>
            <w:gridSpan w:val="9"/>
            <w:tcBorders>
              <w:top w:val="single" w:sz="4" w:space="0" w:color="auto"/>
              <w:left w:val="nil"/>
              <w:bottom w:val="nil"/>
              <w:right w:val="nil"/>
            </w:tcBorders>
            <w:vAlign w:val="center"/>
          </w:tcPr>
          <w:p w:rsidR="00EF45EB" w:rsidRPr="00DF48C7" w:rsidRDefault="00EF45EB" w:rsidP="009D3D09">
            <w:pPr>
              <w:pStyle w:val="BodyText1"/>
              <w:rPr>
                <w:sz w:val="18"/>
                <w:szCs w:val="18"/>
                <w:lang w:val="en-US"/>
              </w:rPr>
            </w:pPr>
            <w:r w:rsidRPr="00DF48C7">
              <w:rPr>
                <w:b/>
                <w:sz w:val="18"/>
                <w:szCs w:val="18"/>
                <w:lang w:val="en-US"/>
              </w:rPr>
              <w:t>Clinical characteristics</w:t>
            </w:r>
          </w:p>
        </w:tc>
      </w:tr>
      <w:tr w:rsidR="00EF45EB" w:rsidRPr="00DF48C7" w:rsidTr="009A2DAC">
        <w:tc>
          <w:tcPr>
            <w:tcW w:w="1171" w:type="pct"/>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PANSS Total score, mean (SD)</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95.3 (12.2)</w:t>
            </w:r>
            <w:r>
              <w:rPr>
                <w:sz w:val="18"/>
                <w:szCs w:val="18"/>
                <w:vertAlign w:val="superscript"/>
                <w:lang w:val="en-US"/>
              </w:rPr>
              <w:t>f</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95.6 (12.8)</w:t>
            </w:r>
            <w:r>
              <w:rPr>
                <w:sz w:val="18"/>
                <w:szCs w:val="18"/>
                <w:vertAlign w:val="superscript"/>
                <w:lang w:val="en-US"/>
              </w:rPr>
              <w:t>g</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97.6 (18.3)</w:t>
            </w:r>
          </w:p>
        </w:tc>
        <w:tc>
          <w:tcPr>
            <w:tcW w:w="638"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91.5 (18.3)</w:t>
            </w:r>
            <w:r w:rsidRPr="008461A8">
              <w:rPr>
                <w:sz w:val="18"/>
                <w:szCs w:val="18"/>
                <w:vertAlign w:val="superscript"/>
                <w:lang w:val="en-US"/>
              </w:rPr>
              <w:t>h</w:t>
            </w:r>
          </w:p>
        </w:tc>
        <w:tc>
          <w:tcPr>
            <w:tcW w:w="638" w:type="pct"/>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69.5 (17.</w:t>
            </w:r>
            <w:r w:rsidRPr="00DF48C7">
              <w:rPr>
                <w:sz w:val="18"/>
                <w:lang w:val="en-US"/>
              </w:rPr>
              <w:t>2</w:t>
            </w:r>
            <w:r w:rsidRPr="00DF48C7">
              <w:rPr>
                <w:sz w:val="18"/>
                <w:szCs w:val="18"/>
                <w:lang w:val="en-US"/>
              </w:rPr>
              <w:t>)</w:t>
            </w:r>
            <w:r>
              <w:rPr>
                <w:sz w:val="18"/>
                <w:szCs w:val="18"/>
                <w:vertAlign w:val="superscript"/>
                <w:lang w:val="en-US"/>
              </w:rPr>
              <w:t>i</w:t>
            </w:r>
          </w:p>
        </w:tc>
        <w:tc>
          <w:tcPr>
            <w:tcW w:w="639" w:type="pct"/>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97.6 (18.3)</w:t>
            </w:r>
          </w:p>
        </w:tc>
      </w:tr>
      <w:tr w:rsidR="00EF45EB" w:rsidRPr="00DF48C7" w:rsidTr="009A2DAC">
        <w:tc>
          <w:tcPr>
            <w:tcW w:w="1171" w:type="pct"/>
            <w:tcBorders>
              <w:top w:val="nil"/>
              <w:left w:val="nil"/>
              <w:bottom w:val="single" w:sz="4" w:space="0" w:color="auto"/>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 xml:space="preserve">CGI-S score, mean (SD) </w:t>
            </w:r>
          </w:p>
        </w:tc>
        <w:tc>
          <w:tcPr>
            <w:tcW w:w="638"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4.9 (0.6)</w:t>
            </w:r>
          </w:p>
        </w:tc>
        <w:tc>
          <w:tcPr>
            <w:tcW w:w="638"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4.9 (0.6)</w:t>
            </w:r>
          </w:p>
        </w:tc>
        <w:tc>
          <w:tcPr>
            <w:tcW w:w="638" w:type="pct"/>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6.1 (0)</w:t>
            </w:r>
          </w:p>
        </w:tc>
        <w:tc>
          <w:tcPr>
            <w:tcW w:w="638"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6.1 (0)</w:t>
            </w:r>
            <w:r w:rsidRPr="008461A8">
              <w:rPr>
                <w:sz w:val="18"/>
                <w:szCs w:val="18"/>
                <w:vertAlign w:val="superscript"/>
                <w:lang w:val="en-US"/>
              </w:rPr>
              <w:t>j</w:t>
            </w:r>
          </w:p>
        </w:tc>
        <w:tc>
          <w:tcPr>
            <w:tcW w:w="638" w:type="pct"/>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3.5 (0.9)</w:t>
            </w:r>
            <w:r>
              <w:rPr>
                <w:sz w:val="18"/>
                <w:szCs w:val="18"/>
                <w:vertAlign w:val="superscript"/>
                <w:lang w:val="en-US"/>
              </w:rPr>
              <w:t>i</w:t>
            </w:r>
          </w:p>
        </w:tc>
        <w:tc>
          <w:tcPr>
            <w:tcW w:w="639" w:type="pct"/>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6.1 (0)</w:t>
            </w:r>
          </w:p>
        </w:tc>
      </w:tr>
    </w:tbl>
    <w:p w:rsidR="00EF45EB" w:rsidRPr="00DF48C7" w:rsidRDefault="00EF45EB" w:rsidP="00EF45EB">
      <w:pPr>
        <w:pStyle w:val="BodyText1"/>
        <w:rPr>
          <w:sz w:val="18"/>
          <w:szCs w:val="18"/>
          <w:lang w:val="en-US"/>
        </w:rPr>
      </w:pPr>
      <w:r w:rsidRPr="00DF48C7">
        <w:rPr>
          <w:sz w:val="18"/>
          <w:szCs w:val="18"/>
          <w:lang w:val="en-US"/>
        </w:rPr>
        <w:t>n=number of patients randomized/enrolled.</w:t>
      </w:r>
      <w:r w:rsidRPr="00DF48C7">
        <w:rPr>
          <w:sz w:val="18"/>
          <w:szCs w:val="18"/>
          <w:vertAlign w:val="superscript"/>
          <w:lang w:val="en-US"/>
        </w:rPr>
        <w:br/>
      </w:r>
      <w:r w:rsidRPr="003800BF">
        <w:rPr>
          <w:sz w:val="18"/>
          <w:szCs w:val="18"/>
          <w:vertAlign w:val="superscript"/>
          <w:lang w:val="en-US"/>
        </w:rPr>
        <w:t>a</w:t>
      </w:r>
      <w:r w:rsidRPr="003800BF">
        <w:rPr>
          <w:sz w:val="18"/>
          <w:szCs w:val="18"/>
          <w:lang w:val="en-US"/>
        </w:rPr>
        <w:t>n=</w:t>
      </w:r>
      <w:r>
        <w:rPr>
          <w:sz w:val="18"/>
          <w:szCs w:val="18"/>
          <w:lang w:val="en-US"/>
        </w:rPr>
        <w:t>314</w:t>
      </w:r>
      <w:r w:rsidRPr="003800BF">
        <w:rPr>
          <w:sz w:val="18"/>
          <w:szCs w:val="18"/>
          <w:lang w:val="en-US"/>
        </w:rPr>
        <w:t xml:space="preserve">; </w:t>
      </w:r>
      <w:r w:rsidRPr="003800BF">
        <w:rPr>
          <w:sz w:val="18"/>
          <w:szCs w:val="18"/>
          <w:vertAlign w:val="superscript"/>
          <w:lang w:val="en-US"/>
        </w:rPr>
        <w:t>b</w:t>
      </w:r>
      <w:r w:rsidRPr="003800BF">
        <w:rPr>
          <w:sz w:val="18"/>
          <w:szCs w:val="18"/>
          <w:lang w:val="en-US"/>
        </w:rPr>
        <w:t>n=</w:t>
      </w:r>
      <w:r>
        <w:rPr>
          <w:sz w:val="18"/>
          <w:szCs w:val="18"/>
          <w:lang w:val="en-US"/>
        </w:rPr>
        <w:t>712</w:t>
      </w:r>
      <w:r w:rsidRPr="003800BF">
        <w:rPr>
          <w:sz w:val="18"/>
          <w:szCs w:val="18"/>
          <w:lang w:val="en-US"/>
        </w:rPr>
        <w:t xml:space="preserve">; </w:t>
      </w:r>
      <w:r w:rsidRPr="003800BF">
        <w:rPr>
          <w:sz w:val="18"/>
          <w:szCs w:val="18"/>
          <w:vertAlign w:val="superscript"/>
          <w:lang w:val="en-US"/>
        </w:rPr>
        <w:t>c</w:t>
      </w:r>
      <w:r w:rsidRPr="003800BF">
        <w:rPr>
          <w:sz w:val="18"/>
          <w:szCs w:val="18"/>
          <w:lang w:val="en-US"/>
        </w:rPr>
        <w:t>n=</w:t>
      </w:r>
      <w:r>
        <w:rPr>
          <w:sz w:val="18"/>
          <w:szCs w:val="18"/>
          <w:lang w:val="en-US"/>
        </w:rPr>
        <w:t>858</w:t>
      </w:r>
      <w:r w:rsidRPr="003800BF">
        <w:rPr>
          <w:sz w:val="18"/>
          <w:szCs w:val="18"/>
          <w:lang w:val="en-US"/>
        </w:rPr>
        <w:t xml:space="preserve">; </w:t>
      </w:r>
      <w:r>
        <w:rPr>
          <w:sz w:val="18"/>
          <w:szCs w:val="18"/>
          <w:vertAlign w:val="superscript"/>
          <w:lang w:val="en-US"/>
        </w:rPr>
        <w:t>d</w:t>
      </w:r>
      <w:r>
        <w:rPr>
          <w:sz w:val="18"/>
          <w:szCs w:val="18"/>
          <w:lang w:val="en-US"/>
        </w:rPr>
        <w:t xml:space="preserve">n=709; </w:t>
      </w:r>
      <w:r>
        <w:rPr>
          <w:sz w:val="18"/>
          <w:szCs w:val="18"/>
          <w:vertAlign w:val="superscript"/>
          <w:lang w:val="en-US"/>
        </w:rPr>
        <w:t>e</w:t>
      </w:r>
      <w:r>
        <w:rPr>
          <w:sz w:val="18"/>
          <w:szCs w:val="18"/>
          <w:lang w:val="en-US"/>
        </w:rPr>
        <w:t xml:space="preserve">n=855; </w:t>
      </w:r>
      <w:r>
        <w:rPr>
          <w:sz w:val="18"/>
          <w:szCs w:val="18"/>
          <w:vertAlign w:val="superscript"/>
          <w:lang w:val="en-US"/>
        </w:rPr>
        <w:t>f</w:t>
      </w:r>
      <w:r w:rsidRPr="00DF48C7">
        <w:rPr>
          <w:sz w:val="18"/>
          <w:szCs w:val="18"/>
          <w:lang w:val="en-US"/>
        </w:rPr>
        <w:t xml:space="preserve">n=366; </w:t>
      </w:r>
      <w:r>
        <w:rPr>
          <w:sz w:val="18"/>
          <w:szCs w:val="18"/>
          <w:vertAlign w:val="superscript"/>
          <w:lang w:val="en-US"/>
        </w:rPr>
        <w:t>g</w:t>
      </w:r>
      <w:r w:rsidRPr="00DF48C7">
        <w:rPr>
          <w:sz w:val="18"/>
          <w:szCs w:val="18"/>
          <w:lang w:val="en-US"/>
        </w:rPr>
        <w:t xml:space="preserve">n=728; </w:t>
      </w:r>
      <w:r>
        <w:rPr>
          <w:sz w:val="18"/>
          <w:szCs w:val="18"/>
          <w:vertAlign w:val="superscript"/>
          <w:lang w:val="en-US"/>
        </w:rPr>
        <w:t>h</w:t>
      </w:r>
      <w:r>
        <w:rPr>
          <w:sz w:val="18"/>
          <w:szCs w:val="18"/>
          <w:lang w:val="en-US"/>
        </w:rPr>
        <w:t xml:space="preserve">n=716; </w:t>
      </w:r>
      <w:r>
        <w:rPr>
          <w:sz w:val="18"/>
          <w:szCs w:val="18"/>
          <w:vertAlign w:val="superscript"/>
          <w:lang w:val="en-US"/>
        </w:rPr>
        <w:t>i</w:t>
      </w:r>
      <w:r w:rsidRPr="00DF48C7">
        <w:rPr>
          <w:sz w:val="18"/>
          <w:szCs w:val="18"/>
          <w:lang w:val="en-US"/>
        </w:rPr>
        <w:t>n=1,031</w:t>
      </w:r>
      <w:r>
        <w:rPr>
          <w:sz w:val="18"/>
          <w:szCs w:val="18"/>
          <w:lang w:val="en-US"/>
        </w:rPr>
        <w:t xml:space="preserve">; </w:t>
      </w:r>
      <w:r>
        <w:rPr>
          <w:sz w:val="18"/>
          <w:szCs w:val="18"/>
          <w:vertAlign w:val="superscript"/>
          <w:lang w:val="en-US"/>
        </w:rPr>
        <w:t>j</w:t>
      </w:r>
      <w:r>
        <w:rPr>
          <w:sz w:val="18"/>
          <w:szCs w:val="18"/>
          <w:lang w:val="en-US"/>
        </w:rPr>
        <w:t>n=715</w:t>
      </w:r>
      <w:r w:rsidRPr="00DF48C7">
        <w:rPr>
          <w:sz w:val="18"/>
          <w:szCs w:val="18"/>
          <w:lang w:val="en-US"/>
        </w:rPr>
        <w:t>.</w:t>
      </w:r>
    </w:p>
    <w:p w:rsidR="00EF45EB" w:rsidRPr="003800BF" w:rsidRDefault="00EF45EB" w:rsidP="00EF45EB">
      <w:pPr>
        <w:rPr>
          <w:rFonts w:ascii="Verdana" w:hAnsi="Verdana"/>
          <w:sz w:val="18"/>
          <w:lang w:val="en-US"/>
        </w:rPr>
      </w:pPr>
      <w:r w:rsidRPr="00DF48C7">
        <w:rPr>
          <w:rStyle w:val="BodytextChar"/>
          <w:rFonts w:eastAsiaTheme="minorHAnsi"/>
          <w:sz w:val="18"/>
          <w:lang w:val="en-US"/>
        </w:rPr>
        <w:t>BMI=body mass index; CGI-S=Clinical Global Impression</w:t>
      </w:r>
      <w:r>
        <w:rPr>
          <w:rStyle w:val="BodytextChar"/>
          <w:rFonts w:eastAsiaTheme="minorHAnsi"/>
          <w:sz w:val="18"/>
          <w:lang w:val="en-US"/>
        </w:rPr>
        <w:t xml:space="preserve">s – </w:t>
      </w:r>
      <w:r w:rsidRPr="00DF48C7">
        <w:rPr>
          <w:rStyle w:val="BodytextChar"/>
          <w:rFonts w:eastAsiaTheme="minorHAnsi"/>
          <w:sz w:val="18"/>
          <w:lang w:val="en-US"/>
        </w:rPr>
        <w:t xml:space="preserve">Severity of </w:t>
      </w:r>
      <w:r>
        <w:rPr>
          <w:rStyle w:val="BodytextChar"/>
          <w:rFonts w:eastAsiaTheme="minorHAnsi"/>
          <w:sz w:val="18"/>
          <w:lang w:val="en-US"/>
        </w:rPr>
        <w:t>i</w:t>
      </w:r>
      <w:r w:rsidRPr="00DF48C7">
        <w:rPr>
          <w:rStyle w:val="BodytextChar"/>
          <w:rFonts w:eastAsiaTheme="minorHAnsi"/>
          <w:sz w:val="18"/>
          <w:lang w:val="en-US"/>
        </w:rPr>
        <w:t>llness; PANSS=Positive and Negative Syndrome Scale; SD=standard deviation</w:t>
      </w:r>
      <w:r w:rsidRPr="00DF48C7">
        <w:rPr>
          <w:noProof/>
          <w:sz w:val="18"/>
          <w:szCs w:val="18"/>
          <w:lang w:val="en-US"/>
        </w:rPr>
        <w:t>.</w:t>
      </w:r>
    </w:p>
    <w:p w:rsidR="006F27D5" w:rsidRDefault="006F27D5">
      <w:pPr>
        <w:rPr>
          <w:rFonts w:ascii="Verdana" w:eastAsia="Times New Roman" w:hAnsi="Verdana" w:cs="Times New Roman"/>
          <w:b/>
          <w:color w:val="000000"/>
          <w:sz w:val="20"/>
          <w:szCs w:val="20"/>
          <w:lang w:val="en-US"/>
        </w:rPr>
      </w:pPr>
      <w:r>
        <w:rPr>
          <w:b/>
          <w:lang w:val="en-US"/>
        </w:rPr>
        <w:br w:type="page"/>
      </w:r>
    </w:p>
    <w:p w:rsidR="00EF45EB" w:rsidRPr="00DF48C7" w:rsidRDefault="00EF45EB" w:rsidP="00EF45EB">
      <w:pPr>
        <w:pStyle w:val="BodyText1"/>
        <w:rPr>
          <w:b/>
          <w:lang w:val="en-US"/>
        </w:rPr>
      </w:pPr>
      <w:r w:rsidRPr="00DF48C7">
        <w:rPr>
          <w:b/>
          <w:lang w:val="en-US"/>
        </w:rPr>
        <w:lastRenderedPageBreak/>
        <w:t>Supplementary Table 4: Patient disposition in schizophrenia studies</w:t>
      </w:r>
    </w:p>
    <w:p w:rsidR="00EF45EB" w:rsidRPr="00DF48C7" w:rsidRDefault="00EF45EB" w:rsidP="00EF45EB">
      <w:pPr>
        <w:pStyle w:val="BodyText1"/>
        <w:rPr>
          <w:lang w:val="en-US"/>
        </w:rPr>
      </w:pPr>
    </w:p>
    <w:tbl>
      <w:tblPr>
        <w:tblStyle w:val="TableGrid"/>
        <w:tblW w:w="15139" w:type="dxa"/>
        <w:tblLayout w:type="fixed"/>
        <w:tblLook w:val="04A0" w:firstRow="1" w:lastRow="0" w:firstColumn="1" w:lastColumn="0" w:noHBand="0" w:noVBand="1"/>
      </w:tblPr>
      <w:tblGrid>
        <w:gridCol w:w="4094"/>
        <w:gridCol w:w="1840"/>
        <w:gridCol w:w="1841"/>
        <w:gridCol w:w="54"/>
        <w:gridCol w:w="1787"/>
        <w:gridCol w:w="1841"/>
        <w:gridCol w:w="108"/>
        <w:gridCol w:w="1733"/>
        <w:gridCol w:w="1841"/>
      </w:tblGrid>
      <w:tr w:rsidR="00EF45EB" w:rsidRPr="00DF48C7" w:rsidTr="009A2DAC">
        <w:tc>
          <w:tcPr>
            <w:tcW w:w="4094" w:type="dxa"/>
            <w:tcBorders>
              <w:left w:val="nil"/>
              <w:bottom w:val="nil"/>
              <w:right w:val="nil"/>
            </w:tcBorders>
          </w:tcPr>
          <w:p w:rsidR="00EF45EB" w:rsidRPr="00DF48C7" w:rsidRDefault="00EF45EB" w:rsidP="009D3D09">
            <w:pPr>
              <w:pStyle w:val="BodyText1"/>
              <w:rPr>
                <w:b/>
                <w:sz w:val="18"/>
                <w:szCs w:val="18"/>
                <w:lang w:val="en-US"/>
              </w:rPr>
            </w:pPr>
          </w:p>
        </w:tc>
        <w:tc>
          <w:tcPr>
            <w:tcW w:w="7471" w:type="dxa"/>
            <w:gridSpan w:val="6"/>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Short-term studies</w:t>
            </w:r>
          </w:p>
        </w:tc>
        <w:tc>
          <w:tcPr>
            <w:tcW w:w="3574" w:type="dxa"/>
            <w:gridSpan w:val="2"/>
            <w:vMerge w:val="restart"/>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Long-term studies</w:t>
            </w:r>
          </w:p>
        </w:tc>
      </w:tr>
      <w:tr w:rsidR="00EF45EB" w:rsidRPr="00DF48C7" w:rsidTr="009A2DAC">
        <w:tc>
          <w:tcPr>
            <w:tcW w:w="4094" w:type="dxa"/>
            <w:tcBorders>
              <w:top w:val="nil"/>
              <w:left w:val="nil"/>
              <w:bottom w:val="nil"/>
              <w:right w:val="nil"/>
            </w:tcBorders>
          </w:tcPr>
          <w:p w:rsidR="00EF45EB" w:rsidRPr="00DF48C7" w:rsidRDefault="00EF45EB" w:rsidP="009D3D09">
            <w:pPr>
              <w:pStyle w:val="BodyText1"/>
              <w:rPr>
                <w:b/>
                <w:sz w:val="18"/>
                <w:szCs w:val="18"/>
                <w:lang w:val="en-US"/>
              </w:rPr>
            </w:pPr>
          </w:p>
        </w:tc>
        <w:tc>
          <w:tcPr>
            <w:tcW w:w="3735" w:type="dxa"/>
            <w:gridSpan w:val="3"/>
            <w:tcBorders>
              <w:left w:val="nil"/>
              <w:right w:val="nil"/>
            </w:tcBorders>
          </w:tcPr>
          <w:p w:rsidR="00EF45EB" w:rsidRPr="00D10ABF" w:rsidRDefault="00EF45EB" w:rsidP="00D10ABF">
            <w:pPr>
              <w:pStyle w:val="BodyText1"/>
              <w:jc w:val="center"/>
              <w:rPr>
                <w:b/>
                <w:sz w:val="18"/>
                <w:szCs w:val="18"/>
                <w:lang w:val="en-US"/>
              </w:rPr>
            </w:pPr>
            <w:r w:rsidRPr="00DF48C7">
              <w:rPr>
                <w:b/>
                <w:sz w:val="18"/>
                <w:szCs w:val="18"/>
                <w:lang w:val="en-US"/>
              </w:rPr>
              <w:t>Brexpiprazole studies</w:t>
            </w:r>
          </w:p>
        </w:tc>
        <w:tc>
          <w:tcPr>
            <w:tcW w:w="3736" w:type="dxa"/>
            <w:gridSpan w:val="3"/>
            <w:tcBorders>
              <w:left w:val="nil"/>
              <w:right w:val="nil"/>
            </w:tcBorders>
          </w:tcPr>
          <w:p w:rsidR="00EF45EB" w:rsidRPr="00DF48C7" w:rsidRDefault="00EF45EB" w:rsidP="00D10ABF">
            <w:pPr>
              <w:pStyle w:val="BodyText1"/>
              <w:jc w:val="center"/>
              <w:rPr>
                <w:b/>
                <w:sz w:val="18"/>
                <w:szCs w:val="18"/>
                <w:lang w:val="en-US"/>
              </w:rPr>
            </w:pPr>
            <w:r w:rsidRPr="00DF48C7">
              <w:rPr>
                <w:b/>
                <w:sz w:val="18"/>
                <w:szCs w:val="18"/>
                <w:lang w:val="en-US"/>
              </w:rPr>
              <w:t>Aripiprazole studies</w:t>
            </w:r>
          </w:p>
        </w:tc>
        <w:tc>
          <w:tcPr>
            <w:tcW w:w="3574" w:type="dxa"/>
            <w:gridSpan w:val="2"/>
            <w:vMerge/>
            <w:tcBorders>
              <w:left w:val="nil"/>
              <w:right w:val="nil"/>
            </w:tcBorders>
          </w:tcPr>
          <w:p w:rsidR="00EF45EB" w:rsidRPr="00DF48C7" w:rsidRDefault="00EF45EB" w:rsidP="009D3D09">
            <w:pPr>
              <w:pStyle w:val="BodyText1"/>
              <w:jc w:val="center"/>
              <w:rPr>
                <w:b/>
                <w:sz w:val="18"/>
                <w:szCs w:val="18"/>
                <w:lang w:val="en-US"/>
              </w:rPr>
            </w:pPr>
          </w:p>
        </w:tc>
      </w:tr>
      <w:tr w:rsidR="00EF45EB" w:rsidRPr="00DF48C7" w:rsidTr="009A2DAC">
        <w:tc>
          <w:tcPr>
            <w:tcW w:w="4094" w:type="dxa"/>
            <w:tcBorders>
              <w:top w:val="nil"/>
              <w:left w:val="nil"/>
              <w:right w:val="nil"/>
            </w:tcBorders>
          </w:tcPr>
          <w:p w:rsidR="00EF45EB" w:rsidRPr="00DF48C7" w:rsidRDefault="00EF45EB" w:rsidP="009D3D09">
            <w:pPr>
              <w:pStyle w:val="BodyText1"/>
              <w:rPr>
                <w:b/>
                <w:sz w:val="18"/>
                <w:szCs w:val="18"/>
                <w:lang w:val="en-US"/>
              </w:rPr>
            </w:pPr>
          </w:p>
        </w:tc>
        <w:tc>
          <w:tcPr>
            <w:tcW w:w="1840" w:type="dxa"/>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Placebo</w:t>
            </w:r>
          </w:p>
        </w:tc>
        <w:tc>
          <w:tcPr>
            <w:tcW w:w="1841" w:type="dxa"/>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Brexpiprazole</w:t>
            </w:r>
            <w:r w:rsidRPr="00DF48C7">
              <w:rPr>
                <w:b/>
                <w:sz w:val="18"/>
                <w:szCs w:val="18"/>
                <w:lang w:val="en-US"/>
              </w:rPr>
              <w:br/>
              <w:t>2 or 4 mg/day</w:t>
            </w:r>
          </w:p>
        </w:tc>
        <w:tc>
          <w:tcPr>
            <w:tcW w:w="1841" w:type="dxa"/>
            <w:gridSpan w:val="2"/>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Placebo</w:t>
            </w:r>
          </w:p>
        </w:tc>
        <w:tc>
          <w:tcPr>
            <w:tcW w:w="1841" w:type="dxa"/>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Aripiprazole</w:t>
            </w:r>
            <w:r w:rsidRPr="00DF48C7">
              <w:rPr>
                <w:b/>
                <w:sz w:val="18"/>
                <w:szCs w:val="18"/>
                <w:lang w:val="en-US"/>
              </w:rPr>
              <w:br/>
              <w:t>10, 15, 20 or</w:t>
            </w:r>
            <w:r w:rsidR="009A2DAC">
              <w:rPr>
                <w:b/>
                <w:sz w:val="18"/>
                <w:szCs w:val="18"/>
                <w:lang w:val="en-US"/>
              </w:rPr>
              <w:br/>
            </w:r>
            <w:r w:rsidRPr="00DF48C7">
              <w:rPr>
                <w:b/>
                <w:sz w:val="18"/>
                <w:szCs w:val="18"/>
                <w:lang w:val="en-US"/>
              </w:rPr>
              <w:t>30 mg/day</w:t>
            </w:r>
          </w:p>
        </w:tc>
        <w:tc>
          <w:tcPr>
            <w:tcW w:w="1841" w:type="dxa"/>
            <w:gridSpan w:val="2"/>
            <w:tcBorders>
              <w:left w:val="nil"/>
              <w:right w:val="nil"/>
            </w:tcBorders>
          </w:tcPr>
          <w:p w:rsidR="00EF45EB" w:rsidRPr="007F08BE" w:rsidRDefault="00EF45EB" w:rsidP="007F08BE">
            <w:pPr>
              <w:pStyle w:val="BodyText1"/>
              <w:jc w:val="center"/>
              <w:rPr>
                <w:b/>
                <w:sz w:val="18"/>
                <w:szCs w:val="18"/>
                <w:vertAlign w:val="superscript"/>
                <w:lang w:val="en-US"/>
              </w:rPr>
            </w:pPr>
            <w:r w:rsidRPr="00DF48C7">
              <w:rPr>
                <w:b/>
                <w:sz w:val="18"/>
                <w:szCs w:val="18"/>
                <w:lang w:val="en-US"/>
              </w:rPr>
              <w:t>Brexpiprazole</w:t>
            </w:r>
            <w:r w:rsidRPr="00DF48C7">
              <w:rPr>
                <w:b/>
                <w:sz w:val="18"/>
                <w:szCs w:val="18"/>
                <w:lang w:val="en-US"/>
              </w:rPr>
              <w:br/>
              <w:t>1–4 mg/day</w:t>
            </w:r>
            <w:r w:rsidRPr="00DF48C7">
              <w:rPr>
                <w:b/>
                <w:sz w:val="18"/>
                <w:szCs w:val="18"/>
                <w:vertAlign w:val="superscript"/>
                <w:lang w:val="en-US"/>
              </w:rPr>
              <w:t>a</w:t>
            </w:r>
          </w:p>
        </w:tc>
        <w:tc>
          <w:tcPr>
            <w:tcW w:w="1841" w:type="dxa"/>
            <w:tcBorders>
              <w:left w:val="nil"/>
              <w:right w:val="nil"/>
            </w:tcBorders>
          </w:tcPr>
          <w:p w:rsidR="00EF45EB" w:rsidRPr="00DF48C7" w:rsidRDefault="00EF45EB" w:rsidP="007F08BE">
            <w:pPr>
              <w:pStyle w:val="BodyText1"/>
              <w:jc w:val="center"/>
              <w:rPr>
                <w:b/>
                <w:sz w:val="18"/>
                <w:szCs w:val="18"/>
                <w:lang w:val="en-US"/>
              </w:rPr>
            </w:pPr>
            <w:r w:rsidRPr="00DF48C7">
              <w:rPr>
                <w:b/>
                <w:sz w:val="18"/>
                <w:szCs w:val="18"/>
                <w:lang w:val="en-US"/>
              </w:rPr>
              <w:t>Aripiprazole</w:t>
            </w:r>
            <w:r w:rsidRPr="00DF48C7">
              <w:rPr>
                <w:b/>
                <w:sz w:val="18"/>
                <w:szCs w:val="18"/>
                <w:lang w:val="en-US"/>
              </w:rPr>
              <w:br/>
              <w:t>30 mg/day</w:t>
            </w:r>
          </w:p>
        </w:tc>
      </w:tr>
      <w:tr w:rsidR="00EF45EB" w:rsidRPr="00DF48C7" w:rsidTr="009A2DAC">
        <w:tc>
          <w:tcPr>
            <w:tcW w:w="4094" w:type="dxa"/>
            <w:tcBorders>
              <w:left w:val="nil"/>
              <w:right w:val="nil"/>
            </w:tcBorders>
            <w:vAlign w:val="center"/>
          </w:tcPr>
          <w:p w:rsidR="00EF45EB" w:rsidRPr="00DF48C7" w:rsidRDefault="00EF45EB" w:rsidP="009D3D09">
            <w:pPr>
              <w:pStyle w:val="BodyText1"/>
              <w:rPr>
                <w:b/>
                <w:sz w:val="18"/>
                <w:szCs w:val="18"/>
                <w:lang w:val="en-US"/>
              </w:rPr>
            </w:pPr>
            <w:r w:rsidRPr="00DF48C7">
              <w:rPr>
                <w:b/>
                <w:sz w:val="18"/>
                <w:szCs w:val="18"/>
                <w:lang w:val="en-US"/>
              </w:rPr>
              <w:t>Randomized/enrolled</w:t>
            </w:r>
          </w:p>
        </w:tc>
        <w:tc>
          <w:tcPr>
            <w:tcW w:w="1840"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368 (100.0)</w:t>
            </w:r>
          </w:p>
        </w:tc>
        <w:tc>
          <w:tcPr>
            <w:tcW w:w="1841"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732 (100.0)</w:t>
            </w:r>
          </w:p>
        </w:tc>
        <w:tc>
          <w:tcPr>
            <w:tcW w:w="1841"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317 (100.0)</w:t>
            </w:r>
          </w:p>
        </w:tc>
        <w:tc>
          <w:tcPr>
            <w:tcW w:w="1841"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718 (100.0)</w:t>
            </w:r>
          </w:p>
        </w:tc>
        <w:tc>
          <w:tcPr>
            <w:tcW w:w="1841"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1,072 (100.0)</w:t>
            </w:r>
          </w:p>
        </w:tc>
        <w:tc>
          <w:tcPr>
            <w:tcW w:w="1841"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861 (100.0)</w:t>
            </w:r>
          </w:p>
        </w:tc>
      </w:tr>
      <w:tr w:rsidR="00EF45EB" w:rsidRPr="00DF48C7" w:rsidTr="009A2DAC">
        <w:trPr>
          <w:trHeight w:val="133"/>
        </w:trPr>
        <w:tc>
          <w:tcPr>
            <w:tcW w:w="4094" w:type="dxa"/>
            <w:tcBorders>
              <w:left w:val="nil"/>
              <w:right w:val="nil"/>
            </w:tcBorders>
            <w:vAlign w:val="center"/>
          </w:tcPr>
          <w:p w:rsidR="00EF45EB" w:rsidRPr="00DF48C7" w:rsidRDefault="00EF45EB" w:rsidP="009D3D09">
            <w:pPr>
              <w:pStyle w:val="BodyText1"/>
              <w:rPr>
                <w:b/>
                <w:sz w:val="18"/>
                <w:szCs w:val="18"/>
                <w:lang w:val="en-US"/>
              </w:rPr>
            </w:pPr>
            <w:r w:rsidRPr="00DF48C7">
              <w:rPr>
                <w:b/>
                <w:sz w:val="18"/>
                <w:szCs w:val="18"/>
                <w:lang w:val="en-US"/>
              </w:rPr>
              <w:t>Completed</w:t>
            </w:r>
          </w:p>
        </w:tc>
        <w:tc>
          <w:tcPr>
            <w:tcW w:w="1840"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227 (61.7)</w:t>
            </w:r>
          </w:p>
        </w:tc>
        <w:tc>
          <w:tcPr>
            <w:tcW w:w="1841"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504 (68.9)</w:t>
            </w:r>
          </w:p>
        </w:tc>
        <w:tc>
          <w:tcPr>
            <w:tcW w:w="1841"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162 (51.1)</w:t>
            </w:r>
          </w:p>
        </w:tc>
        <w:tc>
          <w:tcPr>
            <w:tcW w:w="1841"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418 (58.2)</w:t>
            </w:r>
          </w:p>
        </w:tc>
        <w:tc>
          <w:tcPr>
            <w:tcW w:w="1841"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508 (47.4)</w:t>
            </w:r>
            <w:r w:rsidRPr="00DF48C7">
              <w:rPr>
                <w:sz w:val="18"/>
                <w:szCs w:val="18"/>
                <w:vertAlign w:val="superscript"/>
                <w:lang w:val="en-US"/>
              </w:rPr>
              <w:t>a</w:t>
            </w:r>
          </w:p>
        </w:tc>
        <w:tc>
          <w:tcPr>
            <w:tcW w:w="1841"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367 (42.6)</w:t>
            </w:r>
          </w:p>
        </w:tc>
      </w:tr>
      <w:tr w:rsidR="00EF45EB" w:rsidRPr="00DF48C7" w:rsidTr="009A2DAC">
        <w:tc>
          <w:tcPr>
            <w:tcW w:w="4094" w:type="dxa"/>
            <w:tcBorders>
              <w:left w:val="nil"/>
              <w:bottom w:val="nil"/>
              <w:right w:val="nil"/>
            </w:tcBorders>
            <w:vAlign w:val="center"/>
          </w:tcPr>
          <w:p w:rsidR="00EF45EB" w:rsidRPr="00DF48C7" w:rsidRDefault="00EF45EB" w:rsidP="009D3D09">
            <w:pPr>
              <w:pStyle w:val="BodyText1"/>
              <w:rPr>
                <w:b/>
                <w:sz w:val="18"/>
                <w:szCs w:val="18"/>
                <w:lang w:val="en-US"/>
              </w:rPr>
            </w:pPr>
            <w:r w:rsidRPr="00DF48C7">
              <w:rPr>
                <w:b/>
                <w:sz w:val="18"/>
                <w:szCs w:val="18"/>
                <w:lang w:val="en-US"/>
              </w:rPr>
              <w:t>Discontinued</w:t>
            </w:r>
          </w:p>
        </w:tc>
        <w:tc>
          <w:tcPr>
            <w:tcW w:w="1840"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141 (38.3)</w:t>
            </w:r>
          </w:p>
        </w:tc>
        <w:tc>
          <w:tcPr>
            <w:tcW w:w="1841"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228 (31.1)</w:t>
            </w:r>
          </w:p>
        </w:tc>
        <w:tc>
          <w:tcPr>
            <w:tcW w:w="1841" w:type="dxa"/>
            <w:gridSpan w:val="2"/>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155 (48.9)</w:t>
            </w:r>
          </w:p>
        </w:tc>
        <w:tc>
          <w:tcPr>
            <w:tcW w:w="1841"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300 (41.8)</w:t>
            </w:r>
          </w:p>
        </w:tc>
        <w:tc>
          <w:tcPr>
            <w:tcW w:w="1841" w:type="dxa"/>
            <w:gridSpan w:val="2"/>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536 (50.0)</w:t>
            </w:r>
          </w:p>
        </w:tc>
        <w:tc>
          <w:tcPr>
            <w:tcW w:w="1841"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494 (57.4)</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Withdrew consent</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42 (11.4)</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103 (14.1)</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46 (14.6)</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132 (18.</w:t>
            </w:r>
            <w:r>
              <w:rPr>
                <w:sz w:val="18"/>
                <w:szCs w:val="18"/>
                <w:lang w:val="en-US"/>
              </w:rPr>
              <w:t>4</w:t>
            </w:r>
            <w:r w:rsidRPr="00DF48C7">
              <w:rPr>
                <w:sz w:val="18"/>
                <w:szCs w:val="18"/>
                <w:lang w:val="en-US"/>
              </w:rPr>
              <w:t>)</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177 (16.5)</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159 (18.5)</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Met withdrawal criteria</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(0.3)</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 (0.4)</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(0.3)</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 (0.4)</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81 (7.6)</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Lack of efficacy</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39 (10.6)</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60 (8.2)</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56 (17.7)</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85 (11.8)</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43 (4.0)</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63 (7.3)</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Adverse event</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54 (14.7)</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56 (7.7)</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46 (14.5)</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62 (8.6)</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159 (14.8)</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213 (24.7)</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Protocol deviation</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 (0.5)</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(0.3)</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 (0.7)</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 (0.9)</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Withdrawn by investigator</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 (1.1)</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 (0.3)</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13 (1.2)</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Lost to follow-up</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(0.3)</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(0.3)</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 (1.0)</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56 (5.2)</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24 (2.8)</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Non-compliance</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(0.3)</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 (1.0)</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25 (2.9)</w:t>
            </w:r>
          </w:p>
        </w:tc>
      </w:tr>
      <w:tr w:rsidR="00EF45EB" w:rsidRPr="00DF48C7" w:rsidTr="009A2DAC">
        <w:tc>
          <w:tcPr>
            <w:tcW w:w="409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Study terminated by the Sponsor</w:t>
            </w:r>
          </w:p>
        </w:tc>
        <w:tc>
          <w:tcPr>
            <w:tcW w:w="1840"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41"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 (0.2)</w:t>
            </w:r>
          </w:p>
        </w:tc>
      </w:tr>
      <w:tr w:rsidR="00EF45EB" w:rsidRPr="00DF48C7" w:rsidTr="009A2DAC">
        <w:tc>
          <w:tcPr>
            <w:tcW w:w="4094" w:type="dxa"/>
            <w:tcBorders>
              <w:top w:val="nil"/>
              <w:left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Other</w:t>
            </w:r>
          </w:p>
        </w:tc>
        <w:tc>
          <w:tcPr>
            <w:tcW w:w="1840"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gridSpan w:val="2"/>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 (0.9)</w:t>
            </w:r>
          </w:p>
        </w:tc>
        <w:tc>
          <w:tcPr>
            <w:tcW w:w="1841"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 (0.6)</w:t>
            </w:r>
          </w:p>
        </w:tc>
        <w:tc>
          <w:tcPr>
            <w:tcW w:w="1841" w:type="dxa"/>
            <w:gridSpan w:val="2"/>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41"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r>
    </w:tbl>
    <w:p w:rsidR="00EF45EB" w:rsidRPr="00DF48C7" w:rsidRDefault="00EF45EB" w:rsidP="00EF45EB">
      <w:pPr>
        <w:pStyle w:val="BodyText1"/>
        <w:rPr>
          <w:sz w:val="18"/>
          <w:szCs w:val="18"/>
          <w:lang w:val="en-US"/>
        </w:rPr>
      </w:pPr>
      <w:r w:rsidRPr="00DF48C7">
        <w:rPr>
          <w:sz w:val="18"/>
          <w:szCs w:val="18"/>
          <w:lang w:val="en-US"/>
        </w:rPr>
        <w:t>Data presented are n (%).</w:t>
      </w:r>
      <w:r w:rsidRPr="00DF48C7">
        <w:rPr>
          <w:sz w:val="18"/>
          <w:szCs w:val="18"/>
          <w:lang w:val="en-US"/>
        </w:rPr>
        <w:br/>
      </w:r>
      <w:r w:rsidRPr="00DF48C7">
        <w:rPr>
          <w:sz w:val="18"/>
          <w:szCs w:val="18"/>
          <w:vertAlign w:val="superscript"/>
          <w:lang w:val="en-US"/>
        </w:rPr>
        <w:t>a</w:t>
      </w:r>
      <w:r w:rsidRPr="00DF48C7">
        <w:rPr>
          <w:sz w:val="18"/>
          <w:szCs w:val="18"/>
          <w:lang w:val="en-US"/>
        </w:rPr>
        <w:t>1,044 patients entered the open-label treatment phase.</w:t>
      </w:r>
    </w:p>
    <w:p w:rsidR="00EF45EB" w:rsidRPr="00DF48C7" w:rsidRDefault="00EF45EB" w:rsidP="00EF45EB">
      <w:pPr>
        <w:rPr>
          <w:rFonts w:ascii="Verdana" w:hAnsi="Verdana"/>
          <w:b/>
          <w:sz w:val="20"/>
          <w:lang w:val="en-US"/>
        </w:rPr>
      </w:pPr>
      <w:r w:rsidRPr="00DF48C7">
        <w:rPr>
          <w:b/>
          <w:lang w:val="en-US"/>
        </w:rPr>
        <w:br w:type="page"/>
      </w:r>
    </w:p>
    <w:p w:rsidR="00EF45EB" w:rsidRPr="00DF48C7" w:rsidRDefault="00EF45EB" w:rsidP="00EF45EB">
      <w:pPr>
        <w:pStyle w:val="BodyText1"/>
        <w:rPr>
          <w:b/>
          <w:lang w:val="en-US"/>
        </w:rPr>
      </w:pPr>
      <w:r w:rsidRPr="00DF48C7">
        <w:rPr>
          <w:b/>
          <w:lang w:val="en-US"/>
        </w:rPr>
        <w:lastRenderedPageBreak/>
        <w:t>Supplementary Table 5: Baseline demographics and clinical characteristics in MDD studies</w:t>
      </w:r>
    </w:p>
    <w:p w:rsidR="00EF45EB" w:rsidRPr="00DF48C7" w:rsidRDefault="00EF45EB" w:rsidP="00EF45EB">
      <w:pPr>
        <w:pStyle w:val="BodyText1"/>
        <w:rPr>
          <w:lang w:val="en-US"/>
        </w:rPr>
      </w:pPr>
    </w:p>
    <w:tbl>
      <w:tblPr>
        <w:tblStyle w:val="TableGrid"/>
        <w:tblW w:w="15139" w:type="dxa"/>
        <w:tblLayout w:type="fixed"/>
        <w:tblLook w:val="04A0" w:firstRow="1" w:lastRow="0" w:firstColumn="1" w:lastColumn="0" w:noHBand="0" w:noVBand="1"/>
      </w:tblPr>
      <w:tblGrid>
        <w:gridCol w:w="3544"/>
        <w:gridCol w:w="1932"/>
        <w:gridCol w:w="940"/>
        <w:gridCol w:w="993"/>
        <w:gridCol w:w="1879"/>
        <w:gridCol w:w="53"/>
        <w:gridCol w:w="1933"/>
        <w:gridCol w:w="1932"/>
        <w:gridCol w:w="1933"/>
      </w:tblGrid>
      <w:tr w:rsidR="00EF45EB" w:rsidRPr="00DF48C7" w:rsidTr="009A2DAC">
        <w:tc>
          <w:tcPr>
            <w:tcW w:w="3544" w:type="dxa"/>
            <w:tcBorders>
              <w:left w:val="nil"/>
              <w:bottom w:val="nil"/>
              <w:right w:val="nil"/>
            </w:tcBorders>
          </w:tcPr>
          <w:p w:rsidR="00EF45EB" w:rsidRPr="00DF48C7" w:rsidRDefault="00EF45EB" w:rsidP="009D3D09">
            <w:pPr>
              <w:pStyle w:val="BodyText1"/>
              <w:rPr>
                <w:b/>
                <w:sz w:val="18"/>
                <w:szCs w:val="18"/>
                <w:lang w:val="en-US"/>
              </w:rPr>
            </w:pPr>
          </w:p>
        </w:tc>
        <w:tc>
          <w:tcPr>
            <w:tcW w:w="5744" w:type="dxa"/>
            <w:gridSpan w:val="4"/>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Short-term, fixed-dose studies</w:t>
            </w:r>
          </w:p>
        </w:tc>
        <w:tc>
          <w:tcPr>
            <w:tcW w:w="5851" w:type="dxa"/>
            <w:gridSpan w:val="4"/>
            <w:vMerge w:val="restart"/>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Long-term, flexible-dose studies</w:t>
            </w:r>
          </w:p>
        </w:tc>
      </w:tr>
      <w:tr w:rsidR="00EF45EB" w:rsidRPr="00DF48C7" w:rsidTr="009A2DAC">
        <w:tc>
          <w:tcPr>
            <w:tcW w:w="3544" w:type="dxa"/>
            <w:tcBorders>
              <w:top w:val="nil"/>
              <w:left w:val="nil"/>
              <w:bottom w:val="nil"/>
              <w:right w:val="nil"/>
            </w:tcBorders>
          </w:tcPr>
          <w:p w:rsidR="00EF45EB" w:rsidRPr="00DF48C7" w:rsidRDefault="00EF45EB" w:rsidP="009D3D09">
            <w:pPr>
              <w:pStyle w:val="BodyText1"/>
              <w:rPr>
                <w:b/>
                <w:sz w:val="18"/>
                <w:szCs w:val="18"/>
                <w:lang w:val="en-US"/>
              </w:rPr>
            </w:pPr>
          </w:p>
        </w:tc>
        <w:tc>
          <w:tcPr>
            <w:tcW w:w="2872" w:type="dxa"/>
            <w:gridSpan w:val="2"/>
            <w:tcBorders>
              <w:left w:val="nil"/>
              <w:right w:val="nil"/>
            </w:tcBorders>
          </w:tcPr>
          <w:p w:rsidR="00EF45EB" w:rsidRPr="00961FC2" w:rsidRDefault="00EF45EB" w:rsidP="00961FC2">
            <w:pPr>
              <w:pStyle w:val="BodyText1"/>
              <w:jc w:val="center"/>
              <w:rPr>
                <w:b/>
                <w:sz w:val="18"/>
                <w:szCs w:val="18"/>
                <w:lang w:val="en-US"/>
              </w:rPr>
            </w:pPr>
            <w:r w:rsidRPr="00DF48C7">
              <w:rPr>
                <w:b/>
                <w:sz w:val="18"/>
                <w:szCs w:val="18"/>
                <w:lang w:val="en-US"/>
              </w:rPr>
              <w:t>Brexpiprazole studies</w:t>
            </w:r>
          </w:p>
        </w:tc>
        <w:tc>
          <w:tcPr>
            <w:tcW w:w="2872" w:type="dxa"/>
            <w:gridSpan w:val="2"/>
            <w:tcBorders>
              <w:left w:val="nil"/>
              <w:right w:val="nil"/>
            </w:tcBorders>
          </w:tcPr>
          <w:p w:rsidR="00EF45EB" w:rsidRPr="00DF48C7" w:rsidRDefault="00EF45EB" w:rsidP="00961FC2">
            <w:pPr>
              <w:pStyle w:val="BodyText1"/>
              <w:jc w:val="center"/>
              <w:rPr>
                <w:b/>
                <w:sz w:val="18"/>
                <w:szCs w:val="18"/>
                <w:lang w:val="en-US"/>
              </w:rPr>
            </w:pPr>
            <w:r w:rsidRPr="00DF48C7">
              <w:rPr>
                <w:b/>
                <w:sz w:val="18"/>
                <w:szCs w:val="18"/>
                <w:lang w:val="en-US"/>
              </w:rPr>
              <w:t>Aripiprazole studies</w:t>
            </w:r>
          </w:p>
        </w:tc>
        <w:tc>
          <w:tcPr>
            <w:tcW w:w="5851" w:type="dxa"/>
            <w:gridSpan w:val="4"/>
            <w:vMerge/>
            <w:tcBorders>
              <w:left w:val="nil"/>
              <w:right w:val="nil"/>
            </w:tcBorders>
          </w:tcPr>
          <w:p w:rsidR="00EF45EB" w:rsidRPr="00DF48C7" w:rsidRDefault="00EF45EB" w:rsidP="009D3D09">
            <w:pPr>
              <w:pStyle w:val="BodyText1"/>
              <w:jc w:val="center"/>
              <w:rPr>
                <w:b/>
                <w:sz w:val="18"/>
                <w:szCs w:val="18"/>
                <w:lang w:val="en-US"/>
              </w:rPr>
            </w:pPr>
          </w:p>
        </w:tc>
      </w:tr>
      <w:tr w:rsidR="00D10ABF" w:rsidRPr="00DF48C7" w:rsidTr="009A2DAC">
        <w:tc>
          <w:tcPr>
            <w:tcW w:w="3544" w:type="dxa"/>
            <w:tcBorders>
              <w:top w:val="nil"/>
              <w:left w:val="nil"/>
              <w:bottom w:val="single" w:sz="4" w:space="0" w:color="auto"/>
              <w:right w:val="nil"/>
            </w:tcBorders>
          </w:tcPr>
          <w:p w:rsidR="00EF45EB" w:rsidRPr="00DF48C7" w:rsidRDefault="00EF45EB" w:rsidP="009D3D09">
            <w:pPr>
              <w:pStyle w:val="BodyText1"/>
              <w:rPr>
                <w:b/>
                <w:sz w:val="18"/>
                <w:szCs w:val="18"/>
                <w:lang w:val="en-US"/>
              </w:rPr>
            </w:pPr>
          </w:p>
        </w:tc>
        <w:tc>
          <w:tcPr>
            <w:tcW w:w="1932" w:type="dxa"/>
            <w:tcBorders>
              <w:left w:val="nil"/>
              <w:bottom w:val="single" w:sz="4" w:space="0" w:color="auto"/>
              <w:right w:val="nil"/>
            </w:tcBorders>
          </w:tcPr>
          <w:p w:rsidR="00EF45EB" w:rsidRPr="00961FC2" w:rsidRDefault="00EF45EB" w:rsidP="00961FC2">
            <w:pPr>
              <w:pStyle w:val="BodyText1"/>
              <w:jc w:val="center"/>
              <w:rPr>
                <w:b/>
                <w:sz w:val="18"/>
                <w:szCs w:val="18"/>
                <w:lang w:val="en-US"/>
              </w:rPr>
            </w:pPr>
            <w:r w:rsidRPr="00DF48C7">
              <w:rPr>
                <w:b/>
                <w:sz w:val="18"/>
                <w:szCs w:val="18"/>
                <w:lang w:val="en-US"/>
              </w:rPr>
              <w:t>ADT + placebo</w:t>
            </w:r>
            <w:r w:rsidRPr="00DF48C7">
              <w:rPr>
                <w:b/>
                <w:sz w:val="18"/>
                <w:szCs w:val="18"/>
                <w:lang w:val="en-US"/>
              </w:rPr>
              <w:br/>
              <w:t>(n=383)</w:t>
            </w:r>
          </w:p>
        </w:tc>
        <w:tc>
          <w:tcPr>
            <w:tcW w:w="1933" w:type="dxa"/>
            <w:gridSpan w:val="2"/>
            <w:tcBorders>
              <w:left w:val="nil"/>
              <w:bottom w:val="single" w:sz="4" w:space="0" w:color="auto"/>
              <w:right w:val="nil"/>
            </w:tcBorders>
          </w:tcPr>
          <w:p w:rsidR="00EF45EB" w:rsidRPr="00DF48C7" w:rsidRDefault="00EF45EB" w:rsidP="009D3D09">
            <w:pPr>
              <w:pStyle w:val="BodyText1"/>
              <w:jc w:val="center"/>
              <w:rPr>
                <w:b/>
                <w:sz w:val="18"/>
                <w:szCs w:val="18"/>
                <w:lang w:val="en-US"/>
              </w:rPr>
            </w:pPr>
            <w:r w:rsidRPr="00DF48C7">
              <w:rPr>
                <w:b/>
                <w:sz w:val="18"/>
                <w:szCs w:val="18"/>
                <w:lang w:val="en-US"/>
              </w:rPr>
              <w:t>ADT + brexpiprazole</w:t>
            </w:r>
            <w:r w:rsidRPr="00DF48C7">
              <w:rPr>
                <w:b/>
                <w:sz w:val="18"/>
                <w:szCs w:val="18"/>
                <w:lang w:val="en-US"/>
              </w:rPr>
              <w:br/>
              <w:t xml:space="preserve">1, 2 or </w:t>
            </w:r>
            <w:r w:rsidR="002A7F1D">
              <w:rPr>
                <w:b/>
                <w:sz w:val="18"/>
                <w:szCs w:val="18"/>
                <w:lang w:val="en-US"/>
              </w:rPr>
              <w:br/>
            </w:r>
            <w:r w:rsidRPr="00DF48C7">
              <w:rPr>
                <w:b/>
                <w:sz w:val="18"/>
                <w:szCs w:val="18"/>
                <w:lang w:val="en-US"/>
              </w:rPr>
              <w:t>3 mg/day</w:t>
            </w:r>
            <w:r w:rsidRPr="00DF48C7">
              <w:rPr>
                <w:b/>
                <w:sz w:val="18"/>
                <w:szCs w:val="18"/>
                <w:lang w:val="en-US"/>
              </w:rPr>
              <w:br/>
              <w:t>(n=604)</w:t>
            </w:r>
          </w:p>
        </w:tc>
        <w:tc>
          <w:tcPr>
            <w:tcW w:w="1932" w:type="dxa"/>
            <w:gridSpan w:val="2"/>
            <w:tcBorders>
              <w:left w:val="nil"/>
              <w:bottom w:val="single" w:sz="4" w:space="0" w:color="auto"/>
              <w:right w:val="nil"/>
            </w:tcBorders>
          </w:tcPr>
          <w:p w:rsidR="00EF45EB" w:rsidRPr="00DF48C7" w:rsidRDefault="00EF45EB" w:rsidP="009D3D09">
            <w:pPr>
              <w:pStyle w:val="BodyText1"/>
              <w:jc w:val="center"/>
              <w:rPr>
                <w:b/>
                <w:sz w:val="18"/>
                <w:szCs w:val="18"/>
                <w:lang w:val="en-US"/>
              </w:rPr>
            </w:pPr>
            <w:r w:rsidRPr="00DF48C7">
              <w:rPr>
                <w:b/>
                <w:sz w:val="18"/>
                <w:szCs w:val="18"/>
                <w:lang w:val="en-US"/>
              </w:rPr>
              <w:t>ADT + placebo</w:t>
            </w:r>
            <w:r w:rsidRPr="00DF48C7">
              <w:rPr>
                <w:b/>
                <w:sz w:val="18"/>
                <w:szCs w:val="18"/>
                <w:lang w:val="en-US"/>
              </w:rPr>
              <w:br/>
              <w:t>(n=540)</w:t>
            </w:r>
          </w:p>
        </w:tc>
        <w:tc>
          <w:tcPr>
            <w:tcW w:w="1933" w:type="dxa"/>
            <w:tcBorders>
              <w:left w:val="nil"/>
              <w:bottom w:val="single" w:sz="4" w:space="0" w:color="auto"/>
              <w:right w:val="nil"/>
            </w:tcBorders>
          </w:tcPr>
          <w:p w:rsidR="00EF45EB" w:rsidRPr="00DF48C7" w:rsidRDefault="00EF45EB" w:rsidP="009D3D09">
            <w:pPr>
              <w:pStyle w:val="BodyText1"/>
              <w:jc w:val="center"/>
              <w:rPr>
                <w:b/>
                <w:sz w:val="18"/>
                <w:szCs w:val="18"/>
                <w:lang w:val="en-US"/>
              </w:rPr>
            </w:pPr>
            <w:r w:rsidRPr="00DF48C7">
              <w:rPr>
                <w:b/>
                <w:sz w:val="18"/>
                <w:szCs w:val="18"/>
                <w:lang w:val="en-US"/>
              </w:rPr>
              <w:t>ADT + aripiprazole</w:t>
            </w:r>
            <w:r w:rsidRPr="00DF48C7">
              <w:rPr>
                <w:b/>
                <w:sz w:val="18"/>
                <w:szCs w:val="18"/>
                <w:lang w:val="en-US"/>
              </w:rPr>
              <w:br/>
              <w:t xml:space="preserve">2–15 or </w:t>
            </w:r>
            <w:r w:rsidR="009A2DAC">
              <w:rPr>
                <w:b/>
                <w:sz w:val="18"/>
                <w:szCs w:val="18"/>
                <w:lang w:val="en-US"/>
              </w:rPr>
              <w:br/>
            </w:r>
            <w:r w:rsidRPr="00DF48C7">
              <w:rPr>
                <w:b/>
                <w:sz w:val="18"/>
                <w:szCs w:val="18"/>
                <w:lang w:val="en-US"/>
              </w:rPr>
              <w:t>2–20 mg/day</w:t>
            </w:r>
            <w:r w:rsidRPr="00DF48C7">
              <w:rPr>
                <w:b/>
                <w:sz w:val="18"/>
                <w:szCs w:val="18"/>
                <w:lang w:val="en-US"/>
              </w:rPr>
              <w:br/>
              <w:t>(n=550)</w:t>
            </w:r>
          </w:p>
        </w:tc>
        <w:tc>
          <w:tcPr>
            <w:tcW w:w="1932" w:type="dxa"/>
            <w:tcBorders>
              <w:left w:val="nil"/>
              <w:bottom w:val="single" w:sz="4" w:space="0" w:color="auto"/>
              <w:right w:val="nil"/>
            </w:tcBorders>
          </w:tcPr>
          <w:p w:rsidR="00EF45EB" w:rsidRPr="00961FC2" w:rsidRDefault="00EF45EB" w:rsidP="00961FC2">
            <w:pPr>
              <w:pStyle w:val="BodyText1"/>
              <w:jc w:val="center"/>
              <w:rPr>
                <w:b/>
                <w:sz w:val="18"/>
                <w:szCs w:val="18"/>
                <w:lang w:val="en-US"/>
              </w:rPr>
            </w:pPr>
            <w:r w:rsidRPr="00DF48C7">
              <w:rPr>
                <w:b/>
                <w:sz w:val="18"/>
                <w:szCs w:val="18"/>
                <w:lang w:val="en-US"/>
              </w:rPr>
              <w:t>ADT + brexpiprazole</w:t>
            </w:r>
            <w:r w:rsidRPr="00DF48C7">
              <w:rPr>
                <w:b/>
                <w:sz w:val="18"/>
                <w:szCs w:val="18"/>
                <w:lang w:val="en-US"/>
              </w:rPr>
              <w:br/>
              <w:t xml:space="preserve">0.25–3 or </w:t>
            </w:r>
            <w:r w:rsidRPr="00DF48C7">
              <w:rPr>
                <w:b/>
                <w:sz w:val="18"/>
                <w:szCs w:val="18"/>
                <w:lang w:val="en-US"/>
              </w:rPr>
              <w:br/>
              <w:t xml:space="preserve">0.5–3 </w:t>
            </w:r>
            <w:r w:rsidRPr="00EE0068">
              <w:rPr>
                <w:b/>
                <w:sz w:val="18"/>
                <w:szCs w:val="18"/>
                <w:lang w:val="en-US"/>
              </w:rPr>
              <w:t>mg/day</w:t>
            </w:r>
            <w:r w:rsidRPr="00EE0068">
              <w:rPr>
                <w:b/>
                <w:sz w:val="18"/>
                <w:szCs w:val="18"/>
                <w:vertAlign w:val="superscript"/>
                <w:lang w:val="en-US"/>
              </w:rPr>
              <w:t>a</w:t>
            </w:r>
            <w:r w:rsidRPr="00EE0068">
              <w:rPr>
                <w:b/>
                <w:sz w:val="18"/>
                <w:szCs w:val="18"/>
                <w:lang w:val="en-US"/>
              </w:rPr>
              <w:br/>
              <w:t>(n=2,084)</w:t>
            </w:r>
          </w:p>
        </w:tc>
        <w:tc>
          <w:tcPr>
            <w:tcW w:w="1933" w:type="dxa"/>
            <w:tcBorders>
              <w:left w:val="nil"/>
              <w:bottom w:val="single" w:sz="4" w:space="0" w:color="auto"/>
              <w:right w:val="nil"/>
            </w:tcBorders>
          </w:tcPr>
          <w:p w:rsidR="00EF45EB" w:rsidRPr="00DF48C7" w:rsidRDefault="00EF45EB" w:rsidP="00D10ABF">
            <w:pPr>
              <w:pStyle w:val="BodyText1"/>
              <w:jc w:val="center"/>
              <w:rPr>
                <w:b/>
                <w:sz w:val="18"/>
                <w:szCs w:val="18"/>
                <w:lang w:val="en-US"/>
              </w:rPr>
            </w:pPr>
            <w:r w:rsidRPr="00DF48C7">
              <w:rPr>
                <w:b/>
                <w:sz w:val="18"/>
                <w:szCs w:val="18"/>
                <w:lang w:val="en-US"/>
              </w:rPr>
              <w:t>ADT + aripiprazole</w:t>
            </w:r>
            <w:r w:rsidRPr="00DF48C7">
              <w:rPr>
                <w:b/>
                <w:sz w:val="18"/>
                <w:szCs w:val="18"/>
                <w:lang w:val="en-US"/>
              </w:rPr>
              <w:br/>
              <w:t xml:space="preserve">2–15 or </w:t>
            </w:r>
            <w:r w:rsidR="009A2DAC">
              <w:rPr>
                <w:b/>
                <w:sz w:val="18"/>
                <w:szCs w:val="18"/>
                <w:lang w:val="en-US"/>
              </w:rPr>
              <w:br/>
            </w:r>
            <w:r w:rsidRPr="00DF48C7">
              <w:rPr>
                <w:b/>
                <w:sz w:val="18"/>
                <w:szCs w:val="18"/>
                <w:lang w:val="en-US"/>
              </w:rPr>
              <w:t>2–30 mg/day</w:t>
            </w:r>
            <w:r w:rsidRPr="00DF48C7">
              <w:rPr>
                <w:b/>
                <w:sz w:val="18"/>
                <w:szCs w:val="18"/>
                <w:lang w:val="en-US"/>
              </w:rPr>
              <w:br/>
              <w:t>(n=1,002)</w:t>
            </w:r>
          </w:p>
        </w:tc>
      </w:tr>
      <w:tr w:rsidR="00EF45EB" w:rsidRPr="00DF48C7" w:rsidTr="009A2DAC">
        <w:tc>
          <w:tcPr>
            <w:tcW w:w="15139" w:type="dxa"/>
            <w:gridSpan w:val="9"/>
            <w:tcBorders>
              <w:top w:val="single" w:sz="4" w:space="0" w:color="auto"/>
              <w:left w:val="nil"/>
              <w:bottom w:val="nil"/>
              <w:right w:val="nil"/>
            </w:tcBorders>
          </w:tcPr>
          <w:p w:rsidR="00EF45EB" w:rsidRPr="00DF48C7" w:rsidRDefault="00EF45EB" w:rsidP="009D3D09">
            <w:pPr>
              <w:pStyle w:val="BodyText1"/>
              <w:rPr>
                <w:b/>
                <w:sz w:val="18"/>
                <w:highlight w:val="green"/>
                <w:lang w:val="en-US"/>
              </w:rPr>
            </w:pPr>
            <w:r w:rsidRPr="00DF48C7">
              <w:rPr>
                <w:b/>
                <w:sz w:val="18"/>
                <w:szCs w:val="18"/>
                <w:lang w:val="en-US"/>
              </w:rPr>
              <w:t>Demographics</w:t>
            </w:r>
          </w:p>
        </w:tc>
      </w:tr>
      <w:tr w:rsidR="00D10ABF" w:rsidRPr="00DF48C7" w:rsidTr="009A2DAC">
        <w:tc>
          <w:tcPr>
            <w:tcW w:w="3544" w:type="dxa"/>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 xml:space="preserve">Age (years), </w:t>
            </w:r>
            <w:r w:rsidRPr="00DF48C7">
              <w:rPr>
                <w:b/>
                <w:sz w:val="18"/>
                <w:szCs w:val="18"/>
                <w:lang w:val="en-US"/>
              </w:rPr>
              <w:br/>
              <w:t>mean (SD)</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45.7 (11.4)</w:t>
            </w:r>
          </w:p>
        </w:tc>
        <w:tc>
          <w:tcPr>
            <w:tcW w:w="1933"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44.7 (11.5)</w:t>
            </w:r>
          </w:p>
        </w:tc>
        <w:tc>
          <w:tcPr>
            <w:tcW w:w="1932"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44.7 (10.9)</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45.4 (10.8)</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44.9 (11.4)</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45.7 (11.3)</w:t>
            </w:r>
          </w:p>
        </w:tc>
      </w:tr>
      <w:tr w:rsidR="00D10ABF" w:rsidRPr="00DF48C7" w:rsidTr="009A2DAC">
        <w:tc>
          <w:tcPr>
            <w:tcW w:w="3544" w:type="dxa"/>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Male, n (%)</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123 (32.1)</w:t>
            </w:r>
          </w:p>
        </w:tc>
        <w:tc>
          <w:tcPr>
            <w:tcW w:w="1933"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188 (31.1)</w:t>
            </w:r>
          </w:p>
        </w:tc>
        <w:tc>
          <w:tcPr>
            <w:tcW w:w="1932"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181 (33.5)</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174 (31.6)</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644 (30.9)</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338 (33.7)</w:t>
            </w:r>
          </w:p>
        </w:tc>
      </w:tr>
      <w:tr w:rsidR="00D10ABF" w:rsidRPr="00DF48C7" w:rsidTr="009A2DAC">
        <w:tc>
          <w:tcPr>
            <w:tcW w:w="3544" w:type="dxa"/>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Pr>
                <w:b/>
                <w:sz w:val="18"/>
                <w:szCs w:val="18"/>
                <w:lang w:val="en-US"/>
              </w:rPr>
              <w:t>Weight (kg), mean (SD)</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83.6 (21.0)</w:t>
            </w:r>
          </w:p>
        </w:tc>
        <w:tc>
          <w:tcPr>
            <w:tcW w:w="1933"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83.9 (20.9)</w:t>
            </w:r>
          </w:p>
        </w:tc>
        <w:tc>
          <w:tcPr>
            <w:tcW w:w="1932"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87.6 (22.3)</w:t>
            </w:r>
            <w:r w:rsidR="00516A89">
              <w:rPr>
                <w:sz w:val="18"/>
                <w:szCs w:val="18"/>
                <w:vertAlign w:val="superscript"/>
                <w:lang w:val="en-US"/>
              </w:rPr>
              <w:t>b</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85.1 (20.4)</w:t>
            </w:r>
            <w:r w:rsidR="00516A89">
              <w:rPr>
                <w:sz w:val="18"/>
                <w:szCs w:val="18"/>
                <w:vertAlign w:val="superscript"/>
                <w:lang w:val="en-US"/>
              </w:rPr>
              <w:t>c</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85.9 (21.2)</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Pr>
                <w:sz w:val="18"/>
                <w:szCs w:val="18"/>
                <w:lang w:val="en-US"/>
              </w:rPr>
              <w:t>88.5 (22.5)</w:t>
            </w:r>
            <w:r w:rsidR="00516A89">
              <w:rPr>
                <w:sz w:val="18"/>
                <w:szCs w:val="18"/>
                <w:vertAlign w:val="superscript"/>
                <w:lang w:val="en-US"/>
              </w:rPr>
              <w:t>d</w:t>
            </w:r>
          </w:p>
        </w:tc>
      </w:tr>
      <w:tr w:rsidR="00D10ABF" w:rsidRPr="00DF48C7" w:rsidTr="009A2DAC">
        <w:tc>
          <w:tcPr>
            <w:tcW w:w="3544" w:type="dxa"/>
            <w:tcBorders>
              <w:top w:val="nil"/>
              <w:left w:val="nil"/>
              <w:bottom w:val="nil"/>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BMI (kg/m</w:t>
            </w:r>
            <w:r w:rsidRPr="00DF48C7">
              <w:rPr>
                <w:b/>
                <w:sz w:val="18"/>
                <w:szCs w:val="18"/>
                <w:vertAlign w:val="superscript"/>
                <w:lang w:val="en-US"/>
              </w:rPr>
              <w:t>2</w:t>
            </w:r>
            <w:r w:rsidRPr="00DF48C7">
              <w:rPr>
                <w:b/>
                <w:sz w:val="18"/>
                <w:szCs w:val="18"/>
                <w:lang w:val="en-US"/>
              </w:rPr>
              <w:t>), mean (SD)</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29.5 (7)</w:t>
            </w:r>
          </w:p>
        </w:tc>
        <w:tc>
          <w:tcPr>
            <w:tcW w:w="1933"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29.7 (6.8)</w:t>
            </w:r>
          </w:p>
        </w:tc>
        <w:tc>
          <w:tcPr>
            <w:tcW w:w="1932"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30.8 (7.7)</w:t>
            </w:r>
            <w:r w:rsidR="00516A89">
              <w:rPr>
                <w:sz w:val="18"/>
                <w:szCs w:val="18"/>
                <w:vertAlign w:val="superscript"/>
                <w:lang w:val="en-US"/>
              </w:rPr>
              <w:t>e</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30.2 (7.1)</w:t>
            </w:r>
            <w:r w:rsidR="00516A89">
              <w:rPr>
                <w:sz w:val="18"/>
                <w:szCs w:val="18"/>
                <w:vertAlign w:val="superscript"/>
                <w:lang w:val="en-US"/>
              </w:rPr>
              <w:t>f</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30.4 (7.1)</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31.2 (7.9)</w:t>
            </w:r>
            <w:r w:rsidR="00516A89">
              <w:rPr>
                <w:sz w:val="18"/>
                <w:szCs w:val="18"/>
                <w:vertAlign w:val="superscript"/>
                <w:lang w:val="en-US"/>
              </w:rPr>
              <w:t>g</w:t>
            </w:r>
          </w:p>
        </w:tc>
      </w:tr>
      <w:tr w:rsidR="00D10ABF" w:rsidRPr="00DF48C7" w:rsidTr="009A2DAC">
        <w:tc>
          <w:tcPr>
            <w:tcW w:w="3544" w:type="dxa"/>
            <w:tcBorders>
              <w:top w:val="nil"/>
              <w:left w:val="nil"/>
              <w:bottom w:val="single" w:sz="4" w:space="0" w:color="auto"/>
              <w:right w:val="nil"/>
            </w:tcBorders>
            <w:vAlign w:val="center"/>
          </w:tcPr>
          <w:p w:rsidR="00EF45EB" w:rsidRPr="00DF48C7" w:rsidRDefault="00EF45EB" w:rsidP="009D3D09">
            <w:pPr>
              <w:pStyle w:val="BodyText1"/>
              <w:ind w:left="186"/>
              <w:rPr>
                <w:b/>
                <w:sz w:val="18"/>
                <w:szCs w:val="18"/>
                <w:lang w:val="en-US"/>
              </w:rPr>
            </w:pPr>
            <w:r w:rsidRPr="00DF48C7">
              <w:rPr>
                <w:b/>
                <w:sz w:val="18"/>
                <w:szCs w:val="18"/>
                <w:lang w:val="en-US"/>
              </w:rPr>
              <w:t>Caucasian, n (%)</w:t>
            </w:r>
          </w:p>
        </w:tc>
        <w:tc>
          <w:tcPr>
            <w:tcW w:w="1932"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330 (86.2)</w:t>
            </w:r>
          </w:p>
        </w:tc>
        <w:tc>
          <w:tcPr>
            <w:tcW w:w="1933" w:type="dxa"/>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513 (84.9)</w:t>
            </w:r>
          </w:p>
        </w:tc>
        <w:tc>
          <w:tcPr>
            <w:tcW w:w="1932" w:type="dxa"/>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483 (89.4)</w:t>
            </w:r>
          </w:p>
        </w:tc>
        <w:tc>
          <w:tcPr>
            <w:tcW w:w="1933"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484 (88.0)</w:t>
            </w:r>
          </w:p>
        </w:tc>
        <w:tc>
          <w:tcPr>
            <w:tcW w:w="1932"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1,748 (83.9)</w:t>
            </w:r>
          </w:p>
        </w:tc>
        <w:tc>
          <w:tcPr>
            <w:tcW w:w="1933"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912 (91.0)</w:t>
            </w:r>
          </w:p>
        </w:tc>
      </w:tr>
      <w:tr w:rsidR="00EF45EB" w:rsidRPr="00DF48C7" w:rsidTr="009A2DAC">
        <w:tc>
          <w:tcPr>
            <w:tcW w:w="15139" w:type="dxa"/>
            <w:gridSpan w:val="9"/>
            <w:tcBorders>
              <w:top w:val="single" w:sz="4" w:space="0" w:color="auto"/>
              <w:left w:val="nil"/>
              <w:bottom w:val="nil"/>
              <w:right w:val="nil"/>
            </w:tcBorders>
            <w:vAlign w:val="center"/>
          </w:tcPr>
          <w:p w:rsidR="00EF45EB" w:rsidRPr="00DF48C7" w:rsidRDefault="00EF45EB" w:rsidP="009D3D09">
            <w:pPr>
              <w:pStyle w:val="BodyText1"/>
              <w:rPr>
                <w:sz w:val="18"/>
                <w:szCs w:val="18"/>
                <w:lang w:val="en-US"/>
              </w:rPr>
            </w:pPr>
            <w:r w:rsidRPr="00DF48C7">
              <w:rPr>
                <w:b/>
                <w:sz w:val="18"/>
                <w:szCs w:val="18"/>
                <w:lang w:val="en-US"/>
              </w:rPr>
              <w:t>Clinical characteristics</w:t>
            </w:r>
          </w:p>
        </w:tc>
      </w:tr>
      <w:tr w:rsidR="00D10ABF" w:rsidRPr="00DF48C7" w:rsidTr="009A2DAC">
        <w:tc>
          <w:tcPr>
            <w:tcW w:w="3544"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MADRS Total score, mean (SD)</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26.9 (5.4)</w:t>
            </w:r>
          </w:p>
        </w:tc>
        <w:tc>
          <w:tcPr>
            <w:tcW w:w="1933"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26.7 (5.5)</w:t>
            </w:r>
          </w:p>
        </w:tc>
        <w:tc>
          <w:tcPr>
            <w:tcW w:w="1932"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24.4 (6.1)</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24.4 (6.1)</w:t>
            </w:r>
          </w:p>
        </w:tc>
        <w:tc>
          <w:tcPr>
            <w:tcW w:w="1932"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19.4 (8.1)</w:t>
            </w:r>
          </w:p>
        </w:tc>
        <w:tc>
          <w:tcPr>
            <w:tcW w:w="1933"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18.3 (6.1)</w:t>
            </w:r>
            <w:r w:rsidR="00516A89">
              <w:rPr>
                <w:sz w:val="18"/>
                <w:szCs w:val="18"/>
                <w:vertAlign w:val="superscript"/>
                <w:lang w:val="en-US"/>
              </w:rPr>
              <w:t>h</w:t>
            </w:r>
          </w:p>
        </w:tc>
      </w:tr>
      <w:tr w:rsidR="00D10ABF" w:rsidRPr="00DF48C7" w:rsidTr="009A2DAC">
        <w:tc>
          <w:tcPr>
            <w:tcW w:w="3544" w:type="dxa"/>
            <w:tcBorders>
              <w:top w:val="nil"/>
              <w:left w:val="nil"/>
              <w:bottom w:val="single" w:sz="4" w:space="0" w:color="auto"/>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CGI-S score, mean (SD)</w:t>
            </w:r>
          </w:p>
        </w:tc>
        <w:tc>
          <w:tcPr>
            <w:tcW w:w="1932"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4.2 (0.6)</w:t>
            </w:r>
          </w:p>
        </w:tc>
        <w:tc>
          <w:tcPr>
            <w:tcW w:w="1933" w:type="dxa"/>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4.2 (0.6)</w:t>
            </w:r>
          </w:p>
        </w:tc>
        <w:tc>
          <w:tcPr>
            <w:tcW w:w="1932" w:type="dxa"/>
            <w:gridSpan w:val="2"/>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6.1 (0)</w:t>
            </w:r>
          </w:p>
        </w:tc>
        <w:tc>
          <w:tcPr>
            <w:tcW w:w="1933"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6.1 (0)</w:t>
            </w:r>
          </w:p>
        </w:tc>
        <w:tc>
          <w:tcPr>
            <w:tcW w:w="1932"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3.4 (1.0)</w:t>
            </w:r>
          </w:p>
        </w:tc>
        <w:tc>
          <w:tcPr>
            <w:tcW w:w="1933" w:type="dxa"/>
            <w:tcBorders>
              <w:top w:val="nil"/>
              <w:left w:val="nil"/>
              <w:bottom w:val="single" w:sz="4" w:space="0" w:color="auto"/>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6.1 (0)</w:t>
            </w:r>
            <w:r w:rsidR="00516A89">
              <w:rPr>
                <w:sz w:val="18"/>
                <w:szCs w:val="18"/>
                <w:vertAlign w:val="superscript"/>
                <w:lang w:val="en-US"/>
              </w:rPr>
              <w:t>h</w:t>
            </w:r>
          </w:p>
        </w:tc>
      </w:tr>
    </w:tbl>
    <w:p w:rsidR="00EF45EB" w:rsidRDefault="00EF45EB" w:rsidP="00EF45EB">
      <w:pPr>
        <w:pStyle w:val="BodyText1"/>
        <w:rPr>
          <w:sz w:val="18"/>
          <w:szCs w:val="18"/>
          <w:lang w:val="en-US"/>
        </w:rPr>
      </w:pPr>
      <w:r w:rsidRPr="00DF48C7">
        <w:rPr>
          <w:sz w:val="18"/>
          <w:szCs w:val="18"/>
          <w:lang w:val="en-US"/>
        </w:rPr>
        <w:t>n=number of patients randomized/enrolled.</w:t>
      </w:r>
      <w:r w:rsidRPr="00DF48C7">
        <w:rPr>
          <w:sz w:val="18"/>
          <w:szCs w:val="18"/>
          <w:vertAlign w:val="superscript"/>
          <w:lang w:val="en-US"/>
        </w:rPr>
        <w:br/>
        <w:t>a</w:t>
      </w:r>
      <w:r w:rsidRPr="00DF48C7">
        <w:rPr>
          <w:sz w:val="18"/>
          <w:szCs w:val="18"/>
          <w:lang w:val="en-US"/>
        </w:rPr>
        <w:t xml:space="preserve">Orion </w:t>
      </w:r>
      <w:r>
        <w:rPr>
          <w:sz w:val="18"/>
          <w:szCs w:val="18"/>
          <w:lang w:val="en-US"/>
        </w:rPr>
        <w:t>was</w:t>
      </w:r>
      <w:r w:rsidRPr="00DF48C7">
        <w:rPr>
          <w:sz w:val="18"/>
          <w:szCs w:val="18"/>
          <w:lang w:val="en-US"/>
        </w:rPr>
        <w:t xml:space="preserve"> ongoing; the brexpiprazole data presented are based on a data cut-off date of 15 May 2015.</w:t>
      </w:r>
      <w:r w:rsidRPr="00DF48C7">
        <w:rPr>
          <w:sz w:val="18"/>
          <w:szCs w:val="18"/>
          <w:lang w:val="en-US"/>
        </w:rPr>
        <w:br/>
      </w:r>
      <w:r w:rsidR="00516A89">
        <w:rPr>
          <w:sz w:val="18"/>
          <w:szCs w:val="18"/>
          <w:vertAlign w:val="superscript"/>
          <w:lang w:val="en-US"/>
        </w:rPr>
        <w:t>b</w:t>
      </w:r>
      <w:r>
        <w:rPr>
          <w:sz w:val="18"/>
          <w:szCs w:val="18"/>
          <w:lang w:val="en-US"/>
        </w:rPr>
        <w:t xml:space="preserve">n=533; </w:t>
      </w:r>
      <w:r w:rsidR="00516A89">
        <w:rPr>
          <w:sz w:val="18"/>
          <w:szCs w:val="18"/>
          <w:vertAlign w:val="superscript"/>
          <w:lang w:val="en-US"/>
        </w:rPr>
        <w:t>c</w:t>
      </w:r>
      <w:r>
        <w:rPr>
          <w:sz w:val="18"/>
          <w:szCs w:val="18"/>
          <w:lang w:val="en-US"/>
        </w:rPr>
        <w:t xml:space="preserve">n=547; </w:t>
      </w:r>
      <w:r w:rsidR="00516A89">
        <w:rPr>
          <w:sz w:val="18"/>
          <w:szCs w:val="18"/>
          <w:vertAlign w:val="superscript"/>
          <w:lang w:val="en-US"/>
        </w:rPr>
        <w:t>d</w:t>
      </w:r>
      <w:r>
        <w:rPr>
          <w:sz w:val="18"/>
          <w:szCs w:val="18"/>
          <w:lang w:val="en-US"/>
        </w:rPr>
        <w:t xml:space="preserve">n=1,001; </w:t>
      </w:r>
      <w:r w:rsidR="00516A89">
        <w:rPr>
          <w:sz w:val="18"/>
          <w:szCs w:val="18"/>
          <w:vertAlign w:val="superscript"/>
          <w:lang w:val="en-US"/>
        </w:rPr>
        <w:t>e</w:t>
      </w:r>
      <w:r w:rsidRPr="006A7F70">
        <w:rPr>
          <w:sz w:val="18"/>
          <w:szCs w:val="18"/>
          <w:lang w:val="en-US"/>
        </w:rPr>
        <w:t xml:space="preserve">n=532; </w:t>
      </w:r>
      <w:r w:rsidR="00516A89">
        <w:rPr>
          <w:sz w:val="18"/>
          <w:szCs w:val="18"/>
          <w:vertAlign w:val="superscript"/>
          <w:lang w:val="en-US"/>
        </w:rPr>
        <w:t>f</w:t>
      </w:r>
      <w:r w:rsidRPr="006A7F70">
        <w:rPr>
          <w:sz w:val="18"/>
          <w:szCs w:val="18"/>
          <w:lang w:val="en-US"/>
        </w:rPr>
        <w:t xml:space="preserve">n=545; </w:t>
      </w:r>
      <w:r w:rsidR="00516A89">
        <w:rPr>
          <w:sz w:val="18"/>
          <w:szCs w:val="18"/>
          <w:vertAlign w:val="superscript"/>
          <w:lang w:val="en-US"/>
        </w:rPr>
        <w:t>g</w:t>
      </w:r>
      <w:r w:rsidRPr="006A7F70">
        <w:rPr>
          <w:sz w:val="18"/>
          <w:szCs w:val="18"/>
          <w:lang w:val="en-US"/>
        </w:rPr>
        <w:t xml:space="preserve">n=1,000; </w:t>
      </w:r>
      <w:r w:rsidR="00516A89">
        <w:rPr>
          <w:sz w:val="18"/>
          <w:szCs w:val="18"/>
          <w:vertAlign w:val="superscript"/>
          <w:lang w:val="en-US"/>
        </w:rPr>
        <w:t>h</w:t>
      </w:r>
      <w:r w:rsidRPr="007E49BE">
        <w:rPr>
          <w:sz w:val="18"/>
          <w:szCs w:val="18"/>
          <w:lang w:val="en-US"/>
        </w:rPr>
        <w:t>d</w:t>
      </w:r>
      <w:r w:rsidRPr="00DF48C7">
        <w:rPr>
          <w:sz w:val="18"/>
          <w:szCs w:val="18"/>
          <w:lang w:val="en-US"/>
        </w:rPr>
        <w:t>ata are presented for the treated population (n=9</w:t>
      </w:r>
      <w:r>
        <w:rPr>
          <w:sz w:val="18"/>
          <w:szCs w:val="18"/>
          <w:lang w:val="en-US"/>
        </w:rPr>
        <w:t>9</w:t>
      </w:r>
      <w:r w:rsidRPr="00DF48C7">
        <w:rPr>
          <w:sz w:val="18"/>
          <w:szCs w:val="18"/>
          <w:lang w:val="en-US"/>
        </w:rPr>
        <w:t>4).</w:t>
      </w:r>
    </w:p>
    <w:p w:rsidR="00EF45EB" w:rsidRPr="00DF48C7" w:rsidRDefault="00EF45EB" w:rsidP="00EF45EB">
      <w:pPr>
        <w:pStyle w:val="BodyText1"/>
        <w:rPr>
          <w:sz w:val="18"/>
          <w:szCs w:val="18"/>
          <w:lang w:val="en-US"/>
        </w:rPr>
      </w:pPr>
      <w:r w:rsidRPr="00DF48C7">
        <w:rPr>
          <w:sz w:val="18"/>
          <w:szCs w:val="18"/>
          <w:lang w:val="en-US"/>
        </w:rPr>
        <w:t>ADT=antidepressant treatment; BMI=body mass index; CGI-S=Clinical Global Impression</w:t>
      </w:r>
      <w:r>
        <w:rPr>
          <w:sz w:val="18"/>
          <w:szCs w:val="18"/>
          <w:lang w:val="en-US"/>
        </w:rPr>
        <w:t xml:space="preserve">s – </w:t>
      </w:r>
      <w:r w:rsidRPr="00DF48C7">
        <w:rPr>
          <w:sz w:val="18"/>
          <w:szCs w:val="18"/>
          <w:lang w:val="en-US"/>
        </w:rPr>
        <w:t xml:space="preserve">Severity of </w:t>
      </w:r>
      <w:r>
        <w:rPr>
          <w:sz w:val="18"/>
          <w:szCs w:val="18"/>
          <w:lang w:val="en-US"/>
        </w:rPr>
        <w:t>i</w:t>
      </w:r>
      <w:r w:rsidRPr="00DF48C7">
        <w:rPr>
          <w:sz w:val="18"/>
          <w:szCs w:val="18"/>
          <w:lang w:val="en-US"/>
        </w:rPr>
        <w:t>llness; MADRS=Montgomery–</w:t>
      </w:r>
      <w:r w:rsidRPr="00DF48C7">
        <w:rPr>
          <w:rFonts w:cstheme="minorHAnsi"/>
          <w:sz w:val="18"/>
          <w:szCs w:val="18"/>
          <w:lang w:val="en-US"/>
        </w:rPr>
        <w:t>Å</w:t>
      </w:r>
      <w:r w:rsidRPr="00DF48C7">
        <w:rPr>
          <w:sz w:val="18"/>
          <w:szCs w:val="18"/>
          <w:lang w:val="en-US"/>
        </w:rPr>
        <w:t>sberg Depression Rating Scale;</w:t>
      </w:r>
      <w:r w:rsidRPr="00DF48C7">
        <w:rPr>
          <w:noProof/>
          <w:sz w:val="18"/>
          <w:szCs w:val="18"/>
          <w:lang w:val="en-US"/>
        </w:rPr>
        <w:t xml:space="preserve"> </w:t>
      </w:r>
      <w:r w:rsidRPr="00DF48C7">
        <w:rPr>
          <w:sz w:val="18"/>
          <w:szCs w:val="18"/>
          <w:lang w:val="en-US"/>
        </w:rPr>
        <w:t>MDD=major depressive disorder;</w:t>
      </w:r>
      <w:r w:rsidRPr="00DF48C7">
        <w:rPr>
          <w:noProof/>
          <w:sz w:val="18"/>
          <w:szCs w:val="18"/>
          <w:lang w:val="en-US"/>
        </w:rPr>
        <w:t xml:space="preserve"> SD=standard deviation.</w:t>
      </w:r>
    </w:p>
    <w:p w:rsidR="00EF45EB" w:rsidRPr="00DF48C7" w:rsidRDefault="00EF45EB" w:rsidP="00EF45EB">
      <w:pPr>
        <w:pStyle w:val="BodyText1"/>
        <w:rPr>
          <w:lang w:val="en-US"/>
        </w:rPr>
      </w:pPr>
      <w:r w:rsidRPr="00DF48C7">
        <w:rPr>
          <w:lang w:val="en-US"/>
        </w:rPr>
        <w:br w:type="page"/>
      </w:r>
    </w:p>
    <w:p w:rsidR="00EF45EB" w:rsidRPr="00DF48C7" w:rsidRDefault="00EF45EB" w:rsidP="00EF45EB">
      <w:pPr>
        <w:pStyle w:val="BodyText1"/>
        <w:rPr>
          <w:b/>
          <w:lang w:val="en-US"/>
        </w:rPr>
      </w:pPr>
      <w:r w:rsidRPr="00DF48C7">
        <w:rPr>
          <w:b/>
          <w:lang w:val="en-US"/>
        </w:rPr>
        <w:lastRenderedPageBreak/>
        <w:t>Supplementary Table 6: Patient disposition in MDD studies</w:t>
      </w:r>
    </w:p>
    <w:p w:rsidR="00EF45EB" w:rsidRPr="00DF48C7" w:rsidRDefault="00EF45EB" w:rsidP="00EF45EB">
      <w:pPr>
        <w:pStyle w:val="BodyText1"/>
        <w:rPr>
          <w:lang w:val="en-US"/>
        </w:rPr>
      </w:pPr>
    </w:p>
    <w:tbl>
      <w:tblPr>
        <w:tblStyle w:val="TableGrid"/>
        <w:tblW w:w="0" w:type="auto"/>
        <w:tblLayout w:type="fixed"/>
        <w:tblLook w:val="04A0" w:firstRow="1" w:lastRow="0" w:firstColumn="1" w:lastColumn="0" w:noHBand="0" w:noVBand="1"/>
      </w:tblPr>
      <w:tblGrid>
        <w:gridCol w:w="3828"/>
        <w:gridCol w:w="1885"/>
        <w:gridCol w:w="1733"/>
        <w:gridCol w:w="152"/>
        <w:gridCol w:w="1885"/>
        <w:gridCol w:w="1581"/>
        <w:gridCol w:w="304"/>
        <w:gridCol w:w="1885"/>
        <w:gridCol w:w="1885"/>
      </w:tblGrid>
      <w:tr w:rsidR="00D42FF3" w:rsidRPr="00DF48C7" w:rsidTr="00D42FF3">
        <w:tc>
          <w:tcPr>
            <w:tcW w:w="3828" w:type="dxa"/>
            <w:tcBorders>
              <w:left w:val="nil"/>
              <w:bottom w:val="nil"/>
              <w:right w:val="nil"/>
            </w:tcBorders>
          </w:tcPr>
          <w:p w:rsidR="00D42FF3" w:rsidRPr="00DF48C7" w:rsidRDefault="00D42FF3" w:rsidP="009D3D09">
            <w:pPr>
              <w:pStyle w:val="BodyText1"/>
              <w:rPr>
                <w:b/>
                <w:sz w:val="18"/>
                <w:szCs w:val="18"/>
                <w:lang w:val="en-US"/>
              </w:rPr>
            </w:pPr>
          </w:p>
        </w:tc>
        <w:tc>
          <w:tcPr>
            <w:tcW w:w="7236" w:type="dxa"/>
            <w:gridSpan w:val="5"/>
            <w:tcBorders>
              <w:left w:val="nil"/>
              <w:right w:val="nil"/>
            </w:tcBorders>
          </w:tcPr>
          <w:p w:rsidR="00D42FF3" w:rsidRPr="00DF48C7" w:rsidRDefault="00D42FF3" w:rsidP="009D3D09">
            <w:pPr>
              <w:pStyle w:val="BodyText1"/>
              <w:jc w:val="center"/>
              <w:rPr>
                <w:b/>
                <w:sz w:val="18"/>
                <w:szCs w:val="18"/>
                <w:lang w:val="en-US"/>
              </w:rPr>
            </w:pPr>
            <w:r w:rsidRPr="00DF48C7">
              <w:rPr>
                <w:b/>
                <w:sz w:val="18"/>
                <w:szCs w:val="18"/>
                <w:lang w:val="en-US"/>
              </w:rPr>
              <w:t>Short-term studies</w:t>
            </w:r>
          </w:p>
        </w:tc>
        <w:tc>
          <w:tcPr>
            <w:tcW w:w="4074" w:type="dxa"/>
            <w:gridSpan w:val="3"/>
            <w:vMerge w:val="restart"/>
            <w:tcBorders>
              <w:left w:val="nil"/>
              <w:right w:val="nil"/>
            </w:tcBorders>
          </w:tcPr>
          <w:p w:rsidR="00D42FF3" w:rsidRPr="00DF48C7" w:rsidRDefault="00D42FF3" w:rsidP="009D3D09">
            <w:pPr>
              <w:pStyle w:val="BodyText1"/>
              <w:jc w:val="center"/>
              <w:rPr>
                <w:b/>
                <w:sz w:val="18"/>
                <w:szCs w:val="18"/>
                <w:lang w:val="en-US"/>
              </w:rPr>
            </w:pPr>
            <w:r w:rsidRPr="00DF48C7">
              <w:rPr>
                <w:b/>
                <w:sz w:val="18"/>
                <w:szCs w:val="18"/>
                <w:lang w:val="en-US"/>
              </w:rPr>
              <w:t>Long-term studies</w:t>
            </w:r>
          </w:p>
        </w:tc>
      </w:tr>
      <w:tr w:rsidR="00EF45EB" w:rsidRPr="00DF48C7" w:rsidTr="00D42FF3">
        <w:tc>
          <w:tcPr>
            <w:tcW w:w="3828" w:type="dxa"/>
            <w:tcBorders>
              <w:top w:val="nil"/>
              <w:left w:val="nil"/>
              <w:bottom w:val="nil"/>
              <w:right w:val="nil"/>
            </w:tcBorders>
          </w:tcPr>
          <w:p w:rsidR="00EF45EB" w:rsidRPr="00DF48C7" w:rsidRDefault="00EF45EB" w:rsidP="009D3D09">
            <w:pPr>
              <w:pStyle w:val="BodyText1"/>
              <w:rPr>
                <w:b/>
                <w:sz w:val="18"/>
                <w:szCs w:val="18"/>
                <w:lang w:val="en-US"/>
              </w:rPr>
            </w:pPr>
          </w:p>
        </w:tc>
        <w:tc>
          <w:tcPr>
            <w:tcW w:w="3618" w:type="dxa"/>
            <w:gridSpan w:val="2"/>
            <w:tcBorders>
              <w:left w:val="nil"/>
              <w:right w:val="nil"/>
            </w:tcBorders>
          </w:tcPr>
          <w:p w:rsidR="00EF45EB" w:rsidRPr="00D10ABF" w:rsidRDefault="00EF45EB" w:rsidP="00D10ABF">
            <w:pPr>
              <w:pStyle w:val="BodyText1"/>
              <w:jc w:val="center"/>
              <w:rPr>
                <w:b/>
                <w:sz w:val="18"/>
                <w:szCs w:val="18"/>
                <w:lang w:val="en-US"/>
              </w:rPr>
            </w:pPr>
            <w:r w:rsidRPr="00DF48C7">
              <w:rPr>
                <w:b/>
                <w:sz w:val="18"/>
                <w:szCs w:val="18"/>
                <w:lang w:val="en-US"/>
              </w:rPr>
              <w:t>Brexpiprazole studies</w:t>
            </w:r>
          </w:p>
        </w:tc>
        <w:tc>
          <w:tcPr>
            <w:tcW w:w="3618" w:type="dxa"/>
            <w:gridSpan w:val="3"/>
            <w:tcBorders>
              <w:left w:val="nil"/>
              <w:right w:val="nil"/>
            </w:tcBorders>
          </w:tcPr>
          <w:p w:rsidR="00EF45EB" w:rsidRPr="00DF48C7" w:rsidRDefault="00EF45EB" w:rsidP="00D10ABF">
            <w:pPr>
              <w:pStyle w:val="BodyText1"/>
              <w:jc w:val="center"/>
              <w:rPr>
                <w:b/>
                <w:sz w:val="18"/>
                <w:szCs w:val="18"/>
                <w:lang w:val="en-US"/>
              </w:rPr>
            </w:pPr>
            <w:r w:rsidRPr="00DF48C7">
              <w:rPr>
                <w:b/>
                <w:sz w:val="18"/>
                <w:szCs w:val="18"/>
                <w:lang w:val="en-US"/>
              </w:rPr>
              <w:t>Aripiprazole studies</w:t>
            </w:r>
          </w:p>
        </w:tc>
        <w:tc>
          <w:tcPr>
            <w:tcW w:w="4074" w:type="dxa"/>
            <w:gridSpan w:val="3"/>
            <w:vMerge/>
            <w:tcBorders>
              <w:left w:val="nil"/>
              <w:right w:val="nil"/>
            </w:tcBorders>
          </w:tcPr>
          <w:p w:rsidR="00EF45EB" w:rsidRPr="00DF48C7" w:rsidRDefault="00EF45EB" w:rsidP="009D3D09">
            <w:pPr>
              <w:pStyle w:val="BodyText1"/>
              <w:jc w:val="center"/>
              <w:rPr>
                <w:b/>
                <w:sz w:val="18"/>
                <w:szCs w:val="18"/>
                <w:lang w:val="en-US"/>
              </w:rPr>
            </w:pPr>
          </w:p>
        </w:tc>
      </w:tr>
      <w:tr w:rsidR="00EF45EB" w:rsidRPr="00DF48C7" w:rsidTr="00D42FF3">
        <w:tc>
          <w:tcPr>
            <w:tcW w:w="3828" w:type="dxa"/>
            <w:tcBorders>
              <w:top w:val="nil"/>
              <w:left w:val="nil"/>
              <w:right w:val="nil"/>
            </w:tcBorders>
          </w:tcPr>
          <w:p w:rsidR="00EF45EB" w:rsidRPr="00DF48C7" w:rsidRDefault="00EF45EB" w:rsidP="009D3D09">
            <w:pPr>
              <w:pStyle w:val="BodyText1"/>
              <w:rPr>
                <w:b/>
                <w:sz w:val="18"/>
                <w:szCs w:val="18"/>
                <w:lang w:val="en-US"/>
              </w:rPr>
            </w:pPr>
          </w:p>
        </w:tc>
        <w:tc>
          <w:tcPr>
            <w:tcW w:w="1885" w:type="dxa"/>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ADT + placebo</w:t>
            </w:r>
          </w:p>
        </w:tc>
        <w:tc>
          <w:tcPr>
            <w:tcW w:w="1885" w:type="dxa"/>
            <w:gridSpan w:val="2"/>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ADT + brexpiprazole</w:t>
            </w:r>
            <w:r w:rsidRPr="00DF48C7">
              <w:rPr>
                <w:b/>
                <w:sz w:val="18"/>
                <w:szCs w:val="18"/>
                <w:lang w:val="en-US"/>
              </w:rPr>
              <w:br/>
              <w:t xml:space="preserve">1, 2 or </w:t>
            </w:r>
            <w:r w:rsidR="002A7F1D">
              <w:rPr>
                <w:b/>
                <w:sz w:val="18"/>
                <w:szCs w:val="18"/>
                <w:lang w:val="en-US"/>
              </w:rPr>
              <w:br/>
            </w:r>
            <w:r w:rsidRPr="00DF48C7">
              <w:rPr>
                <w:b/>
                <w:sz w:val="18"/>
                <w:szCs w:val="18"/>
                <w:lang w:val="en-US"/>
              </w:rPr>
              <w:t>3 mg/day</w:t>
            </w:r>
          </w:p>
        </w:tc>
        <w:tc>
          <w:tcPr>
            <w:tcW w:w="1885" w:type="dxa"/>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ADT + placebo</w:t>
            </w:r>
          </w:p>
        </w:tc>
        <w:tc>
          <w:tcPr>
            <w:tcW w:w="1885" w:type="dxa"/>
            <w:gridSpan w:val="2"/>
            <w:tcBorders>
              <w:left w:val="nil"/>
              <w:right w:val="nil"/>
            </w:tcBorders>
          </w:tcPr>
          <w:p w:rsidR="00EF45EB" w:rsidRPr="00DF48C7" w:rsidRDefault="00EF45EB" w:rsidP="009D3D09">
            <w:pPr>
              <w:pStyle w:val="BodyText1"/>
              <w:jc w:val="center"/>
              <w:rPr>
                <w:b/>
                <w:sz w:val="18"/>
                <w:szCs w:val="18"/>
                <w:lang w:val="en-US"/>
              </w:rPr>
            </w:pPr>
            <w:r w:rsidRPr="00DF48C7">
              <w:rPr>
                <w:b/>
                <w:sz w:val="18"/>
                <w:szCs w:val="18"/>
                <w:lang w:val="en-US"/>
              </w:rPr>
              <w:t>ADT + aripiprazole</w:t>
            </w:r>
            <w:r w:rsidRPr="00DF48C7">
              <w:rPr>
                <w:b/>
                <w:sz w:val="18"/>
                <w:szCs w:val="18"/>
                <w:lang w:val="en-US"/>
              </w:rPr>
              <w:br/>
              <w:t xml:space="preserve">2–15 or </w:t>
            </w:r>
            <w:r w:rsidR="002A7F1D">
              <w:rPr>
                <w:b/>
                <w:sz w:val="18"/>
                <w:szCs w:val="18"/>
                <w:lang w:val="en-US"/>
              </w:rPr>
              <w:br/>
            </w:r>
            <w:r w:rsidRPr="00DF48C7">
              <w:rPr>
                <w:b/>
                <w:sz w:val="18"/>
                <w:szCs w:val="18"/>
                <w:lang w:val="en-US"/>
              </w:rPr>
              <w:t>2–20 mg/day</w:t>
            </w:r>
          </w:p>
        </w:tc>
        <w:tc>
          <w:tcPr>
            <w:tcW w:w="1885" w:type="dxa"/>
            <w:tcBorders>
              <w:left w:val="nil"/>
              <w:right w:val="nil"/>
            </w:tcBorders>
          </w:tcPr>
          <w:p w:rsidR="00EF45EB" w:rsidRPr="00D10ABF" w:rsidRDefault="00EF45EB" w:rsidP="00D10ABF">
            <w:pPr>
              <w:pStyle w:val="BodyText1"/>
              <w:jc w:val="center"/>
              <w:rPr>
                <w:b/>
                <w:sz w:val="18"/>
                <w:szCs w:val="18"/>
                <w:vertAlign w:val="superscript"/>
                <w:lang w:val="en-US"/>
              </w:rPr>
            </w:pPr>
            <w:r w:rsidRPr="00DF48C7">
              <w:rPr>
                <w:b/>
                <w:sz w:val="18"/>
                <w:szCs w:val="18"/>
                <w:lang w:val="en-US"/>
              </w:rPr>
              <w:t>ADT + brexpiprazole</w:t>
            </w:r>
            <w:r w:rsidRPr="00DF48C7">
              <w:rPr>
                <w:b/>
                <w:sz w:val="18"/>
                <w:szCs w:val="18"/>
                <w:lang w:val="en-US"/>
              </w:rPr>
              <w:br/>
              <w:t xml:space="preserve">0.25–3 or </w:t>
            </w:r>
            <w:r w:rsidR="00D42FF3">
              <w:rPr>
                <w:b/>
                <w:sz w:val="18"/>
                <w:szCs w:val="18"/>
                <w:lang w:val="en-US"/>
              </w:rPr>
              <w:br/>
            </w:r>
            <w:r w:rsidRPr="00DF48C7">
              <w:rPr>
                <w:b/>
                <w:sz w:val="18"/>
                <w:szCs w:val="18"/>
                <w:lang w:val="en-US"/>
              </w:rPr>
              <w:t>0.5–3 mg/day</w:t>
            </w:r>
            <w:r w:rsidRPr="00DF48C7">
              <w:rPr>
                <w:b/>
                <w:sz w:val="18"/>
                <w:szCs w:val="18"/>
                <w:vertAlign w:val="superscript"/>
                <w:lang w:val="en-US"/>
              </w:rPr>
              <w:t>a</w:t>
            </w:r>
          </w:p>
        </w:tc>
        <w:tc>
          <w:tcPr>
            <w:tcW w:w="1885" w:type="dxa"/>
            <w:tcBorders>
              <w:left w:val="nil"/>
              <w:right w:val="nil"/>
            </w:tcBorders>
          </w:tcPr>
          <w:p w:rsidR="00EF45EB" w:rsidRPr="00DF48C7" w:rsidRDefault="00EF45EB" w:rsidP="00D10ABF">
            <w:pPr>
              <w:pStyle w:val="BodyText1"/>
              <w:jc w:val="center"/>
              <w:rPr>
                <w:b/>
                <w:sz w:val="18"/>
                <w:szCs w:val="18"/>
                <w:lang w:val="en-US"/>
              </w:rPr>
            </w:pPr>
            <w:r w:rsidRPr="00DF48C7">
              <w:rPr>
                <w:b/>
                <w:sz w:val="18"/>
                <w:szCs w:val="18"/>
                <w:lang w:val="en-US"/>
              </w:rPr>
              <w:t>ADT + aripiprazole</w:t>
            </w:r>
            <w:r w:rsidRPr="00DF48C7">
              <w:rPr>
                <w:b/>
                <w:sz w:val="18"/>
                <w:szCs w:val="18"/>
                <w:lang w:val="en-US"/>
              </w:rPr>
              <w:br/>
              <w:t xml:space="preserve">2–15 or </w:t>
            </w:r>
            <w:r w:rsidR="00D42FF3">
              <w:rPr>
                <w:b/>
                <w:sz w:val="18"/>
                <w:szCs w:val="18"/>
                <w:lang w:val="en-US"/>
              </w:rPr>
              <w:br/>
            </w:r>
            <w:r w:rsidRPr="00DF48C7">
              <w:rPr>
                <w:b/>
                <w:sz w:val="18"/>
                <w:szCs w:val="18"/>
                <w:lang w:val="en-US"/>
              </w:rPr>
              <w:t>2–30 mg/day</w:t>
            </w:r>
          </w:p>
        </w:tc>
      </w:tr>
      <w:tr w:rsidR="00EF45EB" w:rsidRPr="00DF48C7" w:rsidTr="00D42FF3">
        <w:tc>
          <w:tcPr>
            <w:tcW w:w="3828" w:type="dxa"/>
            <w:tcBorders>
              <w:left w:val="nil"/>
              <w:right w:val="nil"/>
            </w:tcBorders>
            <w:vAlign w:val="center"/>
          </w:tcPr>
          <w:p w:rsidR="00EF45EB" w:rsidRPr="00DF48C7" w:rsidRDefault="00EF45EB" w:rsidP="009D3D09">
            <w:pPr>
              <w:pStyle w:val="BodyText1"/>
              <w:rPr>
                <w:b/>
                <w:sz w:val="18"/>
                <w:szCs w:val="18"/>
                <w:lang w:val="en-US"/>
              </w:rPr>
            </w:pPr>
            <w:r w:rsidRPr="00DF48C7">
              <w:rPr>
                <w:b/>
                <w:sz w:val="18"/>
                <w:szCs w:val="18"/>
                <w:lang w:val="en-US"/>
              </w:rPr>
              <w:t>Randomized/enrolled</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384 (100.0)</w:t>
            </w:r>
          </w:p>
        </w:tc>
        <w:tc>
          <w:tcPr>
            <w:tcW w:w="1885"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605 (100.0)</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540 (100.0)</w:t>
            </w:r>
          </w:p>
        </w:tc>
        <w:tc>
          <w:tcPr>
            <w:tcW w:w="1885"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550 (100.0)</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2,084 (100.0)</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1,002 (100.0)</w:t>
            </w:r>
          </w:p>
        </w:tc>
      </w:tr>
      <w:tr w:rsidR="00EF45EB" w:rsidRPr="00DF48C7" w:rsidTr="00D42FF3">
        <w:tc>
          <w:tcPr>
            <w:tcW w:w="3828" w:type="dxa"/>
            <w:tcBorders>
              <w:left w:val="nil"/>
              <w:right w:val="nil"/>
            </w:tcBorders>
            <w:vAlign w:val="center"/>
          </w:tcPr>
          <w:p w:rsidR="00EF45EB" w:rsidRPr="00DF48C7" w:rsidRDefault="00EF45EB" w:rsidP="009D3D09">
            <w:pPr>
              <w:pStyle w:val="BodyText1"/>
              <w:rPr>
                <w:b/>
                <w:sz w:val="18"/>
                <w:szCs w:val="18"/>
                <w:lang w:val="en-US"/>
              </w:rPr>
            </w:pPr>
            <w:r w:rsidRPr="00DF48C7">
              <w:rPr>
                <w:b/>
                <w:sz w:val="18"/>
                <w:szCs w:val="18"/>
                <w:lang w:val="en-US"/>
              </w:rPr>
              <w:t>Safety population</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383 (99.7)</w:t>
            </w:r>
          </w:p>
        </w:tc>
        <w:tc>
          <w:tcPr>
            <w:tcW w:w="1885"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604 (99.8)</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538 (99.6)</w:t>
            </w:r>
          </w:p>
        </w:tc>
        <w:tc>
          <w:tcPr>
            <w:tcW w:w="1885" w:type="dxa"/>
            <w:gridSpan w:val="2"/>
            <w:tcBorders>
              <w:left w:val="nil"/>
              <w:right w:val="nil"/>
            </w:tcBorders>
            <w:vAlign w:val="center"/>
          </w:tcPr>
          <w:p w:rsidR="00EF45EB" w:rsidRPr="00DF48C7" w:rsidRDefault="00EF45EB" w:rsidP="009D3D09">
            <w:pPr>
              <w:pStyle w:val="BodyText1"/>
              <w:spacing w:before="240"/>
              <w:jc w:val="center"/>
              <w:rPr>
                <w:sz w:val="18"/>
                <w:szCs w:val="18"/>
                <w:lang w:val="en-US"/>
              </w:rPr>
            </w:pPr>
            <w:r w:rsidRPr="00DF48C7">
              <w:rPr>
                <w:sz w:val="18"/>
                <w:szCs w:val="18"/>
                <w:lang w:val="en-US"/>
              </w:rPr>
              <w:t>547 (99.5)</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2,084 (100.0)</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994 (99.2)</w:t>
            </w:r>
          </w:p>
        </w:tc>
      </w:tr>
      <w:tr w:rsidR="00EF45EB" w:rsidRPr="00DF48C7" w:rsidTr="00D42FF3">
        <w:tc>
          <w:tcPr>
            <w:tcW w:w="3828" w:type="dxa"/>
            <w:tcBorders>
              <w:left w:val="nil"/>
              <w:right w:val="nil"/>
            </w:tcBorders>
            <w:vAlign w:val="center"/>
          </w:tcPr>
          <w:p w:rsidR="00EF45EB" w:rsidRPr="00DF48C7" w:rsidRDefault="00EF45EB" w:rsidP="009D3D09">
            <w:pPr>
              <w:pStyle w:val="BodyText1"/>
              <w:rPr>
                <w:b/>
                <w:sz w:val="18"/>
                <w:szCs w:val="18"/>
                <w:lang w:val="en-US"/>
              </w:rPr>
            </w:pPr>
            <w:r w:rsidRPr="00DF48C7">
              <w:rPr>
                <w:b/>
                <w:sz w:val="18"/>
                <w:szCs w:val="18"/>
                <w:lang w:val="en-US"/>
              </w:rPr>
              <w:t>Completed</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361 (94.0)</w:t>
            </w:r>
          </w:p>
        </w:tc>
        <w:tc>
          <w:tcPr>
            <w:tcW w:w="1885"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566 (93.6)</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471 (87.2)</w:t>
            </w:r>
          </w:p>
        </w:tc>
        <w:tc>
          <w:tcPr>
            <w:tcW w:w="1885" w:type="dxa"/>
            <w:gridSpan w:val="2"/>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469 (85.3)</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1,016 (48.8)</w:t>
            </w:r>
          </w:p>
        </w:tc>
        <w:tc>
          <w:tcPr>
            <w:tcW w:w="1885" w:type="dxa"/>
            <w:tcBorders>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323 (32.2)</w:t>
            </w:r>
          </w:p>
        </w:tc>
      </w:tr>
      <w:tr w:rsidR="00EF45EB" w:rsidRPr="00DF48C7" w:rsidTr="00D42FF3">
        <w:tc>
          <w:tcPr>
            <w:tcW w:w="3828" w:type="dxa"/>
            <w:tcBorders>
              <w:left w:val="nil"/>
              <w:bottom w:val="nil"/>
              <w:right w:val="nil"/>
            </w:tcBorders>
            <w:vAlign w:val="center"/>
          </w:tcPr>
          <w:p w:rsidR="00EF45EB" w:rsidRPr="00DF48C7" w:rsidRDefault="00EF45EB" w:rsidP="009D3D09">
            <w:pPr>
              <w:pStyle w:val="BodyText1"/>
              <w:rPr>
                <w:b/>
                <w:sz w:val="18"/>
                <w:szCs w:val="18"/>
                <w:lang w:val="en-US"/>
              </w:rPr>
            </w:pPr>
            <w:r w:rsidRPr="00DF48C7">
              <w:rPr>
                <w:b/>
                <w:sz w:val="18"/>
                <w:szCs w:val="18"/>
                <w:lang w:val="en-US"/>
              </w:rPr>
              <w:t>Discontinued</w:t>
            </w:r>
          </w:p>
        </w:tc>
        <w:tc>
          <w:tcPr>
            <w:tcW w:w="1885"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23 (6.0)</w:t>
            </w:r>
          </w:p>
        </w:tc>
        <w:tc>
          <w:tcPr>
            <w:tcW w:w="1885" w:type="dxa"/>
            <w:gridSpan w:val="2"/>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39 (6.4)</w:t>
            </w:r>
          </w:p>
        </w:tc>
        <w:tc>
          <w:tcPr>
            <w:tcW w:w="1885"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69 (12.8)</w:t>
            </w:r>
          </w:p>
        </w:tc>
        <w:tc>
          <w:tcPr>
            <w:tcW w:w="1885" w:type="dxa"/>
            <w:gridSpan w:val="2"/>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81 (14.7)</w:t>
            </w:r>
          </w:p>
        </w:tc>
        <w:tc>
          <w:tcPr>
            <w:tcW w:w="1885"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1,068 (51.2)</w:t>
            </w:r>
          </w:p>
        </w:tc>
        <w:tc>
          <w:tcPr>
            <w:tcW w:w="1885" w:type="dxa"/>
            <w:tcBorders>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679 (67.8)</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Withdrew consent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13 (3.4)</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 (1.7)</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20 (3.7)</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14 (2.5)</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281 (13.5)</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125 (12.5)</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Met withdrawal criteria</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 (0.8)</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 (0.8)</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88 (4.2)</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Lack of efficacy</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(0.2)</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 (1.5)</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8 (1.5)</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149 (7.1)</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135 (13.5)</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Adverse event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 (0.5)</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15 (2.5)</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 (1.7)</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24 (4.4)</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294 (14.1)</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230 (23.0)</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Protocol deviation</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4 (1.0)</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5 (0.8)</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129 (6.2)</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Withdrawn by investigator</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 (0.3)</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27 (1.3)</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Lost to follow-up</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 (0.5)</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13 (2.4)</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13 (2.4)</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100 (4.8)</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109 (10.9)</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Non-/poor compliance</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 (1.3)</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7 (1.3)</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39 (3.9)</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No longer meets study criteria</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9 (1.7)</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13 (2.4)</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22 (2.2)</w:t>
            </w:r>
          </w:p>
        </w:tc>
      </w:tr>
      <w:tr w:rsidR="00EF45EB" w:rsidRPr="00DF48C7" w:rsidTr="00D42FF3">
        <w:tc>
          <w:tcPr>
            <w:tcW w:w="3828" w:type="dxa"/>
            <w:tcBorders>
              <w:top w:val="nil"/>
              <w:left w:val="nil"/>
              <w:bottom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Study terminated by the Sponsor</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0 (0.0)</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gridSpan w:val="2"/>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bottom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r>
      <w:tr w:rsidR="00EF45EB" w:rsidRPr="00DF48C7" w:rsidTr="00D42FF3">
        <w:tc>
          <w:tcPr>
            <w:tcW w:w="3828" w:type="dxa"/>
            <w:tcBorders>
              <w:top w:val="nil"/>
              <w:left w:val="nil"/>
              <w:right w:val="nil"/>
            </w:tcBorders>
            <w:vAlign w:val="center"/>
          </w:tcPr>
          <w:p w:rsidR="00EF45EB" w:rsidRPr="00DF48C7" w:rsidRDefault="00EF45EB" w:rsidP="009D3D09">
            <w:pPr>
              <w:pStyle w:val="BodyText1"/>
              <w:ind w:left="181"/>
              <w:rPr>
                <w:b/>
                <w:sz w:val="18"/>
                <w:szCs w:val="18"/>
                <w:lang w:val="en-US"/>
              </w:rPr>
            </w:pPr>
            <w:r w:rsidRPr="00DF48C7">
              <w:rPr>
                <w:b/>
                <w:sz w:val="18"/>
                <w:szCs w:val="18"/>
                <w:lang w:val="en-US"/>
              </w:rPr>
              <w:t>Other</w:t>
            </w:r>
          </w:p>
        </w:tc>
        <w:tc>
          <w:tcPr>
            <w:tcW w:w="1885"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gridSpan w:val="2"/>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3 (0.6)</w:t>
            </w:r>
          </w:p>
        </w:tc>
        <w:tc>
          <w:tcPr>
            <w:tcW w:w="1885" w:type="dxa"/>
            <w:gridSpan w:val="2"/>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2 (0.4)</w:t>
            </w:r>
          </w:p>
        </w:tc>
        <w:tc>
          <w:tcPr>
            <w:tcW w:w="1885"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w:t>
            </w:r>
          </w:p>
        </w:tc>
        <w:tc>
          <w:tcPr>
            <w:tcW w:w="1885" w:type="dxa"/>
            <w:tcBorders>
              <w:top w:val="nil"/>
              <w:left w:val="nil"/>
              <w:right w:val="nil"/>
            </w:tcBorders>
            <w:vAlign w:val="center"/>
          </w:tcPr>
          <w:p w:rsidR="00EF45EB" w:rsidRPr="00DF48C7" w:rsidRDefault="00EF45EB" w:rsidP="009D3D09">
            <w:pPr>
              <w:pStyle w:val="BodyText1"/>
              <w:jc w:val="center"/>
              <w:rPr>
                <w:sz w:val="18"/>
                <w:szCs w:val="18"/>
                <w:lang w:val="en-US"/>
              </w:rPr>
            </w:pPr>
            <w:r w:rsidRPr="00DF48C7">
              <w:rPr>
                <w:sz w:val="18"/>
                <w:szCs w:val="18"/>
                <w:lang w:val="en-US"/>
              </w:rPr>
              <w:t>19 (1.9)</w:t>
            </w:r>
            <w:r w:rsidRPr="00DF48C7">
              <w:rPr>
                <w:sz w:val="18"/>
                <w:szCs w:val="18"/>
                <w:vertAlign w:val="superscript"/>
                <w:lang w:val="en-US"/>
              </w:rPr>
              <w:t>b</w:t>
            </w:r>
          </w:p>
        </w:tc>
      </w:tr>
    </w:tbl>
    <w:p w:rsidR="00EF45EB" w:rsidRPr="00DF48C7" w:rsidRDefault="00EF45EB" w:rsidP="00EF45EB">
      <w:pPr>
        <w:pStyle w:val="BodyText1"/>
        <w:rPr>
          <w:sz w:val="18"/>
          <w:szCs w:val="18"/>
          <w:lang w:val="en-US"/>
        </w:rPr>
      </w:pPr>
      <w:r w:rsidRPr="00DF48C7">
        <w:rPr>
          <w:sz w:val="18"/>
          <w:szCs w:val="18"/>
          <w:lang w:val="en-US"/>
        </w:rPr>
        <w:t>Data presented are n (%).</w:t>
      </w:r>
      <w:r w:rsidRPr="00DF48C7">
        <w:rPr>
          <w:sz w:val="18"/>
          <w:szCs w:val="18"/>
          <w:lang w:val="en-US"/>
        </w:rPr>
        <w:br/>
      </w:r>
      <w:r w:rsidRPr="00DF48C7">
        <w:rPr>
          <w:sz w:val="18"/>
          <w:szCs w:val="18"/>
          <w:vertAlign w:val="superscript"/>
          <w:lang w:val="en-US"/>
        </w:rPr>
        <w:t>a</w:t>
      </w:r>
      <w:r w:rsidRPr="00DF48C7">
        <w:rPr>
          <w:sz w:val="18"/>
          <w:szCs w:val="18"/>
          <w:lang w:val="en-US"/>
        </w:rPr>
        <w:t xml:space="preserve">Orion </w:t>
      </w:r>
      <w:r>
        <w:rPr>
          <w:sz w:val="18"/>
          <w:szCs w:val="18"/>
          <w:lang w:val="en-US"/>
        </w:rPr>
        <w:t>was</w:t>
      </w:r>
      <w:r w:rsidRPr="00DF48C7">
        <w:rPr>
          <w:sz w:val="18"/>
          <w:szCs w:val="18"/>
          <w:lang w:val="en-US"/>
        </w:rPr>
        <w:t xml:space="preserve"> ongoing; the brexpiprazole data presented are based on a data cut-off date of 15 May 2015.</w:t>
      </w:r>
      <w:r w:rsidRPr="00DF48C7">
        <w:rPr>
          <w:sz w:val="18"/>
          <w:szCs w:val="18"/>
          <w:lang w:val="en-US"/>
        </w:rPr>
        <w:br/>
      </w:r>
      <w:r w:rsidRPr="00DF48C7">
        <w:rPr>
          <w:sz w:val="18"/>
          <w:szCs w:val="18"/>
          <w:vertAlign w:val="superscript"/>
          <w:lang w:val="en-US"/>
        </w:rPr>
        <w:t>b</w:t>
      </w:r>
      <w:r w:rsidRPr="00DF48C7">
        <w:rPr>
          <w:sz w:val="18"/>
          <w:szCs w:val="18"/>
          <w:lang w:val="en-US"/>
        </w:rPr>
        <w:t>Includes ‘pregnancy’ (n=7; 0.7%) and ‘administrative reason by Sponsor’ (n=2; 0.2%), among other reasons not stated.</w:t>
      </w:r>
    </w:p>
    <w:p w:rsidR="00871951" w:rsidRDefault="00EF45EB" w:rsidP="00EF45EB">
      <w:pPr>
        <w:pStyle w:val="BodyText1"/>
        <w:rPr>
          <w:noProof/>
          <w:sz w:val="18"/>
          <w:szCs w:val="18"/>
          <w:lang w:val="en-US"/>
        </w:rPr>
      </w:pPr>
      <w:r w:rsidRPr="00DF48C7">
        <w:rPr>
          <w:sz w:val="18"/>
          <w:szCs w:val="18"/>
          <w:lang w:val="en-US"/>
        </w:rPr>
        <w:t>ADT=antidepressant treatment; MDD=major depressive disorder</w:t>
      </w:r>
      <w:r w:rsidRPr="00DF48C7">
        <w:rPr>
          <w:noProof/>
          <w:sz w:val="18"/>
          <w:szCs w:val="18"/>
          <w:lang w:val="en-US"/>
        </w:rPr>
        <w:t>.</w:t>
      </w:r>
    </w:p>
    <w:p w:rsidR="00871951" w:rsidRDefault="00871951">
      <w:pPr>
        <w:rPr>
          <w:noProof/>
          <w:sz w:val="18"/>
          <w:szCs w:val="18"/>
          <w:lang w:val="en-US"/>
        </w:rPr>
        <w:sectPr w:rsidR="00871951" w:rsidSect="00D42FF3">
          <w:footnotePr>
            <w:numRestart w:val="eachSect"/>
          </w:footnotePr>
          <w:pgSz w:w="16840" w:h="11907" w:orient="landscape" w:code="9"/>
          <w:pgMar w:top="397" w:right="851" w:bottom="340" w:left="851" w:header="397" w:footer="397" w:gutter="0"/>
          <w:cols w:space="720"/>
          <w:docGrid w:linePitch="326"/>
        </w:sectPr>
      </w:pPr>
    </w:p>
    <w:p w:rsidR="00871951" w:rsidRPr="00C67D25" w:rsidRDefault="00871951" w:rsidP="00C32A1C">
      <w:pPr>
        <w:pStyle w:val="Heading3"/>
        <w:rPr>
          <w:bCs/>
          <w:lang w:val="en-US"/>
        </w:rPr>
      </w:pPr>
      <w:r w:rsidRPr="00C67D25">
        <w:rPr>
          <w:bCs/>
          <w:lang w:val="en-US"/>
        </w:rPr>
        <w:lastRenderedPageBreak/>
        <w:t>References</w:t>
      </w:r>
    </w:p>
    <w:p w:rsidR="00A35ECA" w:rsidRDefault="00A35ECA" w:rsidP="00C32A1C">
      <w:pPr>
        <w:pStyle w:val="BodyText1"/>
        <w:rPr>
          <w:lang w:val="en-US"/>
        </w:rPr>
      </w:pPr>
      <w:r>
        <w:rPr>
          <w:lang w:val="en-US"/>
        </w:rPr>
        <w:t xml:space="preserve">1. </w:t>
      </w:r>
      <w:r w:rsidRPr="00DF48C7">
        <w:rPr>
          <w:lang w:val="en-US"/>
        </w:rPr>
        <w:t xml:space="preserve">Correll CU, Skuban A, Ouyang J, Hobart M, Pfister S, McQuade RD, </w:t>
      </w:r>
      <w:r w:rsidRPr="00DF48C7">
        <w:rPr>
          <w:i/>
          <w:lang w:val="en-US"/>
        </w:rPr>
        <w:t>et al</w:t>
      </w:r>
      <w:r w:rsidRPr="00DF48C7">
        <w:rPr>
          <w:lang w:val="en-US"/>
        </w:rPr>
        <w:t xml:space="preserve">. (2015). Efficacy and safety of brexpiprazole for the treatment of acute schizophrenia: A 6-week randomized, double-blind, placebo-controlled trial. </w:t>
      </w:r>
      <w:r w:rsidRPr="00DF48C7">
        <w:rPr>
          <w:i/>
          <w:lang w:val="en-US"/>
        </w:rPr>
        <w:t>Am J Psychiatry</w:t>
      </w:r>
      <w:r w:rsidRPr="00DF48C7">
        <w:rPr>
          <w:lang w:val="en-US"/>
        </w:rPr>
        <w:t xml:space="preserve"> </w:t>
      </w:r>
      <w:r w:rsidRPr="00DF48C7">
        <w:rPr>
          <w:b/>
          <w:lang w:val="en-US"/>
        </w:rPr>
        <w:t>172</w:t>
      </w:r>
      <w:r w:rsidRPr="00DF48C7">
        <w:rPr>
          <w:lang w:val="en-US"/>
        </w:rPr>
        <w:t>:870–880.</w:t>
      </w:r>
    </w:p>
    <w:p w:rsidR="00A35ECA" w:rsidRPr="00DF48C7" w:rsidRDefault="00A35ECA" w:rsidP="00C32A1C">
      <w:pPr>
        <w:pStyle w:val="BodyText1"/>
        <w:rPr>
          <w:lang w:val="en-US"/>
        </w:rPr>
      </w:pPr>
      <w:r>
        <w:rPr>
          <w:lang w:val="en-US"/>
        </w:rPr>
        <w:t xml:space="preserve">2. </w:t>
      </w:r>
      <w:r w:rsidRPr="00DF48C7">
        <w:rPr>
          <w:lang w:val="en-US"/>
        </w:rPr>
        <w:t xml:space="preserve">Kane JM, Skuban A, Ouyang J, Hobart M, Pfister S, McQuade RD, </w:t>
      </w:r>
      <w:r w:rsidRPr="00DF48C7">
        <w:rPr>
          <w:i/>
          <w:lang w:val="en-US"/>
        </w:rPr>
        <w:t>et al</w:t>
      </w:r>
      <w:r w:rsidRPr="00DF48C7">
        <w:rPr>
          <w:lang w:val="en-US"/>
        </w:rPr>
        <w:t xml:space="preserve">. (2015). A multicenter, randomized, double-blind, controlled phase 3 trial of fixed-dose brexpiprazole for the treatment of adults with acute schizophrenia. </w:t>
      </w:r>
      <w:r w:rsidRPr="00DF48C7">
        <w:rPr>
          <w:i/>
          <w:lang w:val="en-US"/>
        </w:rPr>
        <w:t>Schizophr Res</w:t>
      </w:r>
      <w:r w:rsidRPr="00DF48C7">
        <w:rPr>
          <w:lang w:val="en-US"/>
        </w:rPr>
        <w:t xml:space="preserve"> </w:t>
      </w:r>
      <w:r w:rsidRPr="00DF48C7">
        <w:rPr>
          <w:b/>
          <w:lang w:val="en-US"/>
        </w:rPr>
        <w:t>164</w:t>
      </w:r>
      <w:r w:rsidRPr="00DF48C7">
        <w:rPr>
          <w:lang w:val="en-US"/>
        </w:rPr>
        <w:t>:127–135.</w:t>
      </w:r>
    </w:p>
    <w:p w:rsidR="00A35ECA" w:rsidRPr="002A7F1D" w:rsidRDefault="00A35ECA" w:rsidP="00A720C6">
      <w:pPr>
        <w:pStyle w:val="BodyText1"/>
        <w:rPr>
          <w:b/>
        </w:rPr>
      </w:pPr>
      <w:r>
        <w:rPr>
          <w:lang w:val="en-US"/>
        </w:rPr>
        <w:t xml:space="preserve">3. </w:t>
      </w:r>
      <w:r w:rsidRPr="00CF1028">
        <w:rPr>
          <w:lang w:val="en-US"/>
        </w:rPr>
        <w:t xml:space="preserve">Forbes A, Hobart M, Ouyang J, </w:t>
      </w:r>
      <w:r w:rsidR="00F960E5">
        <w:rPr>
          <w:lang w:val="en-US"/>
        </w:rPr>
        <w:t xml:space="preserve">Shi L, </w:t>
      </w:r>
      <w:r w:rsidRPr="00CF1028">
        <w:rPr>
          <w:lang w:val="en-US"/>
        </w:rPr>
        <w:t>Pfister S, Hakala M (201</w:t>
      </w:r>
      <w:r w:rsidR="00A720C6">
        <w:rPr>
          <w:lang w:val="en-US"/>
        </w:rPr>
        <w:t>8</w:t>
      </w:r>
      <w:r w:rsidRPr="00CF1028">
        <w:rPr>
          <w:lang w:val="en-US"/>
        </w:rPr>
        <w:t xml:space="preserve">). A long-term open-label study to evaluate the safety and tolerability of brexpiprazole as maintenance treatment in adults with </w:t>
      </w:r>
      <w:r w:rsidRPr="002A7F1D">
        <w:rPr>
          <w:lang w:val="en-US"/>
        </w:rPr>
        <w:t>schizophrenia.</w:t>
      </w:r>
      <w:r w:rsidR="00F960E5" w:rsidRPr="002A7F1D">
        <w:rPr>
          <w:i/>
          <w:lang w:val="en-US"/>
        </w:rPr>
        <w:t xml:space="preserve"> </w:t>
      </w:r>
      <w:r w:rsidR="00F960E5" w:rsidRPr="002A7F1D">
        <w:rPr>
          <w:rFonts w:cs="Arial"/>
          <w:i/>
          <w:shd w:val="clear" w:color="auto" w:fill="FFFFFF"/>
        </w:rPr>
        <w:t>Int J Neuropsychopharmacol</w:t>
      </w:r>
      <w:r w:rsidRPr="002A7F1D">
        <w:rPr>
          <w:lang w:val="en-US"/>
        </w:rPr>
        <w:t>.</w:t>
      </w:r>
      <w:r w:rsidR="00A720C6">
        <w:rPr>
          <w:lang w:val="en-US"/>
        </w:rPr>
        <w:t xml:space="preserve"> </w:t>
      </w:r>
      <w:r w:rsidR="00A720C6" w:rsidRPr="00A720C6">
        <w:rPr>
          <w:lang w:val="en-US"/>
        </w:rPr>
        <w:t>doi: 10.1093/ijnp/pyy002. [Epub ahead of print]</w:t>
      </w:r>
      <w:r w:rsidR="00A720C6">
        <w:rPr>
          <w:lang w:val="en-US"/>
        </w:rPr>
        <w:t>.</w:t>
      </w:r>
    </w:p>
    <w:p w:rsidR="00A35ECA" w:rsidRPr="00DF48C7" w:rsidRDefault="00A720C6" w:rsidP="00C32A1C">
      <w:pPr>
        <w:pStyle w:val="BodyText1"/>
        <w:rPr>
          <w:lang w:val="en-US"/>
        </w:rPr>
      </w:pPr>
      <w:r>
        <w:rPr>
          <w:lang w:val="en-US"/>
        </w:rPr>
        <w:t>4</w:t>
      </w:r>
      <w:r w:rsidR="00A35ECA">
        <w:rPr>
          <w:lang w:val="en-US"/>
        </w:rPr>
        <w:t xml:space="preserve">. </w:t>
      </w:r>
      <w:r w:rsidR="00A35ECA" w:rsidRPr="00DF48C7">
        <w:rPr>
          <w:lang w:val="en-US"/>
        </w:rPr>
        <w:t xml:space="preserve">Kane JM, Carson WH, Saha AR, McQuade RD, Ingenito GG, Zimbroff DL, </w:t>
      </w:r>
      <w:r w:rsidR="00A35ECA" w:rsidRPr="00DF48C7">
        <w:rPr>
          <w:i/>
          <w:lang w:val="en-US"/>
        </w:rPr>
        <w:t>et al</w:t>
      </w:r>
      <w:r w:rsidR="00A35ECA" w:rsidRPr="00DF48C7">
        <w:rPr>
          <w:lang w:val="en-US"/>
        </w:rPr>
        <w:t xml:space="preserve">. (2002). Efficacy and safety of aripiprazole and haloperidol versus placebo in patients with schizophrenia and schizoaffective disorder. </w:t>
      </w:r>
      <w:r w:rsidR="00A35ECA" w:rsidRPr="00DF48C7">
        <w:rPr>
          <w:i/>
          <w:lang w:val="en-US"/>
        </w:rPr>
        <w:t>J Clin Psychiatry</w:t>
      </w:r>
      <w:r w:rsidR="00A35ECA" w:rsidRPr="00DF48C7">
        <w:rPr>
          <w:lang w:val="en-US"/>
        </w:rPr>
        <w:t xml:space="preserve"> </w:t>
      </w:r>
      <w:r w:rsidR="00A35ECA" w:rsidRPr="00DF48C7">
        <w:rPr>
          <w:b/>
          <w:lang w:val="en-US"/>
        </w:rPr>
        <w:t>63</w:t>
      </w:r>
      <w:r w:rsidR="00A35ECA" w:rsidRPr="00DF48C7">
        <w:rPr>
          <w:lang w:val="en-US"/>
        </w:rPr>
        <w:t>:763–771.</w:t>
      </w:r>
    </w:p>
    <w:p w:rsidR="00A35ECA" w:rsidRPr="00DF48C7" w:rsidRDefault="00A720C6" w:rsidP="00C32A1C">
      <w:pPr>
        <w:pStyle w:val="BodyText1"/>
        <w:rPr>
          <w:lang w:val="en-US"/>
        </w:rPr>
      </w:pPr>
      <w:r>
        <w:rPr>
          <w:lang w:val="en-US"/>
        </w:rPr>
        <w:t>5</w:t>
      </w:r>
      <w:r w:rsidR="00A35ECA">
        <w:rPr>
          <w:lang w:val="en-US"/>
        </w:rPr>
        <w:t xml:space="preserve">. </w:t>
      </w:r>
      <w:r w:rsidR="00A35ECA" w:rsidRPr="00DF48C7">
        <w:rPr>
          <w:lang w:val="en-US"/>
        </w:rPr>
        <w:t xml:space="preserve">Potkin SG, Saha AR, Kujawa MJ, Carson WH, Ali M, Stock E, </w:t>
      </w:r>
      <w:r w:rsidR="00A35ECA" w:rsidRPr="00DF48C7">
        <w:rPr>
          <w:i/>
          <w:lang w:val="en-US"/>
        </w:rPr>
        <w:t>et al</w:t>
      </w:r>
      <w:r w:rsidR="00A35ECA" w:rsidRPr="00DF48C7">
        <w:rPr>
          <w:lang w:val="en-US"/>
        </w:rPr>
        <w:t xml:space="preserve">. (2003). Aripiprazole, an antipsychotic with a novel mechanism of action, and risperidone vs placebo in patients with schizophrenia and schizoaffective disorder. </w:t>
      </w:r>
      <w:r w:rsidR="00A35ECA" w:rsidRPr="00DF48C7">
        <w:rPr>
          <w:i/>
          <w:lang w:val="en-US"/>
        </w:rPr>
        <w:t xml:space="preserve">Arch Gen Psychiatry </w:t>
      </w:r>
      <w:r w:rsidR="00A35ECA" w:rsidRPr="00DF48C7">
        <w:rPr>
          <w:b/>
          <w:lang w:val="en-US"/>
        </w:rPr>
        <w:t>60</w:t>
      </w:r>
      <w:r w:rsidR="00A35ECA" w:rsidRPr="00DF48C7">
        <w:rPr>
          <w:lang w:val="en-US"/>
        </w:rPr>
        <w:t>:681–690.</w:t>
      </w:r>
    </w:p>
    <w:p w:rsidR="00A35ECA" w:rsidRDefault="00A720C6" w:rsidP="00C32A1C">
      <w:pPr>
        <w:pStyle w:val="BodyText1"/>
        <w:rPr>
          <w:lang w:val="en-US"/>
        </w:rPr>
      </w:pPr>
      <w:r>
        <w:rPr>
          <w:lang w:val="en-US"/>
        </w:rPr>
        <w:t>6</w:t>
      </w:r>
      <w:r w:rsidR="00A35ECA">
        <w:rPr>
          <w:lang w:val="en-US"/>
        </w:rPr>
        <w:t xml:space="preserve">. </w:t>
      </w:r>
      <w:r w:rsidR="00A35ECA" w:rsidRPr="00DF48C7">
        <w:rPr>
          <w:lang w:val="en-US"/>
        </w:rPr>
        <w:t xml:space="preserve">McEvoy JP, Daniel DG, Carson WH, Jr., McQuade RD, Marcus RN (2007). A randomized, double-blind, placebo-controlled, study of the efficacy and safety of aripiprazole 10, 15 or 20 mg/day for the treatment of patients with acute exacerbations of schizophrenia. </w:t>
      </w:r>
      <w:r w:rsidR="00A35ECA" w:rsidRPr="00DF48C7">
        <w:rPr>
          <w:i/>
          <w:lang w:val="en-US"/>
        </w:rPr>
        <w:t>J Psychiatr Res</w:t>
      </w:r>
      <w:r w:rsidR="00A35ECA" w:rsidRPr="00DF48C7">
        <w:rPr>
          <w:lang w:val="en-US"/>
        </w:rPr>
        <w:t xml:space="preserve"> </w:t>
      </w:r>
      <w:r w:rsidR="00A35ECA" w:rsidRPr="00DF48C7">
        <w:rPr>
          <w:b/>
          <w:lang w:val="en-US"/>
        </w:rPr>
        <w:t>41</w:t>
      </w:r>
      <w:r w:rsidR="00A35ECA" w:rsidRPr="00DF48C7">
        <w:rPr>
          <w:lang w:val="en-US"/>
        </w:rPr>
        <w:t>:895–905</w:t>
      </w:r>
      <w:r w:rsidR="00A35ECA">
        <w:rPr>
          <w:lang w:val="en-US"/>
        </w:rPr>
        <w:t>.</w:t>
      </w:r>
    </w:p>
    <w:p w:rsidR="00A35ECA" w:rsidRPr="00DF48C7" w:rsidRDefault="00A720C6" w:rsidP="00C32A1C">
      <w:pPr>
        <w:pStyle w:val="BodyText1"/>
        <w:rPr>
          <w:lang w:val="en-US"/>
        </w:rPr>
      </w:pPr>
      <w:r>
        <w:rPr>
          <w:lang w:val="en-US"/>
        </w:rPr>
        <w:t>7</w:t>
      </w:r>
      <w:r w:rsidR="00A35ECA">
        <w:rPr>
          <w:lang w:val="en-US"/>
        </w:rPr>
        <w:t xml:space="preserve">. </w:t>
      </w:r>
      <w:r w:rsidR="00A35ECA" w:rsidRPr="00DF48C7">
        <w:rPr>
          <w:lang w:val="en-US"/>
        </w:rPr>
        <w:t xml:space="preserve">Kasper S, Lerman MN, McQuade RD, Saha A, Carson WH, Ali M, </w:t>
      </w:r>
      <w:r w:rsidR="00A35ECA" w:rsidRPr="00DF48C7">
        <w:rPr>
          <w:i/>
          <w:lang w:val="en-US"/>
        </w:rPr>
        <w:t>et al</w:t>
      </w:r>
      <w:r w:rsidR="00A35ECA" w:rsidRPr="00DF48C7">
        <w:rPr>
          <w:lang w:val="en-US"/>
        </w:rPr>
        <w:t xml:space="preserve">. (2003). Efficacy and safety of aripiprazole vs. haloperidol for long-term maintenance treatment following acute relapse of schizophrenia. </w:t>
      </w:r>
      <w:r w:rsidR="00A35ECA" w:rsidRPr="00CF419C">
        <w:rPr>
          <w:i/>
          <w:lang w:val="fr-FR"/>
        </w:rPr>
        <w:t>Int J Neuropsychopharmacol</w:t>
      </w:r>
      <w:r w:rsidR="00A35ECA" w:rsidRPr="00CF419C">
        <w:rPr>
          <w:lang w:val="fr-FR"/>
        </w:rPr>
        <w:t xml:space="preserve"> </w:t>
      </w:r>
      <w:r w:rsidR="00A35ECA" w:rsidRPr="00CF419C">
        <w:rPr>
          <w:b/>
          <w:lang w:val="fr-FR"/>
        </w:rPr>
        <w:t>6</w:t>
      </w:r>
      <w:r w:rsidR="00A35ECA" w:rsidRPr="00CF419C">
        <w:rPr>
          <w:lang w:val="fr-FR"/>
        </w:rPr>
        <w:t>:325–337.</w:t>
      </w:r>
    </w:p>
    <w:p w:rsidR="00A35ECA" w:rsidRPr="00DF48C7" w:rsidRDefault="00A720C6" w:rsidP="00C32A1C">
      <w:pPr>
        <w:pStyle w:val="BodyText1"/>
        <w:rPr>
          <w:lang w:val="en-US"/>
        </w:rPr>
      </w:pPr>
      <w:r>
        <w:rPr>
          <w:lang w:val="en-US"/>
        </w:rPr>
        <w:t>8</w:t>
      </w:r>
      <w:r w:rsidR="00A35ECA">
        <w:rPr>
          <w:lang w:val="en-US"/>
        </w:rPr>
        <w:t xml:space="preserve">. </w:t>
      </w:r>
      <w:r w:rsidR="00A35ECA" w:rsidRPr="00DF48C7">
        <w:rPr>
          <w:lang w:val="en-US"/>
        </w:rPr>
        <w:t xml:space="preserve">Thase ME, Youakim JM, Skuban A, Hobart M, Augustine C, Zhang P, </w:t>
      </w:r>
      <w:r w:rsidR="00A35ECA" w:rsidRPr="00DF48C7">
        <w:rPr>
          <w:i/>
          <w:lang w:val="en-US"/>
        </w:rPr>
        <w:t>et al.</w:t>
      </w:r>
      <w:r w:rsidR="00A35ECA" w:rsidRPr="00DF48C7">
        <w:rPr>
          <w:lang w:val="en-US"/>
        </w:rPr>
        <w:t xml:space="preserve"> (2015). Efficacy and safety of adjunctive brexpiprazole 2 mg in major depressive disorder: a phase 3, randomized, placebo-controlled study in patients with inadequate response to antidepressants. </w:t>
      </w:r>
      <w:r w:rsidR="00A35ECA" w:rsidRPr="00DF48C7">
        <w:rPr>
          <w:i/>
          <w:lang w:val="en-US"/>
        </w:rPr>
        <w:t>J Clin Psychiatry</w:t>
      </w:r>
      <w:r w:rsidR="00A35ECA" w:rsidRPr="00DF48C7">
        <w:rPr>
          <w:lang w:val="en-US"/>
        </w:rPr>
        <w:t xml:space="preserve"> </w:t>
      </w:r>
      <w:r w:rsidR="00A35ECA" w:rsidRPr="00DF48C7">
        <w:rPr>
          <w:b/>
          <w:lang w:val="en-US"/>
        </w:rPr>
        <w:t>76</w:t>
      </w:r>
      <w:r w:rsidR="00A35ECA" w:rsidRPr="00DF48C7">
        <w:rPr>
          <w:lang w:val="en-US"/>
        </w:rPr>
        <w:t>:1224–1231.</w:t>
      </w:r>
    </w:p>
    <w:p w:rsidR="00A35ECA" w:rsidRPr="00B8576A" w:rsidRDefault="00A720C6" w:rsidP="00C32A1C">
      <w:pPr>
        <w:pStyle w:val="BodyText1"/>
        <w:rPr>
          <w:lang w:val="en-US"/>
        </w:rPr>
      </w:pPr>
      <w:r>
        <w:rPr>
          <w:lang w:val="en-US"/>
        </w:rPr>
        <w:t>9</w:t>
      </w:r>
      <w:r w:rsidR="00A35ECA">
        <w:rPr>
          <w:lang w:val="en-US"/>
        </w:rPr>
        <w:t xml:space="preserve">. </w:t>
      </w:r>
      <w:r w:rsidR="00A35ECA" w:rsidRPr="00DF48C7">
        <w:rPr>
          <w:lang w:val="en-US"/>
        </w:rPr>
        <w:t xml:space="preserve">Thase ME, Youakim JM, Skuban A, Hobart M, Zhang P, McQuade RD, </w:t>
      </w:r>
      <w:r w:rsidR="00A35ECA" w:rsidRPr="00DF48C7">
        <w:rPr>
          <w:i/>
          <w:lang w:val="en-US"/>
        </w:rPr>
        <w:t>et al</w:t>
      </w:r>
      <w:r w:rsidR="00A35ECA" w:rsidRPr="00DF48C7">
        <w:rPr>
          <w:lang w:val="en-US"/>
        </w:rPr>
        <w:t xml:space="preserve">. (2015). Adjunctive brexpiprazole 1 and 3 mg for patients with major depressive </w:t>
      </w:r>
      <w:r w:rsidR="00A35ECA" w:rsidRPr="00DF48C7">
        <w:rPr>
          <w:lang w:val="en-US"/>
        </w:rPr>
        <w:lastRenderedPageBreak/>
        <w:t xml:space="preserve">disorder following inadequate response to antidepressants: a phase 3, randomized, double-blind study. </w:t>
      </w:r>
      <w:r w:rsidR="00A35ECA" w:rsidRPr="00DF48C7">
        <w:rPr>
          <w:i/>
          <w:lang w:val="en-US"/>
        </w:rPr>
        <w:t>J Clin Psychiatry</w:t>
      </w:r>
      <w:r w:rsidR="00A35ECA" w:rsidRPr="00DF48C7">
        <w:rPr>
          <w:lang w:val="en-US"/>
        </w:rPr>
        <w:t xml:space="preserve"> </w:t>
      </w:r>
      <w:r w:rsidR="00A35ECA" w:rsidRPr="00DF48C7">
        <w:rPr>
          <w:b/>
          <w:lang w:val="en-US"/>
        </w:rPr>
        <w:t>76</w:t>
      </w:r>
      <w:r w:rsidR="00A35ECA" w:rsidRPr="00DF48C7">
        <w:rPr>
          <w:lang w:val="en-US"/>
        </w:rPr>
        <w:t>:1232–1240</w:t>
      </w:r>
      <w:r w:rsidR="00A35ECA">
        <w:rPr>
          <w:lang w:val="en-US"/>
        </w:rPr>
        <w:t>.</w:t>
      </w:r>
    </w:p>
    <w:p w:rsidR="00A35ECA" w:rsidRPr="00DF48C7" w:rsidRDefault="00A720C6" w:rsidP="00C32A1C">
      <w:pPr>
        <w:pStyle w:val="BodyText1"/>
        <w:rPr>
          <w:lang w:val="en-US"/>
        </w:rPr>
      </w:pPr>
      <w:r>
        <w:rPr>
          <w:lang w:val="en-US"/>
        </w:rPr>
        <w:t>10</w:t>
      </w:r>
      <w:r w:rsidR="00A35ECA">
        <w:rPr>
          <w:lang w:val="en-US"/>
        </w:rPr>
        <w:t xml:space="preserve">. </w:t>
      </w:r>
      <w:r w:rsidR="00A35ECA" w:rsidRPr="00DF48C7">
        <w:rPr>
          <w:lang w:val="en-US"/>
        </w:rPr>
        <w:t xml:space="preserve">ClinicalTrials.gov. </w:t>
      </w:r>
      <w:r w:rsidR="00A35ECA" w:rsidRPr="00DF48C7">
        <w:rPr>
          <w:i/>
          <w:lang w:val="en-US"/>
        </w:rPr>
        <w:t>Study of safety &amp; tolerability of OPC-34712 as adjunctive therapy in treatment of adult patients with major depressive disorder. NCT01447576.</w:t>
      </w:r>
      <w:r w:rsidR="00A35ECA" w:rsidRPr="00DF48C7">
        <w:rPr>
          <w:lang w:val="en-US"/>
        </w:rPr>
        <w:t xml:space="preserve"> Available at: </w:t>
      </w:r>
      <w:r w:rsidR="00A35ECA" w:rsidRPr="00DF48C7">
        <w:rPr>
          <w:i/>
          <w:lang w:val="en-US"/>
        </w:rPr>
        <w:t>https://clinicaltrials.gov/ct2/show/NCT01447576</w:t>
      </w:r>
      <w:r w:rsidR="00A35ECA" w:rsidRPr="00DF48C7">
        <w:rPr>
          <w:lang w:val="en-US"/>
        </w:rPr>
        <w:t xml:space="preserve"> [Accessed </w:t>
      </w:r>
      <w:r w:rsidR="00A35ECA">
        <w:rPr>
          <w:lang w:val="en-US"/>
        </w:rPr>
        <w:t>14 November</w:t>
      </w:r>
      <w:r w:rsidR="00A35ECA" w:rsidRPr="00DF48C7">
        <w:rPr>
          <w:lang w:val="en-US"/>
        </w:rPr>
        <w:t xml:space="preserve"> 2017].</w:t>
      </w:r>
    </w:p>
    <w:p w:rsidR="00A35ECA" w:rsidRDefault="00A720C6" w:rsidP="00C32A1C">
      <w:pPr>
        <w:pStyle w:val="BodyText1"/>
        <w:rPr>
          <w:lang w:val="en-US"/>
        </w:rPr>
      </w:pPr>
      <w:r>
        <w:rPr>
          <w:lang w:val="en-US"/>
        </w:rPr>
        <w:t>11</w:t>
      </w:r>
      <w:r w:rsidR="00A35ECA">
        <w:rPr>
          <w:lang w:val="en-US"/>
        </w:rPr>
        <w:t xml:space="preserve">. </w:t>
      </w:r>
      <w:r w:rsidR="00A35ECA" w:rsidRPr="00DF48C7">
        <w:rPr>
          <w:lang w:val="en-US"/>
        </w:rPr>
        <w:t xml:space="preserve">Nelson JC, Zhang P, Skuban A, Hobart M, Weiss C, Weiller E, Thase ME (2016). Overview of short-term and long-term safety of brexpiprazole in patients with major depressive disorder and inadequate response to antidepressant treatment. </w:t>
      </w:r>
      <w:r w:rsidR="00A35ECA" w:rsidRPr="00DF48C7">
        <w:rPr>
          <w:i/>
          <w:lang w:val="en-US"/>
        </w:rPr>
        <w:t xml:space="preserve">Curr Psychiatry Rev </w:t>
      </w:r>
      <w:r w:rsidR="00A35ECA" w:rsidRPr="00DF48C7">
        <w:rPr>
          <w:b/>
          <w:lang w:val="en-US"/>
        </w:rPr>
        <w:t>12</w:t>
      </w:r>
      <w:r w:rsidR="00A35ECA" w:rsidRPr="00DF48C7">
        <w:rPr>
          <w:lang w:val="en-US"/>
        </w:rPr>
        <w:t>:278–290.</w:t>
      </w:r>
    </w:p>
    <w:p w:rsidR="00A35ECA" w:rsidRDefault="00A720C6" w:rsidP="00C32A1C">
      <w:pPr>
        <w:pStyle w:val="BodyText1"/>
        <w:rPr>
          <w:lang w:val="en-US"/>
        </w:rPr>
      </w:pPr>
      <w:r>
        <w:rPr>
          <w:lang w:val="en-US"/>
        </w:rPr>
        <w:t>12</w:t>
      </w:r>
      <w:r w:rsidR="00A35ECA">
        <w:rPr>
          <w:lang w:val="en-US"/>
        </w:rPr>
        <w:t xml:space="preserve">. </w:t>
      </w:r>
      <w:r w:rsidR="00A35ECA" w:rsidRPr="00DF48C7">
        <w:rPr>
          <w:lang w:val="en-US"/>
        </w:rPr>
        <w:t xml:space="preserve">ClinicalTrials.gov. </w:t>
      </w:r>
      <w:r w:rsidR="00A35ECA" w:rsidRPr="00DF48C7">
        <w:rPr>
          <w:i/>
          <w:lang w:val="en-US"/>
        </w:rPr>
        <w:t>Safety and tolerability of oral OPC-34712 as adjunctive therapy in adults with major depressive disorder (the Orion Trial) (Orion). NCT01360866.</w:t>
      </w:r>
      <w:r w:rsidR="00A35ECA" w:rsidRPr="00DF48C7">
        <w:rPr>
          <w:lang w:val="en-US"/>
        </w:rPr>
        <w:t xml:space="preserve"> Available at: </w:t>
      </w:r>
      <w:r w:rsidR="00A35ECA" w:rsidRPr="00DF48C7">
        <w:rPr>
          <w:i/>
          <w:lang w:val="en-US"/>
        </w:rPr>
        <w:t>https://clinicaltrials.gov/ct2/show/NCT01360866</w:t>
      </w:r>
      <w:r w:rsidR="00A35ECA" w:rsidRPr="00DF48C7">
        <w:rPr>
          <w:lang w:val="en-US"/>
        </w:rPr>
        <w:t xml:space="preserve"> [Accessed </w:t>
      </w:r>
      <w:r w:rsidR="00A35ECA">
        <w:rPr>
          <w:lang w:val="en-US"/>
        </w:rPr>
        <w:t>14 November</w:t>
      </w:r>
      <w:r w:rsidR="00A35ECA" w:rsidRPr="00DF48C7">
        <w:rPr>
          <w:lang w:val="en-US"/>
        </w:rPr>
        <w:t xml:space="preserve"> 2017].</w:t>
      </w:r>
    </w:p>
    <w:p w:rsidR="00A35ECA" w:rsidRDefault="00A720C6" w:rsidP="00C32A1C">
      <w:pPr>
        <w:pStyle w:val="BodyText1"/>
        <w:rPr>
          <w:lang w:val="en-US"/>
        </w:rPr>
      </w:pPr>
      <w:r>
        <w:rPr>
          <w:lang w:val="en-US"/>
        </w:rPr>
        <w:t>13</w:t>
      </w:r>
      <w:r w:rsidR="00A35ECA">
        <w:rPr>
          <w:lang w:val="en-US"/>
        </w:rPr>
        <w:t xml:space="preserve">. </w:t>
      </w:r>
      <w:r w:rsidR="00A35ECA" w:rsidRPr="00DF48C7">
        <w:rPr>
          <w:lang w:val="en-US"/>
        </w:rPr>
        <w:t xml:space="preserve">Berman RM, Marcus RN, Swanink R, McQuade RD, Carson WH, Corey-Lisle PK, </w:t>
      </w:r>
      <w:r w:rsidR="00A35ECA" w:rsidRPr="00DF48C7">
        <w:rPr>
          <w:i/>
          <w:lang w:val="en-US"/>
        </w:rPr>
        <w:t>et al</w:t>
      </w:r>
      <w:r w:rsidR="00A35ECA" w:rsidRPr="00DF48C7">
        <w:rPr>
          <w:lang w:val="en-US"/>
        </w:rPr>
        <w:t>.</w:t>
      </w:r>
      <w:r w:rsidR="00A35ECA" w:rsidRPr="00DF48C7">
        <w:rPr>
          <w:i/>
          <w:lang w:val="en-US"/>
        </w:rPr>
        <w:t xml:space="preserve"> </w:t>
      </w:r>
      <w:r w:rsidR="00A35ECA" w:rsidRPr="00DF48C7">
        <w:rPr>
          <w:lang w:val="en-US"/>
        </w:rPr>
        <w:t xml:space="preserve">(2007). The efficacy and safety of aripiprazole as adjunctive therapy in major depressive disorder: a multicenter, randomized, double-blind, placebo-controlled study. J Clin Psychiatry </w:t>
      </w:r>
      <w:r w:rsidR="00A35ECA" w:rsidRPr="00DF48C7">
        <w:rPr>
          <w:b/>
          <w:lang w:val="en-US"/>
        </w:rPr>
        <w:t>68</w:t>
      </w:r>
      <w:r w:rsidR="00A35ECA" w:rsidRPr="00DF48C7">
        <w:rPr>
          <w:lang w:val="en-US"/>
        </w:rPr>
        <w:t>:843–853.</w:t>
      </w:r>
    </w:p>
    <w:p w:rsidR="00A35ECA" w:rsidRDefault="00A720C6" w:rsidP="00C32A1C">
      <w:pPr>
        <w:pStyle w:val="BodyText1"/>
        <w:rPr>
          <w:lang w:val="en-US"/>
        </w:rPr>
      </w:pPr>
      <w:r>
        <w:rPr>
          <w:lang w:val="en-US"/>
        </w:rPr>
        <w:t>14</w:t>
      </w:r>
      <w:r w:rsidR="00A35ECA">
        <w:rPr>
          <w:lang w:val="en-US"/>
        </w:rPr>
        <w:t xml:space="preserve">. </w:t>
      </w:r>
      <w:r w:rsidR="00A35ECA" w:rsidRPr="00DF48C7">
        <w:rPr>
          <w:lang w:val="en-US"/>
        </w:rPr>
        <w:t xml:space="preserve">Berman RM, Fava M, Thase ME, Trivedi MH, Swanink R, McQuade RD, </w:t>
      </w:r>
      <w:r w:rsidR="00A35ECA" w:rsidRPr="00DF48C7">
        <w:rPr>
          <w:i/>
          <w:lang w:val="en-US"/>
        </w:rPr>
        <w:t>et al</w:t>
      </w:r>
      <w:r w:rsidR="00A35ECA" w:rsidRPr="00DF48C7">
        <w:rPr>
          <w:lang w:val="en-US"/>
        </w:rPr>
        <w:t xml:space="preserve">. (2009). Aripiprazole augmentation in major depressive disorder: a double-blind, placebo-controlled study in patients with inadequate response to antidepressants. </w:t>
      </w:r>
      <w:r w:rsidR="00A35ECA" w:rsidRPr="00DF48C7">
        <w:rPr>
          <w:i/>
          <w:lang w:val="en-US"/>
        </w:rPr>
        <w:t xml:space="preserve">CNS Spectr </w:t>
      </w:r>
      <w:r w:rsidR="00A35ECA" w:rsidRPr="00DF48C7">
        <w:rPr>
          <w:b/>
          <w:lang w:val="en-US"/>
        </w:rPr>
        <w:t>14</w:t>
      </w:r>
      <w:r w:rsidR="00A35ECA" w:rsidRPr="00DF48C7">
        <w:rPr>
          <w:lang w:val="en-US"/>
        </w:rPr>
        <w:t>:197–206.</w:t>
      </w:r>
    </w:p>
    <w:p w:rsidR="00A35ECA" w:rsidRPr="00DF48C7" w:rsidRDefault="00A720C6" w:rsidP="00C32A1C">
      <w:pPr>
        <w:pStyle w:val="BodyText1"/>
        <w:rPr>
          <w:lang w:val="en-US"/>
        </w:rPr>
      </w:pPr>
      <w:r>
        <w:rPr>
          <w:lang w:val="en-US"/>
        </w:rPr>
        <w:t>15</w:t>
      </w:r>
      <w:r w:rsidR="00A35ECA">
        <w:rPr>
          <w:lang w:val="en-US"/>
        </w:rPr>
        <w:t xml:space="preserve">. </w:t>
      </w:r>
      <w:r w:rsidR="00A35ECA" w:rsidRPr="00DF48C7">
        <w:rPr>
          <w:lang w:val="en-US"/>
        </w:rPr>
        <w:t xml:space="preserve">Marcus RN, McQuade RD, Carson WH, Hennicken D, Fava M, Simon JS, </w:t>
      </w:r>
      <w:r w:rsidR="00A35ECA" w:rsidRPr="00DF48C7">
        <w:rPr>
          <w:i/>
          <w:lang w:val="en-US"/>
        </w:rPr>
        <w:t>et al</w:t>
      </w:r>
      <w:r w:rsidR="00A35ECA" w:rsidRPr="00DF48C7">
        <w:rPr>
          <w:lang w:val="en-US"/>
        </w:rPr>
        <w:t xml:space="preserve">. (2008). The efficacy and safety of aripiprazole as adjunctive therapy in major depressive disorder: a second multicenter, randomized, double-blind, placebo-controlled study. </w:t>
      </w:r>
      <w:r w:rsidR="00A35ECA" w:rsidRPr="00DF48C7">
        <w:rPr>
          <w:i/>
          <w:lang w:val="en-US"/>
        </w:rPr>
        <w:t>J Clin Psychopharmacol</w:t>
      </w:r>
      <w:r w:rsidR="00A35ECA" w:rsidRPr="00DF48C7">
        <w:rPr>
          <w:lang w:val="en-US"/>
        </w:rPr>
        <w:t xml:space="preserve"> </w:t>
      </w:r>
      <w:r w:rsidR="00A35ECA" w:rsidRPr="00DF48C7">
        <w:rPr>
          <w:b/>
          <w:lang w:val="en-US"/>
        </w:rPr>
        <w:t>28</w:t>
      </w:r>
      <w:r w:rsidR="00A35ECA" w:rsidRPr="00DF48C7">
        <w:rPr>
          <w:lang w:val="en-US"/>
        </w:rPr>
        <w:t>:156–165.</w:t>
      </w:r>
    </w:p>
    <w:p w:rsidR="00A35ECA" w:rsidRPr="00DF48C7" w:rsidRDefault="00A720C6" w:rsidP="00C32A1C">
      <w:pPr>
        <w:pStyle w:val="BodyText1"/>
        <w:rPr>
          <w:lang w:val="en-US"/>
        </w:rPr>
      </w:pPr>
      <w:r>
        <w:rPr>
          <w:lang w:val="en-US"/>
        </w:rPr>
        <w:t>16</w:t>
      </w:r>
      <w:r w:rsidR="00A35ECA">
        <w:rPr>
          <w:lang w:val="en-US"/>
        </w:rPr>
        <w:t xml:space="preserve">. </w:t>
      </w:r>
      <w:r w:rsidR="00A35ECA" w:rsidRPr="00DF48C7">
        <w:rPr>
          <w:lang w:val="en-US"/>
        </w:rPr>
        <w:t xml:space="preserve">Berman RM, Thase ME, Trivedi MH, Hazel JA, Marler SV, McQuade RD, </w:t>
      </w:r>
      <w:r w:rsidR="00A35ECA" w:rsidRPr="00DF48C7">
        <w:rPr>
          <w:i/>
          <w:lang w:val="en-US"/>
        </w:rPr>
        <w:t>et al</w:t>
      </w:r>
      <w:r w:rsidR="00A35ECA" w:rsidRPr="00DF48C7">
        <w:rPr>
          <w:lang w:val="en-US"/>
        </w:rPr>
        <w:t xml:space="preserve">. (2011). Long-term safety and tolerability of open-label aripiprazole augmentation of antidepressant therapy in major depressive disorder. </w:t>
      </w:r>
      <w:r w:rsidR="00A35ECA" w:rsidRPr="00DF48C7">
        <w:rPr>
          <w:i/>
          <w:lang w:val="en-US"/>
        </w:rPr>
        <w:t>Neuropsychiatr Dis Treat</w:t>
      </w:r>
      <w:r w:rsidR="00A35ECA" w:rsidRPr="00DF48C7">
        <w:rPr>
          <w:lang w:val="en-US"/>
        </w:rPr>
        <w:t xml:space="preserve"> </w:t>
      </w:r>
      <w:r w:rsidR="00A35ECA" w:rsidRPr="00DF48C7">
        <w:rPr>
          <w:b/>
          <w:lang w:val="en-US"/>
        </w:rPr>
        <w:t>7</w:t>
      </w:r>
      <w:r w:rsidR="00A35ECA" w:rsidRPr="00DF48C7">
        <w:rPr>
          <w:lang w:val="en-US"/>
        </w:rPr>
        <w:t>:303–312.</w:t>
      </w:r>
    </w:p>
    <w:p w:rsidR="00A35ECA" w:rsidRPr="00DA1A94" w:rsidRDefault="00A35ECA" w:rsidP="00C32A1C">
      <w:pPr>
        <w:pStyle w:val="BodyText1"/>
        <w:rPr>
          <w:lang w:val="fr-FR"/>
        </w:rPr>
      </w:pPr>
    </w:p>
    <w:sectPr w:rsidR="00A35ECA" w:rsidRPr="00DA1A94" w:rsidSect="00871951">
      <w:footnotePr>
        <w:numRestart w:val="eachSect"/>
      </w:footnotePr>
      <w:pgSz w:w="11907" w:h="16840" w:code="9"/>
      <w:pgMar w:top="1701" w:right="1701" w:bottom="1701" w:left="1701"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AFD" w:rsidRDefault="00133AFD" w:rsidP="00EF45EB">
      <w:pPr>
        <w:spacing w:after="0" w:line="240" w:lineRule="auto"/>
      </w:pPr>
      <w:r>
        <w:separator/>
      </w:r>
    </w:p>
  </w:endnote>
  <w:endnote w:type="continuationSeparator" w:id="0">
    <w:p w:rsidR="00133AFD" w:rsidRDefault="00133AFD"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AFD" w:rsidRDefault="00133AFD" w:rsidP="00EF45EB">
      <w:pPr>
        <w:spacing w:after="0" w:line="240" w:lineRule="auto"/>
      </w:pPr>
      <w:r>
        <w:separator/>
      </w:r>
    </w:p>
  </w:footnote>
  <w:footnote w:type="continuationSeparator" w:id="0">
    <w:p w:rsidR="00133AFD" w:rsidRDefault="00133AFD" w:rsidP="00EF4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306807"/>
      <w:docPartObj>
        <w:docPartGallery w:val="Page Numbers (Top of Page)"/>
        <w:docPartUnique/>
      </w:docPartObj>
    </w:sdtPr>
    <w:sdtEndPr>
      <w:rPr>
        <w:noProof/>
      </w:rPr>
    </w:sdtEndPr>
    <w:sdtContent>
      <w:p w:rsidR="00D42FF3" w:rsidRDefault="00D42FF3">
        <w:pPr>
          <w:pStyle w:val="Header"/>
          <w:jc w:val="right"/>
        </w:pPr>
        <w:r w:rsidRPr="00D42FF3">
          <w:rPr>
            <w:rFonts w:ascii="Verdana" w:hAnsi="Verdana"/>
            <w:sz w:val="20"/>
          </w:rPr>
          <w:fldChar w:fldCharType="begin"/>
        </w:r>
        <w:r w:rsidRPr="00D42FF3">
          <w:rPr>
            <w:rFonts w:ascii="Verdana" w:hAnsi="Verdana"/>
            <w:sz w:val="20"/>
          </w:rPr>
          <w:instrText xml:space="preserve"> PAGE   \* MERGEFORMAT </w:instrText>
        </w:r>
        <w:r w:rsidRPr="00D42FF3">
          <w:rPr>
            <w:rFonts w:ascii="Verdana" w:hAnsi="Verdana"/>
            <w:sz w:val="20"/>
          </w:rPr>
          <w:fldChar w:fldCharType="separate"/>
        </w:r>
        <w:r w:rsidR="006E0ECA">
          <w:rPr>
            <w:rFonts w:ascii="Verdana" w:hAnsi="Verdana"/>
            <w:noProof/>
            <w:sz w:val="20"/>
          </w:rPr>
          <w:t>3</w:t>
        </w:r>
        <w:r w:rsidRPr="00D42FF3">
          <w:rPr>
            <w:rFonts w:ascii="Verdana" w:hAnsi="Verdana"/>
            <w:noProof/>
            <w:sz w:val="20"/>
          </w:rPr>
          <w:fldChar w:fldCharType="end"/>
        </w:r>
      </w:p>
    </w:sdtContent>
  </w:sdt>
  <w:p w:rsidR="00D42FF3" w:rsidRDefault="00D42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33D"/>
    <w:multiLevelType w:val="hybridMultilevel"/>
    <w:tmpl w:val="3F82AA48"/>
    <w:lvl w:ilvl="0" w:tplc="4196903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C0697"/>
    <w:multiLevelType w:val="hybridMultilevel"/>
    <w:tmpl w:val="16F65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664BE"/>
    <w:multiLevelType w:val="singleLevel"/>
    <w:tmpl w:val="53182D3E"/>
    <w:lvl w:ilvl="0">
      <w:start w:val="1"/>
      <w:numFmt w:val="bullet"/>
      <w:pStyle w:val="bulletedlist"/>
      <w:lvlText w:val=""/>
      <w:lvlJc w:val="left"/>
      <w:pPr>
        <w:tabs>
          <w:tab w:val="num" w:pos="360"/>
        </w:tabs>
        <w:ind w:left="360" w:hanging="360"/>
      </w:pPr>
      <w:rPr>
        <w:rFonts w:ascii="Symbol" w:hAnsi="Symbol" w:hint="default"/>
      </w:rPr>
    </w:lvl>
  </w:abstractNum>
  <w:abstractNum w:abstractNumId="3" w15:restartNumberingAfterBreak="0">
    <w:nsid w:val="24D23CB7"/>
    <w:multiLevelType w:val="hybridMultilevel"/>
    <w:tmpl w:val="AE128BFA"/>
    <w:lvl w:ilvl="0" w:tplc="39EA38B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220CD"/>
    <w:multiLevelType w:val="hybridMultilevel"/>
    <w:tmpl w:val="1236F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802615"/>
    <w:multiLevelType w:val="hybridMultilevel"/>
    <w:tmpl w:val="55B44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66D7A"/>
    <w:multiLevelType w:val="hybridMultilevel"/>
    <w:tmpl w:val="883CCAD6"/>
    <w:lvl w:ilvl="0" w:tplc="341224D0">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44DFD"/>
    <w:multiLevelType w:val="hybridMultilevel"/>
    <w:tmpl w:val="72DCC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0B7117"/>
    <w:multiLevelType w:val="multilevel"/>
    <w:tmpl w:val="4B5EC5D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642F2A7E"/>
    <w:multiLevelType w:val="hybridMultilevel"/>
    <w:tmpl w:val="A246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0"/>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6C"/>
    <w:rsid w:val="00087909"/>
    <w:rsid w:val="000928F2"/>
    <w:rsid w:val="000B272E"/>
    <w:rsid w:val="001239FB"/>
    <w:rsid w:val="00133AFD"/>
    <w:rsid w:val="001B6911"/>
    <w:rsid w:val="001C5736"/>
    <w:rsid w:val="001D22B0"/>
    <w:rsid w:val="001E226C"/>
    <w:rsid w:val="001F6140"/>
    <w:rsid w:val="00217950"/>
    <w:rsid w:val="002579A0"/>
    <w:rsid w:val="002A7F1D"/>
    <w:rsid w:val="003410D9"/>
    <w:rsid w:val="0036474E"/>
    <w:rsid w:val="003A28E7"/>
    <w:rsid w:val="00404480"/>
    <w:rsid w:val="0042543A"/>
    <w:rsid w:val="004843D4"/>
    <w:rsid w:val="004B06E7"/>
    <w:rsid w:val="004C1B6C"/>
    <w:rsid w:val="004D016D"/>
    <w:rsid w:val="00516A89"/>
    <w:rsid w:val="00524DC9"/>
    <w:rsid w:val="00586799"/>
    <w:rsid w:val="00612735"/>
    <w:rsid w:val="00632978"/>
    <w:rsid w:val="006E0ECA"/>
    <w:rsid w:val="006F27D5"/>
    <w:rsid w:val="00772C74"/>
    <w:rsid w:val="0077681B"/>
    <w:rsid w:val="007F08BE"/>
    <w:rsid w:val="00852CA4"/>
    <w:rsid w:val="00871951"/>
    <w:rsid w:val="00961FC2"/>
    <w:rsid w:val="009A2DAC"/>
    <w:rsid w:val="009D3D09"/>
    <w:rsid w:val="00A0372C"/>
    <w:rsid w:val="00A35ECA"/>
    <w:rsid w:val="00A3798A"/>
    <w:rsid w:val="00A720C6"/>
    <w:rsid w:val="00AB08C7"/>
    <w:rsid w:val="00AF6E8F"/>
    <w:rsid w:val="00B13141"/>
    <w:rsid w:val="00B67F9B"/>
    <w:rsid w:val="00B8576A"/>
    <w:rsid w:val="00C21897"/>
    <w:rsid w:val="00C32A1C"/>
    <w:rsid w:val="00C744A1"/>
    <w:rsid w:val="00CC6C53"/>
    <w:rsid w:val="00CF1028"/>
    <w:rsid w:val="00CF640C"/>
    <w:rsid w:val="00D10ABF"/>
    <w:rsid w:val="00D42FF3"/>
    <w:rsid w:val="00D753B8"/>
    <w:rsid w:val="00DE0892"/>
    <w:rsid w:val="00DE399A"/>
    <w:rsid w:val="00EB60DE"/>
    <w:rsid w:val="00EF45EB"/>
    <w:rsid w:val="00F8637F"/>
    <w:rsid w:val="00F960E5"/>
    <w:rsid w:val="00FE1307"/>
    <w:rsid w:val="00FE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384E1-8332-41BB-AD95-79D27336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E226C"/>
    <w:pPr>
      <w:pBdr>
        <w:bottom w:val="single" w:sz="18" w:space="3" w:color="auto"/>
      </w:pBdr>
      <w:suppressAutoHyphens/>
      <w:spacing w:after="560" w:line="400" w:lineRule="exact"/>
      <w:outlineLvl w:val="0"/>
    </w:pPr>
    <w:rPr>
      <w:rFonts w:ascii="Verdana" w:eastAsia="Times New Roman" w:hAnsi="Verdana" w:cs="Times New Roman"/>
      <w:b/>
      <w:color w:val="000000"/>
      <w:sz w:val="32"/>
      <w:szCs w:val="20"/>
    </w:rPr>
  </w:style>
  <w:style w:type="paragraph" w:styleId="Heading2">
    <w:name w:val="heading 2"/>
    <w:basedOn w:val="Normal"/>
    <w:link w:val="Heading2Char"/>
    <w:qFormat/>
    <w:rsid w:val="001E226C"/>
    <w:pPr>
      <w:suppressAutoHyphens/>
      <w:spacing w:before="320" w:after="120" w:line="320" w:lineRule="exact"/>
      <w:outlineLvl w:val="1"/>
    </w:pPr>
    <w:rPr>
      <w:rFonts w:ascii="Verdana" w:eastAsia="Times New Roman" w:hAnsi="Verdana" w:cs="Times New Roman"/>
      <w:b/>
      <w:color w:val="000000"/>
      <w:sz w:val="28"/>
      <w:szCs w:val="20"/>
    </w:rPr>
  </w:style>
  <w:style w:type="paragraph" w:styleId="Heading3">
    <w:name w:val="heading 3"/>
    <w:basedOn w:val="Normal"/>
    <w:next w:val="Normal"/>
    <w:link w:val="Heading3Char"/>
    <w:qFormat/>
    <w:rsid w:val="001E226C"/>
    <w:pPr>
      <w:spacing w:before="160" w:after="120" w:line="280" w:lineRule="exact"/>
      <w:outlineLvl w:val="2"/>
    </w:pPr>
    <w:rPr>
      <w:rFonts w:ascii="Verdana" w:eastAsia="Times New Roman" w:hAnsi="Verdana" w:cs="Times New Roman"/>
      <w:b/>
      <w:color w:val="000000"/>
      <w:sz w:val="24"/>
      <w:szCs w:val="20"/>
    </w:rPr>
  </w:style>
  <w:style w:type="paragraph" w:styleId="Heading4">
    <w:name w:val="heading 4"/>
    <w:basedOn w:val="Normal"/>
    <w:next w:val="Normal"/>
    <w:link w:val="Heading4Char"/>
    <w:qFormat/>
    <w:rsid w:val="001E226C"/>
    <w:pPr>
      <w:keepNext/>
      <w:numPr>
        <w:ilvl w:val="3"/>
        <w:numId w:val="2"/>
      </w:numPr>
      <w:spacing w:before="240" w:after="60" w:line="240" w:lineRule="auto"/>
      <w:outlineLvl w:val="3"/>
    </w:pPr>
    <w:rPr>
      <w:rFonts w:ascii="Verdana" w:eastAsia="Times New Roman" w:hAnsi="Verdana" w:cs="Times New Roman"/>
      <w:b/>
      <w:szCs w:val="20"/>
    </w:rPr>
  </w:style>
  <w:style w:type="paragraph" w:styleId="Heading5">
    <w:name w:val="heading 5"/>
    <w:basedOn w:val="Normal"/>
    <w:next w:val="Normal"/>
    <w:link w:val="Heading5Char"/>
    <w:qFormat/>
    <w:rsid w:val="001E226C"/>
    <w:pPr>
      <w:numPr>
        <w:ilvl w:val="4"/>
        <w:numId w:val="2"/>
      </w:numPr>
      <w:spacing w:before="240" w:after="60" w:line="240" w:lineRule="auto"/>
      <w:outlineLvl w:val="4"/>
    </w:pPr>
    <w:rPr>
      <w:rFonts w:ascii="Verdana" w:eastAsia="Times New Roman" w:hAnsi="Verdana" w:cs="Times New Roman"/>
      <w:b/>
      <w:i/>
      <w:sz w:val="18"/>
      <w:szCs w:val="20"/>
    </w:rPr>
  </w:style>
  <w:style w:type="paragraph" w:styleId="Heading6">
    <w:name w:val="heading 6"/>
    <w:basedOn w:val="Normal"/>
    <w:next w:val="Normal"/>
    <w:link w:val="Heading6Char"/>
    <w:qFormat/>
    <w:rsid w:val="001E226C"/>
    <w:pPr>
      <w:numPr>
        <w:ilvl w:val="5"/>
        <w:numId w:val="2"/>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1E226C"/>
    <w:pPr>
      <w:numPr>
        <w:ilvl w:val="6"/>
        <w:numId w:val="2"/>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E226C"/>
    <w:pPr>
      <w:numPr>
        <w:ilvl w:val="7"/>
        <w:numId w:val="2"/>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E226C"/>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26C"/>
    <w:rPr>
      <w:rFonts w:ascii="Verdana" w:eastAsia="Times New Roman" w:hAnsi="Verdana" w:cs="Times New Roman"/>
      <w:b/>
      <w:color w:val="000000"/>
      <w:sz w:val="32"/>
      <w:szCs w:val="20"/>
    </w:rPr>
  </w:style>
  <w:style w:type="character" w:customStyle="1" w:styleId="Heading2Char">
    <w:name w:val="Heading 2 Char"/>
    <w:basedOn w:val="DefaultParagraphFont"/>
    <w:link w:val="Heading2"/>
    <w:rsid w:val="001E226C"/>
    <w:rPr>
      <w:rFonts w:ascii="Verdana" w:eastAsia="Times New Roman" w:hAnsi="Verdana" w:cs="Times New Roman"/>
      <w:b/>
      <w:color w:val="000000"/>
      <w:sz w:val="28"/>
      <w:szCs w:val="20"/>
    </w:rPr>
  </w:style>
  <w:style w:type="character" w:customStyle="1" w:styleId="Heading3Char">
    <w:name w:val="Heading 3 Char"/>
    <w:basedOn w:val="DefaultParagraphFont"/>
    <w:link w:val="Heading3"/>
    <w:rsid w:val="001E226C"/>
    <w:rPr>
      <w:rFonts w:ascii="Verdana" w:eastAsia="Times New Roman" w:hAnsi="Verdana" w:cs="Times New Roman"/>
      <w:b/>
      <w:color w:val="000000"/>
      <w:sz w:val="24"/>
      <w:szCs w:val="20"/>
    </w:rPr>
  </w:style>
  <w:style w:type="character" w:customStyle="1" w:styleId="Heading4Char">
    <w:name w:val="Heading 4 Char"/>
    <w:basedOn w:val="DefaultParagraphFont"/>
    <w:link w:val="Heading4"/>
    <w:rsid w:val="001E226C"/>
    <w:rPr>
      <w:rFonts w:ascii="Verdana" w:eastAsia="Times New Roman" w:hAnsi="Verdana" w:cs="Times New Roman"/>
      <w:b/>
      <w:szCs w:val="20"/>
    </w:rPr>
  </w:style>
  <w:style w:type="character" w:customStyle="1" w:styleId="Heading5Char">
    <w:name w:val="Heading 5 Char"/>
    <w:basedOn w:val="DefaultParagraphFont"/>
    <w:link w:val="Heading5"/>
    <w:rsid w:val="001E226C"/>
    <w:rPr>
      <w:rFonts w:ascii="Verdana" w:eastAsia="Times New Roman" w:hAnsi="Verdana" w:cs="Times New Roman"/>
      <w:b/>
      <w:i/>
      <w:sz w:val="18"/>
      <w:szCs w:val="20"/>
    </w:rPr>
  </w:style>
  <w:style w:type="character" w:customStyle="1" w:styleId="Heading6Char">
    <w:name w:val="Heading 6 Char"/>
    <w:basedOn w:val="DefaultParagraphFont"/>
    <w:link w:val="Heading6"/>
    <w:rsid w:val="001E226C"/>
    <w:rPr>
      <w:rFonts w:ascii="Times New Roman" w:eastAsia="Times New Roman" w:hAnsi="Times New Roman" w:cs="Times New Roman"/>
      <w:i/>
      <w:szCs w:val="20"/>
    </w:rPr>
  </w:style>
  <w:style w:type="character" w:customStyle="1" w:styleId="Heading7Char">
    <w:name w:val="Heading 7 Char"/>
    <w:basedOn w:val="DefaultParagraphFont"/>
    <w:link w:val="Heading7"/>
    <w:rsid w:val="001E226C"/>
    <w:rPr>
      <w:rFonts w:ascii="Arial" w:eastAsia="Times New Roman" w:hAnsi="Arial" w:cs="Times New Roman"/>
      <w:sz w:val="20"/>
      <w:szCs w:val="20"/>
    </w:rPr>
  </w:style>
  <w:style w:type="character" w:customStyle="1" w:styleId="Heading8Char">
    <w:name w:val="Heading 8 Char"/>
    <w:basedOn w:val="DefaultParagraphFont"/>
    <w:link w:val="Heading8"/>
    <w:rsid w:val="001E226C"/>
    <w:rPr>
      <w:rFonts w:ascii="Arial" w:eastAsia="Times New Roman" w:hAnsi="Arial" w:cs="Times New Roman"/>
      <w:i/>
      <w:sz w:val="20"/>
      <w:szCs w:val="20"/>
    </w:rPr>
  </w:style>
  <w:style w:type="character" w:customStyle="1" w:styleId="Heading9Char">
    <w:name w:val="Heading 9 Char"/>
    <w:basedOn w:val="DefaultParagraphFont"/>
    <w:link w:val="Heading9"/>
    <w:rsid w:val="001E226C"/>
    <w:rPr>
      <w:rFonts w:ascii="Arial" w:eastAsia="Times New Roman" w:hAnsi="Arial" w:cs="Times New Roman"/>
      <w:b/>
      <w:i/>
      <w:sz w:val="18"/>
      <w:szCs w:val="20"/>
    </w:rPr>
  </w:style>
  <w:style w:type="numbering" w:customStyle="1" w:styleId="NoList1">
    <w:name w:val="No List1"/>
    <w:next w:val="NoList"/>
    <w:uiPriority w:val="99"/>
    <w:semiHidden/>
    <w:unhideWhenUsed/>
    <w:rsid w:val="001E226C"/>
  </w:style>
  <w:style w:type="paragraph" w:customStyle="1" w:styleId="BodyText1">
    <w:name w:val="Body Text1"/>
    <w:basedOn w:val="Normal"/>
    <w:link w:val="BodytextChar"/>
    <w:qFormat/>
    <w:rsid w:val="001E226C"/>
    <w:pPr>
      <w:tabs>
        <w:tab w:val="left" w:pos="426"/>
      </w:tabs>
      <w:spacing w:after="120" w:line="280" w:lineRule="exact"/>
    </w:pPr>
    <w:rPr>
      <w:rFonts w:ascii="Verdana" w:eastAsia="Times New Roman" w:hAnsi="Verdana" w:cs="Times New Roman"/>
      <w:color w:val="000000"/>
      <w:sz w:val="20"/>
      <w:szCs w:val="20"/>
    </w:rPr>
  </w:style>
  <w:style w:type="paragraph" w:customStyle="1" w:styleId="bulletedlist">
    <w:name w:val="bulleted list"/>
    <w:basedOn w:val="BodyText1"/>
    <w:link w:val="bulletedlistChar"/>
    <w:qFormat/>
    <w:rsid w:val="001E226C"/>
    <w:pPr>
      <w:numPr>
        <w:numId w:val="1"/>
      </w:numPr>
    </w:pPr>
  </w:style>
  <w:style w:type="paragraph" w:styleId="List">
    <w:name w:val="List"/>
    <w:basedOn w:val="Normal"/>
    <w:rsid w:val="001E226C"/>
    <w:pPr>
      <w:spacing w:after="0" w:line="240" w:lineRule="auto"/>
      <w:ind w:left="283" w:hanging="283"/>
    </w:pPr>
    <w:rPr>
      <w:rFonts w:ascii="Times New Roman" w:eastAsia="Times New Roman" w:hAnsi="Times New Roman" w:cs="Times New Roman"/>
      <w:sz w:val="24"/>
      <w:szCs w:val="20"/>
    </w:rPr>
  </w:style>
  <w:style w:type="character" w:styleId="Hyperlink">
    <w:name w:val="Hyperlink"/>
    <w:rsid w:val="001E226C"/>
    <w:rPr>
      <w:color w:val="0000FF"/>
      <w:u w:val="single"/>
    </w:rPr>
  </w:style>
  <w:style w:type="paragraph" w:styleId="NormalWeb">
    <w:name w:val="Normal (Web)"/>
    <w:basedOn w:val="Normal"/>
    <w:uiPriority w:val="99"/>
    <w:rsid w:val="001E226C"/>
    <w:pPr>
      <w:spacing w:before="100" w:beforeAutospacing="1" w:after="100" w:afterAutospacing="1" w:line="240" w:lineRule="auto"/>
    </w:pPr>
    <w:rPr>
      <w:rFonts w:ascii="Times New Roman" w:eastAsia="Times New Roman" w:hAnsi="Times New Roman" w:cs="Times New Roman"/>
      <w:color w:val="000099"/>
      <w:sz w:val="24"/>
      <w:szCs w:val="24"/>
      <w:lang w:val="en-US"/>
    </w:rPr>
  </w:style>
  <w:style w:type="paragraph" w:styleId="Title">
    <w:name w:val="Title"/>
    <w:basedOn w:val="Normal"/>
    <w:link w:val="TitleChar"/>
    <w:qFormat/>
    <w:rsid w:val="001E226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1E226C"/>
    <w:rPr>
      <w:rFonts w:ascii="Times New Roman" w:eastAsia="Times New Roman" w:hAnsi="Times New Roman" w:cs="Times New Roman"/>
      <w:b/>
      <w:sz w:val="24"/>
      <w:szCs w:val="20"/>
      <w:lang w:val="en-US"/>
    </w:rPr>
  </w:style>
  <w:style w:type="paragraph" w:styleId="Header">
    <w:name w:val="header"/>
    <w:basedOn w:val="Normal"/>
    <w:link w:val="HeaderChar"/>
    <w:uiPriority w:val="99"/>
    <w:rsid w:val="001E226C"/>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1E226C"/>
    <w:rPr>
      <w:rFonts w:ascii="Times New Roman" w:eastAsia="Times New Roman" w:hAnsi="Times New Roman" w:cs="Times New Roman"/>
      <w:color w:val="000000"/>
      <w:sz w:val="24"/>
      <w:szCs w:val="20"/>
    </w:rPr>
  </w:style>
  <w:style w:type="paragraph" w:styleId="Footer">
    <w:name w:val="footer"/>
    <w:basedOn w:val="BodyText1"/>
    <w:link w:val="FooterChar"/>
    <w:uiPriority w:val="99"/>
    <w:rsid w:val="001E226C"/>
    <w:pPr>
      <w:tabs>
        <w:tab w:val="center" w:pos="4320"/>
        <w:tab w:val="right" w:pos="8640"/>
      </w:tabs>
      <w:jc w:val="center"/>
    </w:pPr>
  </w:style>
  <w:style w:type="character" w:customStyle="1" w:styleId="FooterChar">
    <w:name w:val="Footer Char"/>
    <w:basedOn w:val="DefaultParagraphFont"/>
    <w:link w:val="Footer"/>
    <w:uiPriority w:val="99"/>
    <w:rsid w:val="001E226C"/>
    <w:rPr>
      <w:rFonts w:ascii="Verdana" w:eastAsia="Times New Roman" w:hAnsi="Verdana" w:cs="Times New Roman"/>
      <w:color w:val="000000"/>
      <w:sz w:val="20"/>
      <w:szCs w:val="20"/>
    </w:rPr>
  </w:style>
  <w:style w:type="character" w:styleId="PageNumber">
    <w:name w:val="page number"/>
    <w:basedOn w:val="DefaultParagraphFont"/>
    <w:rsid w:val="001E226C"/>
  </w:style>
  <w:style w:type="table" w:styleId="TableGrid">
    <w:name w:val="Table Grid"/>
    <w:basedOn w:val="TableNormal"/>
    <w:uiPriority w:val="39"/>
    <w:rsid w:val="001E226C"/>
    <w:pPr>
      <w:spacing w:after="0" w:line="240" w:lineRule="auto"/>
    </w:pPr>
    <w:rPr>
      <w:rFonts w:ascii="CG Times (W1)" w:eastAsia="Times New Roman" w:hAnsi="CG Times (W1)"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E226C"/>
    <w:pPr>
      <w:spacing w:after="0" w:line="240" w:lineRule="auto"/>
    </w:pPr>
    <w:rPr>
      <w:rFonts w:ascii="Verdana" w:eastAsia="Times New Roman" w:hAnsi="Verdana" w:cs="Tahoma"/>
      <w:color w:val="000000"/>
      <w:sz w:val="16"/>
      <w:szCs w:val="16"/>
    </w:rPr>
  </w:style>
  <w:style w:type="character" w:customStyle="1" w:styleId="BalloonTextChar">
    <w:name w:val="Balloon Text Char"/>
    <w:basedOn w:val="DefaultParagraphFont"/>
    <w:link w:val="BalloonText"/>
    <w:rsid w:val="001E226C"/>
    <w:rPr>
      <w:rFonts w:ascii="Verdana" w:eastAsia="Times New Roman" w:hAnsi="Verdana" w:cs="Tahoma"/>
      <w:color w:val="000000"/>
      <w:sz w:val="16"/>
      <w:szCs w:val="16"/>
    </w:rPr>
  </w:style>
  <w:style w:type="character" w:customStyle="1" w:styleId="bulletedlistChar">
    <w:name w:val="bulleted list Char"/>
    <w:link w:val="bulletedlist"/>
    <w:rsid w:val="001E226C"/>
    <w:rPr>
      <w:rFonts w:ascii="Verdana" w:eastAsia="Times New Roman" w:hAnsi="Verdana" w:cs="Times New Roman"/>
      <w:color w:val="000000"/>
      <w:sz w:val="20"/>
      <w:szCs w:val="20"/>
    </w:rPr>
  </w:style>
  <w:style w:type="character" w:customStyle="1" w:styleId="BodytextChar">
    <w:name w:val="Body text Char"/>
    <w:basedOn w:val="DefaultParagraphFont"/>
    <w:link w:val="BodyText1"/>
    <w:rsid w:val="001E226C"/>
    <w:rPr>
      <w:rFonts w:ascii="Verdana" w:eastAsia="Times New Roman" w:hAnsi="Verdana" w:cs="Times New Roman"/>
      <w:color w:val="000000"/>
      <w:sz w:val="20"/>
      <w:szCs w:val="20"/>
    </w:rPr>
  </w:style>
  <w:style w:type="paragraph" w:customStyle="1" w:styleId="PlainText1">
    <w:name w:val="Plain Text1"/>
    <w:basedOn w:val="Normal"/>
    <w:next w:val="PlainText"/>
    <w:link w:val="PlainTextChar"/>
    <w:uiPriority w:val="99"/>
    <w:unhideWhenUsed/>
    <w:rsid w:val="001E226C"/>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1"/>
    <w:uiPriority w:val="99"/>
    <w:rsid w:val="001E226C"/>
    <w:rPr>
      <w:rFonts w:ascii="Consolas" w:eastAsia="Calibri" w:hAnsi="Consolas" w:cs="Times New Roman"/>
      <w:sz w:val="21"/>
      <w:szCs w:val="21"/>
      <w:lang w:val="en-US" w:eastAsia="en-US"/>
    </w:rPr>
  </w:style>
  <w:style w:type="paragraph" w:customStyle="1" w:styleId="ListParagraph1">
    <w:name w:val="List Paragraph1"/>
    <w:basedOn w:val="Normal"/>
    <w:next w:val="ListParagraph"/>
    <w:link w:val="ListParagraphChar"/>
    <w:uiPriority w:val="34"/>
    <w:qFormat/>
    <w:rsid w:val="001E226C"/>
    <w:pPr>
      <w:spacing w:after="200" w:line="276" w:lineRule="auto"/>
      <w:ind w:left="720"/>
      <w:contextualSpacing/>
    </w:pPr>
  </w:style>
  <w:style w:type="character" w:customStyle="1" w:styleId="ListParagraphChar">
    <w:name w:val="List Paragraph Char"/>
    <w:basedOn w:val="DefaultParagraphFont"/>
    <w:link w:val="ListParagraph1"/>
    <w:uiPriority w:val="34"/>
    <w:rsid w:val="001E226C"/>
    <w:rPr>
      <w:rFonts w:ascii="Calibri" w:eastAsia="Calibri" w:hAnsi="Calibri" w:cs="Times New Roman"/>
      <w:sz w:val="22"/>
      <w:szCs w:val="22"/>
      <w:lang w:eastAsia="en-US"/>
    </w:rPr>
  </w:style>
  <w:style w:type="character" w:styleId="PlaceholderText">
    <w:name w:val="Placeholder Text"/>
    <w:basedOn w:val="DefaultParagraphFont"/>
    <w:uiPriority w:val="99"/>
    <w:semiHidden/>
    <w:rsid w:val="001E226C"/>
    <w:rPr>
      <w:color w:val="808080"/>
    </w:rPr>
  </w:style>
  <w:style w:type="character" w:styleId="CommentReference">
    <w:name w:val="annotation reference"/>
    <w:basedOn w:val="DefaultParagraphFont"/>
    <w:uiPriority w:val="99"/>
    <w:semiHidden/>
    <w:unhideWhenUsed/>
    <w:rsid w:val="001E226C"/>
    <w:rPr>
      <w:sz w:val="16"/>
      <w:szCs w:val="16"/>
    </w:rPr>
  </w:style>
  <w:style w:type="paragraph" w:customStyle="1" w:styleId="CommentText1">
    <w:name w:val="Comment Text1"/>
    <w:basedOn w:val="Normal"/>
    <w:next w:val="CommentText"/>
    <w:link w:val="CommentTextChar"/>
    <w:uiPriority w:val="99"/>
    <w:unhideWhenUsed/>
    <w:rsid w:val="001E226C"/>
    <w:pPr>
      <w:spacing w:after="200" w:line="240" w:lineRule="auto"/>
    </w:pPr>
    <w:rPr>
      <w:rFonts w:ascii="Calibri" w:eastAsia="Calibri" w:hAnsi="Calibri" w:cs="Times New Roman"/>
    </w:rPr>
  </w:style>
  <w:style w:type="character" w:customStyle="1" w:styleId="CommentTextChar">
    <w:name w:val="Comment Text Char"/>
    <w:basedOn w:val="DefaultParagraphFont"/>
    <w:link w:val="CommentText1"/>
    <w:uiPriority w:val="99"/>
    <w:rsid w:val="001E226C"/>
    <w:rPr>
      <w:rFonts w:ascii="Calibri" w:eastAsia="Calibri" w:hAnsi="Calibri" w:cs="Times New Roman"/>
      <w:lang w:eastAsia="en-US"/>
    </w:rPr>
  </w:style>
  <w:style w:type="paragraph" w:styleId="CommentText">
    <w:name w:val="annotation text"/>
    <w:basedOn w:val="Normal"/>
    <w:link w:val="CommentTextChar1"/>
    <w:uiPriority w:val="99"/>
    <w:unhideWhenUsed/>
    <w:rsid w:val="001E226C"/>
    <w:pPr>
      <w:spacing w:line="240" w:lineRule="auto"/>
    </w:pPr>
    <w:rPr>
      <w:sz w:val="20"/>
      <w:szCs w:val="20"/>
    </w:rPr>
  </w:style>
  <w:style w:type="character" w:customStyle="1" w:styleId="CommentTextChar1">
    <w:name w:val="Comment Text Char1"/>
    <w:basedOn w:val="DefaultParagraphFont"/>
    <w:link w:val="CommentText"/>
    <w:uiPriority w:val="99"/>
    <w:semiHidden/>
    <w:rsid w:val="001E226C"/>
    <w:rPr>
      <w:sz w:val="20"/>
      <w:szCs w:val="20"/>
    </w:rPr>
  </w:style>
  <w:style w:type="paragraph" w:styleId="CommentSubject">
    <w:name w:val="annotation subject"/>
    <w:basedOn w:val="CommentText"/>
    <w:next w:val="CommentText"/>
    <w:link w:val="CommentSubjectChar"/>
    <w:semiHidden/>
    <w:unhideWhenUsed/>
    <w:rsid w:val="001E226C"/>
    <w:pPr>
      <w:spacing w:after="0"/>
    </w:pPr>
    <w:rPr>
      <w:rFonts w:ascii="Times New Roman" w:eastAsia="Times New Roman" w:hAnsi="Times New Roman" w:cs="Times New Roman"/>
      <w:b/>
      <w:bCs/>
      <w:color w:val="000000"/>
    </w:rPr>
  </w:style>
  <w:style w:type="character" w:customStyle="1" w:styleId="CommentSubjectChar">
    <w:name w:val="Comment Subject Char"/>
    <w:basedOn w:val="CommentTextChar1"/>
    <w:link w:val="CommentSubject"/>
    <w:semiHidden/>
    <w:rsid w:val="001E226C"/>
    <w:rPr>
      <w:rFonts w:ascii="Times New Roman" w:eastAsia="Times New Roman" w:hAnsi="Times New Roman" w:cs="Times New Roman"/>
      <w:b/>
      <w:bCs/>
      <w:color w:val="000000"/>
      <w:sz w:val="20"/>
      <w:szCs w:val="20"/>
    </w:rPr>
  </w:style>
  <w:style w:type="table" w:customStyle="1" w:styleId="TableGrid1">
    <w:name w:val="Table Grid1"/>
    <w:basedOn w:val="TableNormal"/>
    <w:next w:val="TableGrid"/>
    <w:uiPriority w:val="39"/>
    <w:rsid w:val="001E22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22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22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22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226C"/>
    <w:pPr>
      <w:spacing w:after="0" w:line="240" w:lineRule="auto"/>
    </w:pPr>
    <w:rPr>
      <w:rFonts w:ascii="Times New Roman" w:eastAsia="Times New Roman" w:hAnsi="Times New Roman" w:cs="Times New Roman"/>
      <w:color w:val="000000"/>
      <w:sz w:val="24"/>
      <w:szCs w:val="20"/>
    </w:rPr>
  </w:style>
  <w:style w:type="paragraph" w:styleId="PlainText">
    <w:name w:val="Plain Text"/>
    <w:basedOn w:val="Normal"/>
    <w:link w:val="PlainTextChar1"/>
    <w:uiPriority w:val="99"/>
    <w:unhideWhenUsed/>
    <w:rsid w:val="001E226C"/>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1E226C"/>
    <w:rPr>
      <w:rFonts w:ascii="Consolas" w:hAnsi="Consolas" w:cs="Consolas"/>
      <w:sz w:val="21"/>
      <w:szCs w:val="21"/>
    </w:rPr>
  </w:style>
  <w:style w:type="paragraph" w:styleId="ListParagraph">
    <w:name w:val="List Paragraph"/>
    <w:basedOn w:val="Normal"/>
    <w:uiPriority w:val="34"/>
    <w:qFormat/>
    <w:rsid w:val="001E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D10F-DD83-49A7-AFE3-68348316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Field</dc:creator>
  <cp:keywords/>
  <dc:description/>
  <cp:lastModifiedBy>Jenny Muiry</cp:lastModifiedBy>
  <cp:revision>11</cp:revision>
  <cp:lastPrinted>2017-11-27T17:20:00Z</cp:lastPrinted>
  <dcterms:created xsi:type="dcterms:W3CDTF">2017-11-27T14:38:00Z</dcterms:created>
  <dcterms:modified xsi:type="dcterms:W3CDTF">2018-04-17T12:10:00Z</dcterms:modified>
</cp:coreProperties>
</file>