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4B" w:rsidRDefault="00B2354B" w:rsidP="00B2354B">
      <w:pPr>
        <w:rPr>
          <w:b/>
        </w:rPr>
      </w:pPr>
      <w:r>
        <w:rPr>
          <w:b/>
        </w:rPr>
        <w:t>Table S1</w:t>
      </w:r>
      <w:r w:rsidRPr="00E54EEA">
        <w:rPr>
          <w:b/>
        </w:rPr>
        <w:t>: Summary of recommendations</w:t>
      </w:r>
    </w:p>
    <w:tbl>
      <w:tblPr>
        <w:tblStyle w:val="TableGrid"/>
        <w:tblW w:w="0" w:type="auto"/>
        <w:tblInd w:w="-113" w:type="dxa"/>
        <w:tblLook w:val="04A0" w:firstRow="1" w:lastRow="0" w:firstColumn="1" w:lastColumn="0" w:noHBand="0" w:noVBand="1"/>
      </w:tblPr>
      <w:tblGrid>
        <w:gridCol w:w="8472"/>
        <w:gridCol w:w="1304"/>
        <w:gridCol w:w="1559"/>
        <w:gridCol w:w="2613"/>
      </w:tblGrid>
      <w:tr w:rsidR="00B2354B" w:rsidRPr="00E54EEA" w:rsidTr="00DD269D">
        <w:tc>
          <w:tcPr>
            <w:tcW w:w="8472" w:type="dxa"/>
          </w:tcPr>
          <w:p w:rsidR="00B2354B" w:rsidRPr="00E54EEA" w:rsidRDefault="00B2354B" w:rsidP="00DD269D">
            <w:pPr>
              <w:spacing w:line="360" w:lineRule="auto"/>
              <w:ind w:left="426" w:hanging="426"/>
              <w:rPr>
                <w:b/>
              </w:rPr>
            </w:pPr>
            <w:r w:rsidRPr="00E54EEA">
              <w:rPr>
                <w:b/>
              </w:rPr>
              <w:t>Guidelines statement</w:t>
            </w:r>
          </w:p>
        </w:tc>
        <w:tc>
          <w:tcPr>
            <w:tcW w:w="1304" w:type="dxa"/>
          </w:tcPr>
          <w:p w:rsidR="00B2354B" w:rsidRPr="00E54EEA" w:rsidRDefault="00B2354B" w:rsidP="00DD269D">
            <w:pPr>
              <w:spacing w:line="360" w:lineRule="auto"/>
              <w:jc w:val="center"/>
              <w:rPr>
                <w:b/>
              </w:rPr>
            </w:pPr>
            <w:r w:rsidRPr="00E54EEA">
              <w:rPr>
                <w:b/>
              </w:rPr>
              <w:t>LoE</w:t>
            </w:r>
          </w:p>
        </w:tc>
        <w:tc>
          <w:tcPr>
            <w:tcW w:w="1559" w:type="dxa"/>
          </w:tcPr>
          <w:p w:rsidR="00B2354B" w:rsidRPr="00E54EEA" w:rsidRDefault="00B2354B" w:rsidP="00DD269D">
            <w:pPr>
              <w:spacing w:line="360" w:lineRule="auto"/>
              <w:jc w:val="center"/>
              <w:rPr>
                <w:b/>
              </w:rPr>
            </w:pPr>
            <w:r w:rsidRPr="00E54EEA">
              <w:rPr>
                <w:b/>
              </w:rPr>
              <w:t>GoR</w:t>
            </w:r>
          </w:p>
        </w:tc>
        <w:tc>
          <w:tcPr>
            <w:tcW w:w="2613" w:type="dxa"/>
          </w:tcPr>
          <w:p w:rsidR="00B2354B" w:rsidRPr="00E54EEA" w:rsidRDefault="00B2354B" w:rsidP="00DD269D">
            <w:pPr>
              <w:spacing w:line="360" w:lineRule="auto"/>
              <w:jc w:val="center"/>
              <w:rPr>
                <w:b/>
              </w:rPr>
            </w:pPr>
            <w:r w:rsidRPr="00E54EEA">
              <w:rPr>
                <w:b/>
              </w:rPr>
              <w:t>Consensus</w:t>
            </w:r>
          </w:p>
        </w:tc>
      </w:tr>
      <w:tr w:rsidR="00B2354B" w:rsidRPr="00E54EEA" w:rsidTr="00DD269D">
        <w:tc>
          <w:tcPr>
            <w:tcW w:w="8472" w:type="dxa"/>
            <w:tcBorders>
              <w:bottom w:val="nil"/>
            </w:tcBorders>
          </w:tcPr>
          <w:p w:rsidR="00B2354B" w:rsidRPr="00E54EEA" w:rsidRDefault="00B2354B" w:rsidP="00DD269D">
            <w:pPr>
              <w:spacing w:line="360" w:lineRule="auto"/>
              <w:ind w:left="426" w:hanging="426"/>
              <w:rPr>
                <w:b/>
              </w:rPr>
            </w:pPr>
            <w:r w:rsidRPr="00E54EEA">
              <w:rPr>
                <w:b/>
              </w:rPr>
              <w:t>1. Which surveillance should be used for asymptomatic women?</w:t>
            </w:r>
          </w:p>
          <w:p w:rsidR="00B2354B" w:rsidRPr="00E54EEA" w:rsidRDefault="00B2354B" w:rsidP="00DD269D">
            <w:pPr>
              <w:spacing w:line="360" w:lineRule="auto"/>
              <w:ind w:left="426" w:hanging="426"/>
              <w:rPr>
                <w:b/>
              </w:rPr>
            </w:pPr>
            <w:r w:rsidRPr="00E54EEA">
              <w:rPr>
                <w:b/>
              </w:rPr>
              <w:t xml:space="preserve">Recommendations: </w:t>
            </w:r>
          </w:p>
        </w:tc>
        <w:tc>
          <w:tcPr>
            <w:tcW w:w="1304" w:type="dxa"/>
            <w:tcBorders>
              <w:bottom w:val="nil"/>
            </w:tcBorders>
          </w:tcPr>
          <w:p w:rsidR="00B2354B" w:rsidRPr="00E54EEA" w:rsidRDefault="00B2354B" w:rsidP="00DD269D">
            <w:pPr>
              <w:spacing w:line="360" w:lineRule="auto"/>
              <w:jc w:val="center"/>
            </w:pPr>
          </w:p>
        </w:tc>
        <w:tc>
          <w:tcPr>
            <w:tcW w:w="1559" w:type="dxa"/>
            <w:tcBorders>
              <w:bottom w:val="nil"/>
            </w:tcBorders>
          </w:tcPr>
          <w:p w:rsidR="00B2354B" w:rsidRPr="00E54EEA" w:rsidRDefault="00B2354B" w:rsidP="00DD269D">
            <w:pPr>
              <w:spacing w:line="360" w:lineRule="auto"/>
              <w:jc w:val="center"/>
            </w:pPr>
          </w:p>
        </w:tc>
        <w:tc>
          <w:tcPr>
            <w:tcW w:w="2613" w:type="dxa"/>
            <w:tcBorders>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rPr>
                <w:b/>
              </w:rPr>
            </w:pPr>
            <w:r w:rsidRPr="00E54EEA">
              <w:t>1.1</w:t>
            </w:r>
            <w:r w:rsidRPr="00E54EEA">
              <w:tab/>
              <w:t>There is no evidence for endometrial cancer screening in the general population</w:t>
            </w:r>
          </w:p>
        </w:tc>
        <w:tc>
          <w:tcPr>
            <w:tcW w:w="1304" w:type="dxa"/>
            <w:tcBorders>
              <w:top w:val="nil"/>
              <w:bottom w:val="nil"/>
            </w:tcBorders>
          </w:tcPr>
          <w:p w:rsidR="00B2354B" w:rsidRPr="00E54EEA" w:rsidRDefault="00523EF0"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rPr>
                <w:highlight w:val="yellow"/>
              </w:rPr>
            </w:pPr>
            <w:r w:rsidRPr="00E54EEA">
              <w:t>1.2</w:t>
            </w:r>
            <w:r w:rsidRPr="00E54EEA">
              <w:tab/>
              <w:t xml:space="preserve">Unopposed oestrogen treatment should not be started or should be discontinued in women with a uterus </w:t>
            </w:r>
            <w:r w:rsidRPr="00E54EEA">
              <w:rPr>
                <w:i/>
              </w:rPr>
              <w:t>in situ</w:t>
            </w:r>
          </w:p>
        </w:tc>
        <w:tc>
          <w:tcPr>
            <w:tcW w:w="1304" w:type="dxa"/>
            <w:tcBorders>
              <w:top w:val="nil"/>
              <w:bottom w:val="nil"/>
            </w:tcBorders>
          </w:tcPr>
          <w:p w:rsidR="00B2354B" w:rsidRPr="00E54EEA" w:rsidRDefault="00523EF0"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rPr>
                <w:highlight w:val="yellow"/>
              </w:rPr>
            </w:pPr>
            <w:r w:rsidRPr="00E54EEA">
              <w:t>1.3</w:t>
            </w:r>
            <w:r w:rsidRPr="00E54EEA">
              <w:tab/>
              <w:t>Routine surveillance in asymptomatic women with obesity, PCOS, diabetes mellitus, infertility, nulliparity or late menopause is not recommended</w:t>
            </w:r>
          </w:p>
        </w:tc>
        <w:tc>
          <w:tcPr>
            <w:tcW w:w="1304" w:type="dxa"/>
            <w:tcBorders>
              <w:top w:val="nil"/>
              <w:bottom w:val="nil"/>
            </w:tcBorders>
          </w:tcPr>
          <w:p w:rsidR="00B2354B" w:rsidRPr="00E54EEA" w:rsidRDefault="00523EF0"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1.4</w:t>
            </w:r>
            <w:r w:rsidRPr="00E54EEA">
              <w:tab/>
              <w:t>For women with AGCT, if hysterectomy has not been performed, endometrial sampling is recommended. If this shows no evidence of (pre)malignancy, no further screening for endometrial malignancies is required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1.5</w:t>
            </w:r>
            <w:r w:rsidRPr="00E54EEA">
              <w:tab/>
              <w:t xml:space="preserve">In </w:t>
            </w:r>
            <w:r w:rsidR="00DD269D">
              <w:t>patients</w:t>
            </w:r>
            <w:r w:rsidRPr="00E54EEA">
              <w:t xml:space="preserve"> with epithelial ovar</w:t>
            </w:r>
            <w:r w:rsidR="00E86D7D">
              <w:t>ian cancer undergoing fertility-</w:t>
            </w:r>
            <w:r w:rsidRPr="00E54EEA">
              <w:t>sparing treatment, endometrial sampling is recommended at the time of diagnosis</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1.6</w:t>
            </w:r>
            <w:r w:rsidRPr="00E54EEA">
              <w:tab/>
              <w:t>Routine screening for endometrial cancer in asymptomatic tamoxifen users is not recommended</w:t>
            </w:r>
          </w:p>
        </w:tc>
        <w:tc>
          <w:tcPr>
            <w:tcW w:w="1304" w:type="dxa"/>
            <w:tcBorders>
              <w:top w:val="nil"/>
              <w:bottom w:val="nil"/>
            </w:tcBorders>
          </w:tcPr>
          <w:p w:rsidR="00B2354B" w:rsidRPr="00E54EEA" w:rsidRDefault="00523EF0"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94.6% (35) yes, 5.4% (2) abstain (37 voters)</w:t>
            </w:r>
          </w:p>
        </w:tc>
      </w:tr>
      <w:tr w:rsidR="00B2354B" w:rsidRPr="00E54EEA" w:rsidTr="00DD269D">
        <w:tc>
          <w:tcPr>
            <w:tcW w:w="8472" w:type="dxa"/>
            <w:tcBorders>
              <w:top w:val="nil"/>
              <w:bottom w:val="nil"/>
            </w:tcBorders>
          </w:tcPr>
          <w:p w:rsidR="00B2354B" w:rsidRPr="00E54EEA" w:rsidRDefault="00B2354B" w:rsidP="00A31256">
            <w:pPr>
              <w:spacing w:line="360" w:lineRule="auto"/>
              <w:ind w:left="567" w:hanging="567"/>
            </w:pPr>
            <w:r w:rsidRPr="00E54EEA">
              <w:lastRenderedPageBreak/>
              <w:t>1.7</w:t>
            </w:r>
            <w:r w:rsidRPr="00E54EEA">
              <w:tab/>
              <w:t xml:space="preserve">Surveillance of the endometrium by gynaecological examination, transvaginal ultrasound and aspiration biopsy starting from the age of 35 years (annually until hysterectomy) should be offered to all </w:t>
            </w:r>
            <w:r w:rsidR="00A31256">
              <w:t>LS</w:t>
            </w:r>
            <w:r w:rsidRPr="00E54EEA">
              <w:t xml:space="preserve"> mutation carriers</w:t>
            </w:r>
          </w:p>
        </w:tc>
        <w:tc>
          <w:tcPr>
            <w:tcW w:w="1304" w:type="dxa"/>
            <w:tcBorders>
              <w:top w:val="nil"/>
              <w:bottom w:val="nil"/>
            </w:tcBorders>
          </w:tcPr>
          <w:p w:rsidR="00B2354B" w:rsidRPr="00E54EEA" w:rsidRDefault="00523EF0" w:rsidP="00DD269D">
            <w:pPr>
              <w:spacing w:line="360" w:lineRule="auto"/>
              <w:contextualSpacing/>
              <w:jc w:val="center"/>
            </w:pPr>
            <w:r>
              <w:t>IV</w:t>
            </w:r>
          </w:p>
        </w:tc>
        <w:tc>
          <w:tcPr>
            <w:tcW w:w="1559" w:type="dxa"/>
            <w:tcBorders>
              <w:top w:val="nil"/>
              <w:bottom w:val="nil"/>
            </w:tcBorders>
          </w:tcPr>
          <w:p w:rsidR="00B2354B" w:rsidRPr="00E54EEA" w:rsidRDefault="00B2354B" w:rsidP="00DD269D">
            <w:pPr>
              <w:spacing w:line="360" w:lineRule="auto"/>
              <w:contextualSpacing/>
              <w:jc w:val="center"/>
            </w:pPr>
            <w:r w:rsidRPr="00E54EEA">
              <w:t>B</w:t>
            </w:r>
          </w:p>
        </w:tc>
        <w:tc>
          <w:tcPr>
            <w:tcW w:w="2613" w:type="dxa"/>
            <w:tcBorders>
              <w:top w:val="nil"/>
              <w:bottom w:val="nil"/>
            </w:tcBorders>
          </w:tcPr>
          <w:p w:rsidR="00B2354B" w:rsidRPr="00E54EEA" w:rsidRDefault="00B2354B" w:rsidP="00DD269D">
            <w:pPr>
              <w:spacing w:line="360" w:lineRule="auto"/>
              <w:contextualSpacing/>
              <w:jc w:val="center"/>
            </w:pPr>
            <w:r w:rsidRPr="00E54EEA">
              <w:t>97.3% (36) yes, 2.7% (1) abstain (37 voters)</w:t>
            </w:r>
          </w:p>
        </w:tc>
      </w:tr>
      <w:tr w:rsidR="00B2354B" w:rsidRPr="00E54EEA" w:rsidTr="00DD269D">
        <w:tc>
          <w:tcPr>
            <w:tcW w:w="8472" w:type="dxa"/>
            <w:tcBorders>
              <w:top w:val="nil"/>
              <w:bottom w:val="single" w:sz="4" w:space="0" w:color="auto"/>
            </w:tcBorders>
          </w:tcPr>
          <w:p w:rsidR="00B2354B" w:rsidRPr="00E54EEA" w:rsidRDefault="00B2354B" w:rsidP="00A31256">
            <w:pPr>
              <w:spacing w:line="360" w:lineRule="auto"/>
              <w:ind w:left="567" w:hanging="567"/>
            </w:pPr>
            <w:r w:rsidRPr="00E54EEA">
              <w:t>1.8</w:t>
            </w:r>
            <w:r w:rsidRPr="00E54EEA">
              <w:tab/>
              <w:t xml:space="preserve">Prophylactic surgery (hysterectomy and bilateral salpingo-oophorectomy), preferably using a minimally invasive approach, should be discussed at the age of 40 as an option for </w:t>
            </w:r>
            <w:r w:rsidR="00A31256">
              <w:t>LS</w:t>
            </w:r>
            <w:r w:rsidRPr="00E54EEA">
              <w:t xml:space="preserve"> mutation carriers to prevent endometrial and ovarian cancer. All pros and cons of prophylactic surgery must be discussed</w:t>
            </w:r>
          </w:p>
        </w:tc>
        <w:tc>
          <w:tcPr>
            <w:tcW w:w="1304" w:type="dxa"/>
            <w:tcBorders>
              <w:top w:val="nil"/>
              <w:bottom w:val="single" w:sz="4" w:space="0" w:color="auto"/>
            </w:tcBorders>
          </w:tcPr>
          <w:p w:rsidR="00B2354B" w:rsidRPr="00E54EEA" w:rsidRDefault="00523EF0" w:rsidP="00DD269D">
            <w:pPr>
              <w:spacing w:line="360" w:lineRule="auto"/>
              <w:contextualSpacing/>
              <w:jc w:val="center"/>
            </w:pPr>
            <w:r>
              <w:t>IV</w:t>
            </w:r>
          </w:p>
        </w:tc>
        <w:tc>
          <w:tcPr>
            <w:tcW w:w="1559" w:type="dxa"/>
            <w:tcBorders>
              <w:top w:val="nil"/>
              <w:bottom w:val="single" w:sz="4" w:space="0" w:color="auto"/>
            </w:tcBorders>
          </w:tcPr>
          <w:p w:rsidR="00B2354B" w:rsidRPr="00E54EEA" w:rsidRDefault="00B2354B" w:rsidP="00DD269D">
            <w:pPr>
              <w:spacing w:line="360" w:lineRule="auto"/>
              <w:contextualSpacing/>
              <w:jc w:val="center"/>
            </w:pPr>
            <w:r w:rsidRPr="00E54EEA">
              <w:t>B</w:t>
            </w:r>
          </w:p>
        </w:tc>
        <w:tc>
          <w:tcPr>
            <w:tcW w:w="2613" w:type="dxa"/>
            <w:tcBorders>
              <w:top w:val="nil"/>
              <w:bottom w:val="single" w:sz="4" w:space="0" w:color="auto"/>
            </w:tcBorders>
          </w:tcPr>
          <w:p w:rsidR="00B2354B" w:rsidRPr="00E54EEA" w:rsidRDefault="00B2354B" w:rsidP="00DD269D">
            <w:pPr>
              <w:spacing w:line="360" w:lineRule="auto"/>
              <w:contextualSpacing/>
              <w:jc w:val="center"/>
            </w:pPr>
            <w:r w:rsidRPr="00E54EEA">
              <w:t>100% yes (37 voters)</w:t>
            </w: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284" w:hanging="284"/>
              <w:rPr>
                <w:b/>
                <w:bCs/>
              </w:rPr>
            </w:pPr>
            <w:r w:rsidRPr="00E54EEA">
              <w:rPr>
                <w:b/>
              </w:rPr>
              <w:t xml:space="preserve">2. </w:t>
            </w:r>
            <w:r w:rsidRPr="00E54EEA">
              <w:rPr>
                <w:b/>
                <w:bCs/>
              </w:rPr>
              <w:t>What work-up and management scheme should be undertaken for fertility</w:t>
            </w:r>
            <w:r w:rsidR="004E78F6">
              <w:rPr>
                <w:b/>
                <w:bCs/>
              </w:rPr>
              <w:t>-</w:t>
            </w:r>
            <w:r w:rsidRPr="00E54EEA">
              <w:rPr>
                <w:b/>
                <w:bCs/>
              </w:rPr>
              <w:t>preserving therapy in patients with AH/EIN and grade 1</w:t>
            </w:r>
            <w:r w:rsidR="00A31256">
              <w:rPr>
                <w:b/>
                <w:bCs/>
              </w:rPr>
              <w:t xml:space="preserve"> EEC</w:t>
            </w:r>
            <w:r w:rsidRPr="00E54EEA">
              <w:rPr>
                <w:b/>
                <w:bCs/>
              </w:rPr>
              <w:t>?</w:t>
            </w:r>
          </w:p>
          <w:p w:rsidR="00B2354B" w:rsidRPr="00E54EEA" w:rsidRDefault="00B2354B" w:rsidP="00DD269D">
            <w:pPr>
              <w:spacing w:line="360" w:lineRule="auto"/>
              <w:ind w:left="426" w:hanging="426"/>
              <w:rPr>
                <w:b/>
                <w:bCs/>
              </w:rPr>
            </w:pPr>
            <w:r w:rsidRPr="00E54EEA">
              <w:rPr>
                <w:b/>
                <w:bCs/>
              </w:rPr>
              <w:t>Recommendations:</w:t>
            </w:r>
          </w:p>
        </w:tc>
        <w:tc>
          <w:tcPr>
            <w:tcW w:w="1304" w:type="dxa"/>
            <w:tcBorders>
              <w:top w:val="single" w:sz="4" w:space="0" w:color="auto"/>
              <w:bottom w:val="nil"/>
            </w:tcBorders>
          </w:tcPr>
          <w:p w:rsidR="00B2354B" w:rsidRPr="00E54EEA" w:rsidRDefault="00B2354B" w:rsidP="00DD269D">
            <w:pPr>
              <w:spacing w:line="360" w:lineRule="auto"/>
              <w:jc w:val="center"/>
            </w:pPr>
          </w:p>
        </w:tc>
        <w:tc>
          <w:tcPr>
            <w:tcW w:w="1559" w:type="dxa"/>
            <w:tcBorders>
              <w:top w:val="single" w:sz="4" w:space="0" w:color="auto"/>
              <w:bottom w:val="nil"/>
            </w:tcBorders>
          </w:tcPr>
          <w:p w:rsidR="00B2354B" w:rsidRPr="00E54EEA" w:rsidRDefault="00B2354B" w:rsidP="00DD269D">
            <w:pPr>
              <w:spacing w:line="360" w:lineRule="auto"/>
              <w:jc w:val="center"/>
            </w:pPr>
          </w:p>
        </w:tc>
        <w:tc>
          <w:tcPr>
            <w:tcW w:w="2613" w:type="dxa"/>
            <w:tcBorders>
              <w:top w:val="single" w:sz="4" w:space="0" w:color="auto"/>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A31256">
            <w:pPr>
              <w:spacing w:line="360" w:lineRule="auto"/>
              <w:ind w:left="567" w:hanging="567"/>
              <w:rPr>
                <w:b/>
              </w:rPr>
            </w:pPr>
            <w:r w:rsidRPr="00E54EEA">
              <w:t>2.1</w:t>
            </w:r>
            <w:r w:rsidRPr="00E54EEA">
              <w:tab/>
              <w:t xml:space="preserve">Patients with AH/EIN or grade 1 </w:t>
            </w:r>
            <w:r w:rsidR="00A31256">
              <w:t>EEC</w:t>
            </w:r>
            <w:r w:rsidRPr="00E54EEA">
              <w:t xml:space="preserve"> requesting fertility</w:t>
            </w:r>
            <w:r w:rsidR="00D031A4">
              <w:t>-</w:t>
            </w:r>
            <w:r w:rsidRPr="00E54EEA">
              <w:t>preserving therapy must be referred to specialised centres</w:t>
            </w:r>
          </w:p>
        </w:tc>
        <w:tc>
          <w:tcPr>
            <w:tcW w:w="1304" w:type="dxa"/>
            <w:tcBorders>
              <w:top w:val="nil"/>
              <w:bottom w:val="nil"/>
            </w:tcBorders>
          </w:tcPr>
          <w:p w:rsidR="00B2354B" w:rsidRPr="00E54EEA" w:rsidRDefault="00523EF0" w:rsidP="00DD269D">
            <w:pPr>
              <w:spacing w:line="360" w:lineRule="auto"/>
              <w:jc w:val="center"/>
            </w:pPr>
            <w:r>
              <w:t>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 xml:space="preserve">100% yes (37 voters) </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2.2</w:t>
            </w:r>
            <w:r w:rsidRPr="00E54EEA">
              <w:tab/>
              <w:t xml:space="preserve">In these patients, D&amp;C with or without hysteroscopy must be performed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97.3% (36) yes, 2.7% (1) abstain (37 voters)</w:t>
            </w:r>
          </w:p>
        </w:tc>
      </w:tr>
      <w:tr w:rsidR="00B2354B" w:rsidRPr="00E54EEA" w:rsidTr="00DD269D">
        <w:tc>
          <w:tcPr>
            <w:tcW w:w="8472" w:type="dxa"/>
            <w:tcBorders>
              <w:top w:val="nil"/>
              <w:bottom w:val="nil"/>
            </w:tcBorders>
          </w:tcPr>
          <w:p w:rsidR="00B2354B" w:rsidRPr="00E54EEA" w:rsidRDefault="00B2354B" w:rsidP="00A31256">
            <w:pPr>
              <w:spacing w:line="360" w:lineRule="auto"/>
              <w:ind w:left="567" w:hanging="567"/>
            </w:pPr>
            <w:r w:rsidRPr="00E54EEA">
              <w:t>2.3</w:t>
            </w:r>
            <w:r w:rsidRPr="00E54EEA">
              <w:tab/>
              <w:t xml:space="preserve">AH/EIN or grade 1 </w:t>
            </w:r>
            <w:r w:rsidR="00A31256">
              <w:t>EEC</w:t>
            </w:r>
            <w:r w:rsidRPr="00E54EEA">
              <w:t xml:space="preserve"> must be confirmed/diagnosed by a specialist gynecopathologist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2.4</w:t>
            </w:r>
            <w:r w:rsidRPr="00E54EEA">
              <w:tab/>
              <w:t xml:space="preserve">Pelvic MRI should be performed to exclude overt myometrial invasion and adnexal involvement. Expert ultrasound can be considered as an alternative </w:t>
            </w:r>
          </w:p>
        </w:tc>
        <w:tc>
          <w:tcPr>
            <w:tcW w:w="1304" w:type="dxa"/>
            <w:tcBorders>
              <w:top w:val="nil"/>
              <w:bottom w:val="nil"/>
            </w:tcBorders>
          </w:tcPr>
          <w:p w:rsidR="00B2354B" w:rsidRPr="00E54EEA" w:rsidRDefault="00523EF0"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lastRenderedPageBreak/>
              <w:t>2.5</w:t>
            </w:r>
            <w:r w:rsidRPr="00E54EEA">
              <w:tab/>
              <w:t>Patients must be informed that fertility-sparing treatment is a non-standard treatment and the pros and cons must be discussed. Patients should be willing to accept close follow-up and be informed of the need for future hysterectomy</w:t>
            </w:r>
          </w:p>
        </w:tc>
        <w:tc>
          <w:tcPr>
            <w:tcW w:w="1304" w:type="dxa"/>
            <w:tcBorders>
              <w:top w:val="nil"/>
              <w:bottom w:val="nil"/>
            </w:tcBorders>
          </w:tcPr>
          <w:p w:rsidR="00B2354B" w:rsidRPr="00E54EEA" w:rsidRDefault="00523EF0" w:rsidP="00DD269D">
            <w:pPr>
              <w:spacing w:line="360" w:lineRule="auto"/>
              <w:jc w:val="center"/>
            </w:pPr>
            <w:r>
              <w:t>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97.3% (36) yes, 2.7% (1) abstain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2.6</w:t>
            </w:r>
            <w:r w:rsidRPr="00E54EEA">
              <w:tab/>
              <w:t>For patients undergoing fertility-preserving therapy, MPA (400-600 mg/day) or MA (160-320 mg/day) is the recommended treatment. However, treatment wi</w:t>
            </w:r>
            <w:r w:rsidR="00A31256">
              <w:t xml:space="preserve">th LNG-IUD with or without GnRH </w:t>
            </w:r>
            <w:r w:rsidRPr="00E54EEA">
              <w:t>analogues can also be considered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2.7</w:t>
            </w:r>
            <w:r w:rsidRPr="00E54EEA">
              <w:tab/>
              <w:t>In order to assess response, D&amp;C, hysteroscopy and imaging at 6 months must be performed. If no response is achieved after 6 months, standard surgical treatment should be performed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2.8</w:t>
            </w:r>
            <w:r w:rsidRPr="00E54EEA">
              <w:tab/>
              <w:t>In case of complete response, conception must be encouraged and referral to a fertility clinic is recommended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2.9</w:t>
            </w:r>
            <w:r w:rsidRPr="00E54EEA">
              <w:tab/>
              <w:t>Maintenance treatment should be considered in responders who wish to delay pregnancy</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2.10</w:t>
            </w:r>
            <w:r w:rsidRPr="00E54EEA">
              <w:tab/>
              <w:t>Patients not undergoing hysterectomy should be re-evaluated clinically every 6 months</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97.3% (36) yes, 2.7% (1) abstain (37 voters)</w:t>
            </w:r>
          </w:p>
        </w:tc>
      </w:tr>
      <w:tr w:rsidR="00B2354B" w:rsidRPr="00E54EEA" w:rsidTr="00DD269D">
        <w:tc>
          <w:tcPr>
            <w:tcW w:w="8472" w:type="dxa"/>
            <w:tcBorders>
              <w:top w:val="nil"/>
            </w:tcBorders>
          </w:tcPr>
          <w:p w:rsidR="00B2354B" w:rsidRPr="00E54EEA" w:rsidRDefault="00B2354B" w:rsidP="00DD269D">
            <w:pPr>
              <w:spacing w:line="360" w:lineRule="auto"/>
              <w:ind w:left="567" w:hanging="567"/>
            </w:pPr>
            <w:r w:rsidRPr="00E54EEA">
              <w:t>2.11</w:t>
            </w:r>
            <w:r w:rsidRPr="00E54EEA">
              <w:tab/>
              <w:t>After completion of childbearing, a hysterectomy and salpingo-oophorectomy should be recommended. The preservation of the ovaries can be considered depending on age and genetic risk factors</w:t>
            </w:r>
          </w:p>
        </w:tc>
        <w:tc>
          <w:tcPr>
            <w:tcW w:w="1304" w:type="dxa"/>
            <w:tcBorders>
              <w:top w:val="nil"/>
            </w:tcBorders>
          </w:tcPr>
          <w:p w:rsidR="00B2354B" w:rsidRPr="00E54EEA" w:rsidRDefault="00523EF0" w:rsidP="00DD269D">
            <w:pPr>
              <w:spacing w:line="360" w:lineRule="auto"/>
              <w:jc w:val="center"/>
            </w:pPr>
            <w:r>
              <w:t>IV</w:t>
            </w:r>
          </w:p>
        </w:tc>
        <w:tc>
          <w:tcPr>
            <w:tcW w:w="1559" w:type="dxa"/>
            <w:tcBorders>
              <w:top w:val="nil"/>
            </w:tcBorders>
          </w:tcPr>
          <w:p w:rsidR="00B2354B" w:rsidRPr="00E54EEA" w:rsidRDefault="00B2354B" w:rsidP="00DD269D">
            <w:pPr>
              <w:spacing w:line="360" w:lineRule="auto"/>
              <w:jc w:val="center"/>
            </w:pPr>
            <w:r w:rsidRPr="00E54EEA">
              <w:t>B</w:t>
            </w:r>
          </w:p>
        </w:tc>
        <w:tc>
          <w:tcPr>
            <w:tcW w:w="2613" w:type="dxa"/>
            <w:tcBorders>
              <w:top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bottom w:val="nil"/>
            </w:tcBorders>
          </w:tcPr>
          <w:p w:rsidR="00B2354B" w:rsidRPr="00E54EEA" w:rsidRDefault="00B2354B" w:rsidP="00DD269D">
            <w:pPr>
              <w:spacing w:line="360" w:lineRule="auto"/>
              <w:ind w:left="426" w:hanging="426"/>
              <w:rPr>
                <w:b/>
              </w:rPr>
            </w:pPr>
            <w:r w:rsidRPr="00E54EEA">
              <w:rPr>
                <w:b/>
              </w:rPr>
              <w:lastRenderedPageBreak/>
              <w:t>3. Which (molecular) markers can help distinguish endometrial (pre)cancers from mimics?</w:t>
            </w:r>
          </w:p>
          <w:p w:rsidR="00B2354B" w:rsidRPr="00E54EEA" w:rsidRDefault="00B2354B" w:rsidP="00DD269D">
            <w:pPr>
              <w:spacing w:line="360" w:lineRule="auto"/>
              <w:ind w:left="426" w:hanging="426"/>
              <w:rPr>
                <w:b/>
                <w:highlight w:val="yellow"/>
              </w:rPr>
            </w:pPr>
            <w:r w:rsidRPr="00E54EEA">
              <w:rPr>
                <w:b/>
              </w:rPr>
              <w:t xml:space="preserve">Recommendations: </w:t>
            </w:r>
          </w:p>
        </w:tc>
        <w:tc>
          <w:tcPr>
            <w:tcW w:w="1304" w:type="dxa"/>
            <w:tcBorders>
              <w:bottom w:val="nil"/>
            </w:tcBorders>
          </w:tcPr>
          <w:p w:rsidR="00B2354B" w:rsidRPr="00E54EEA" w:rsidRDefault="00B2354B" w:rsidP="00DD269D">
            <w:pPr>
              <w:spacing w:line="360" w:lineRule="auto"/>
              <w:jc w:val="center"/>
              <w:rPr>
                <w:highlight w:val="yellow"/>
              </w:rPr>
            </w:pPr>
          </w:p>
        </w:tc>
        <w:tc>
          <w:tcPr>
            <w:tcW w:w="1559" w:type="dxa"/>
            <w:tcBorders>
              <w:bottom w:val="nil"/>
            </w:tcBorders>
          </w:tcPr>
          <w:p w:rsidR="00B2354B" w:rsidRPr="00E54EEA" w:rsidRDefault="00B2354B" w:rsidP="00DD269D">
            <w:pPr>
              <w:spacing w:line="360" w:lineRule="auto"/>
              <w:jc w:val="center"/>
              <w:rPr>
                <w:highlight w:val="yellow"/>
              </w:rPr>
            </w:pPr>
          </w:p>
        </w:tc>
        <w:tc>
          <w:tcPr>
            <w:tcW w:w="2613" w:type="dxa"/>
            <w:tcBorders>
              <w:bottom w:val="nil"/>
            </w:tcBorders>
          </w:tcPr>
          <w:p w:rsidR="00B2354B" w:rsidRPr="00E54EEA" w:rsidRDefault="00B2354B" w:rsidP="00DD269D">
            <w:pPr>
              <w:spacing w:line="360" w:lineRule="auto"/>
              <w:jc w:val="center"/>
              <w:rPr>
                <w:highlight w:val="yellow"/>
              </w:rP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3.1</w:t>
            </w:r>
            <w:r w:rsidRPr="00E54EEA">
              <w:tab/>
              <w:t>In cases of uncertainty</w:t>
            </w:r>
            <w:r w:rsidR="00A31256">
              <w:t>,</w:t>
            </w:r>
            <w:r w:rsidRPr="00E54EEA">
              <w:t xml:space="preserve"> low threshold referral to a specialised gynaecopathologist is recommended</w:t>
            </w:r>
          </w:p>
        </w:tc>
        <w:tc>
          <w:tcPr>
            <w:tcW w:w="1304" w:type="dxa"/>
            <w:tcBorders>
              <w:top w:val="nil"/>
              <w:bottom w:val="nil"/>
            </w:tcBorders>
          </w:tcPr>
          <w:p w:rsidR="00B2354B" w:rsidRPr="00E54EEA" w:rsidRDefault="00523EF0" w:rsidP="00DD269D">
            <w:pPr>
              <w:spacing w:line="360" w:lineRule="auto"/>
              <w:jc w:val="center"/>
            </w:pPr>
            <w:r>
              <w:t>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3.2</w:t>
            </w:r>
            <w:r w:rsidRPr="00E54EEA">
              <w:tab/>
              <w:t xml:space="preserve">PTEN and PAX-2 by IHC is recommended to distinguish AH/EIN from benign mimics. Other markers that can be used in this context are MLH1 and ARID1a by IHC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3.3</w:t>
            </w:r>
            <w:r w:rsidRPr="00E54EEA">
              <w:tab/>
              <w:t>IHC is not recommended to distinguish APA from AH/EIN</w:t>
            </w:r>
          </w:p>
        </w:tc>
        <w:tc>
          <w:tcPr>
            <w:tcW w:w="1304" w:type="dxa"/>
            <w:tcBorders>
              <w:top w:val="nil"/>
              <w:bottom w:val="nil"/>
            </w:tcBorders>
          </w:tcPr>
          <w:p w:rsidR="00B2354B" w:rsidRPr="00E54EEA" w:rsidRDefault="00523EF0" w:rsidP="00DD269D">
            <w:pPr>
              <w:spacing w:line="360" w:lineRule="auto"/>
              <w:jc w:val="center"/>
            </w:pPr>
            <w:r>
              <w:t>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3.4</w:t>
            </w:r>
            <w:r w:rsidRPr="00E54EEA">
              <w:tab/>
              <w:t>p53 by IHC is recommended to distinguish SEIC from its mimics</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3.5</w:t>
            </w:r>
            <w:r w:rsidRPr="00E54EEA">
              <w:tab/>
              <w:t>A panel of markers must be used in cases where endocervical cancer is suspected. This panel should include at least ER, Vimentin, CEA and P16 by IHC, and needs to be assessed in the histologic and clinical context. In addition, HPV analysis can be considered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3.6</w:t>
            </w:r>
            <w:r w:rsidRPr="00E54EEA">
              <w:tab/>
              <w:t>WT-1 by IHC is the recommended marker to determine the origin of serous cancer</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single" w:sz="4" w:space="0" w:color="auto"/>
            </w:tcBorders>
          </w:tcPr>
          <w:p w:rsidR="00B2354B" w:rsidRPr="00E54EEA" w:rsidRDefault="00B2354B" w:rsidP="00DD269D">
            <w:pPr>
              <w:spacing w:line="360" w:lineRule="auto"/>
              <w:ind w:left="567" w:hanging="567"/>
            </w:pPr>
            <w:r w:rsidRPr="00E54EEA">
              <w:t>3.7</w:t>
            </w:r>
            <w:r w:rsidRPr="00E54EEA">
              <w:tab/>
              <w:t>Morphology (and not IHC) should be used to distinguish AH/EIN from EEC</w:t>
            </w:r>
          </w:p>
        </w:tc>
        <w:tc>
          <w:tcPr>
            <w:tcW w:w="1304" w:type="dxa"/>
            <w:tcBorders>
              <w:top w:val="nil"/>
              <w:bottom w:val="single" w:sz="4" w:space="0" w:color="auto"/>
            </w:tcBorders>
          </w:tcPr>
          <w:p w:rsidR="00B2354B" w:rsidRPr="00E54EEA" w:rsidRDefault="00523EF0" w:rsidP="00DD269D">
            <w:pPr>
              <w:spacing w:line="360" w:lineRule="auto"/>
              <w:jc w:val="center"/>
            </w:pPr>
            <w:r>
              <w:t>IV</w:t>
            </w:r>
          </w:p>
        </w:tc>
        <w:tc>
          <w:tcPr>
            <w:tcW w:w="1559" w:type="dxa"/>
            <w:tcBorders>
              <w:top w:val="nil"/>
              <w:bottom w:val="single" w:sz="4" w:space="0" w:color="auto"/>
            </w:tcBorders>
          </w:tcPr>
          <w:p w:rsidR="00B2354B" w:rsidRPr="00E54EEA" w:rsidRDefault="00B2354B" w:rsidP="00DD269D">
            <w:pPr>
              <w:spacing w:line="360" w:lineRule="auto"/>
              <w:jc w:val="center"/>
            </w:pPr>
            <w:r w:rsidRPr="00E54EEA">
              <w:t>A</w:t>
            </w:r>
          </w:p>
        </w:tc>
        <w:tc>
          <w:tcPr>
            <w:tcW w:w="2613" w:type="dxa"/>
            <w:tcBorders>
              <w:top w:val="nil"/>
              <w:bottom w:val="single" w:sz="4" w:space="0" w:color="auto"/>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rPr>
                <w:b/>
              </w:rPr>
            </w:pPr>
            <w:r w:rsidRPr="00E54EEA">
              <w:rPr>
                <w:b/>
              </w:rPr>
              <w:t>4. How does the medical condition influence surgical treatment?</w:t>
            </w:r>
          </w:p>
          <w:p w:rsidR="00B2354B" w:rsidRPr="00E54EEA" w:rsidRDefault="00B2354B" w:rsidP="00DD269D">
            <w:pPr>
              <w:spacing w:line="360" w:lineRule="auto"/>
              <w:ind w:left="567" w:hanging="567"/>
            </w:pPr>
            <w:r w:rsidRPr="00E54EEA">
              <w:rPr>
                <w:b/>
              </w:rPr>
              <w:t>Recommendations:</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4.1</w:t>
            </w:r>
            <w:r w:rsidRPr="00E54EEA">
              <w:tab/>
              <w:t>Mandatory work-up must include: Family history; general assessment and inventory of comorbidities; geriatric assessment, if appropriate; clinical examination, including pelvic examination; transvaginal or transrectal ultrasound; and complete pathology assessment (histotype and grade) of an endometrial biopsy or curettage specimen</w:t>
            </w:r>
          </w:p>
        </w:tc>
        <w:tc>
          <w:tcPr>
            <w:tcW w:w="1304" w:type="dxa"/>
            <w:tcBorders>
              <w:top w:val="nil"/>
              <w:bottom w:val="nil"/>
            </w:tcBorders>
          </w:tcPr>
          <w:p w:rsidR="00B2354B" w:rsidRPr="00E54EEA" w:rsidRDefault="00523EF0" w:rsidP="00DD269D">
            <w:pPr>
              <w:spacing w:line="360" w:lineRule="auto"/>
              <w:jc w:val="center"/>
            </w:pPr>
            <w:r>
              <w:t>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4.2</w:t>
            </w:r>
            <w:r w:rsidRPr="00E54EEA">
              <w:tab/>
              <w:t>Extent of surgery should be adapted to the medical condition of the patient</w:t>
            </w:r>
          </w:p>
        </w:tc>
        <w:tc>
          <w:tcPr>
            <w:tcW w:w="1304" w:type="dxa"/>
            <w:tcBorders>
              <w:top w:val="nil"/>
              <w:bottom w:val="nil"/>
            </w:tcBorders>
          </w:tcPr>
          <w:p w:rsidR="00B2354B" w:rsidRPr="00E54EEA" w:rsidRDefault="00523EF0" w:rsidP="00DD269D">
            <w:pPr>
              <w:spacing w:line="360" w:lineRule="auto"/>
              <w:jc w:val="center"/>
            </w:pPr>
            <w:r>
              <w:t>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7D7BAE">
            <w:pPr>
              <w:spacing w:line="360" w:lineRule="auto"/>
              <w:ind w:left="567" w:hanging="567"/>
            </w:pPr>
            <w:r w:rsidRPr="00E54EEA">
              <w:t>4.3</w:t>
            </w:r>
            <w:r w:rsidRPr="00E54EEA">
              <w:tab/>
              <w:t xml:space="preserve">In clinical stage I, grade 1 and 2: At least one of the three following tools should be used to assess myometrial invasion if </w:t>
            </w:r>
            <w:r w:rsidR="007D7BAE">
              <w:t>LND</w:t>
            </w:r>
            <w:r w:rsidRPr="00E54EEA">
              <w:t xml:space="preserve"> is considered: Expert ultrasound and/or MRI and/or intra</w:t>
            </w:r>
            <w:r w:rsidR="004E548E">
              <w:t>-</w:t>
            </w:r>
            <w:r w:rsidRPr="00E54EEA">
              <w:t xml:space="preserve">operative pathological examination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4.4</w:t>
            </w:r>
            <w:r w:rsidRPr="00E54EEA">
              <w:tab/>
              <w:t>Other imaging methods (thoracic, abdominal and pelvic CT scan, MRI, PET scan or ultrasound) should be considered to assess ovarian, nodal, peritoneal or metastatic disease</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r w:rsidRPr="00E54EEA">
              <w:t>94.6% (35) yes, 2.7% (1) abstain, 2.7% (1) no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4.5</w:t>
            </w:r>
            <w:r w:rsidRPr="00E54EEA">
              <w:tab/>
              <w:t>There is no evidence for the clinical usefulness of serum tumour markers, including CA 125</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91.9% (34) yes, 5.4% (2) abstain, 2.7% (1) no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4.6</w:t>
            </w:r>
            <w:r w:rsidRPr="00E54EEA">
              <w:tab/>
              <w:t>Standard surgery is total hysterectomy with bilateral salpingo-oophorectomy without vaginal cuff</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4E548E">
            <w:pPr>
              <w:spacing w:line="360" w:lineRule="auto"/>
              <w:ind w:left="567" w:hanging="567"/>
            </w:pPr>
            <w:r w:rsidRPr="00E54EEA">
              <w:t>4.7</w:t>
            </w:r>
            <w:r w:rsidRPr="00E54EEA">
              <w:tab/>
              <w:t xml:space="preserve">Ovarian preservation can be considered in patients younger than 45 years old with grade 1 </w:t>
            </w:r>
            <w:r w:rsidR="004E548E">
              <w:t>EEC</w:t>
            </w:r>
            <w:r w:rsidRPr="00E54EEA">
              <w:t xml:space="preserve"> with myometrial invasion &lt;50% and no obvious ovarian or other extra</w:t>
            </w:r>
            <w:r w:rsidR="004E548E">
              <w:t>-</w:t>
            </w:r>
            <w:r w:rsidRPr="00E54EEA">
              <w:t>uterine disease</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4.8</w:t>
            </w:r>
            <w:r w:rsidRPr="00E54EEA">
              <w:tab/>
              <w:t xml:space="preserve">In cases of ovarian preservation, salpingectomy is recommended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4E548E">
            <w:pPr>
              <w:spacing w:line="360" w:lineRule="auto"/>
              <w:ind w:left="567" w:hanging="567"/>
            </w:pPr>
            <w:r w:rsidRPr="00E54EEA">
              <w:t>4.9</w:t>
            </w:r>
            <w:r w:rsidRPr="00E54EEA">
              <w:tab/>
              <w:t xml:space="preserve">Ovarian preservation is not recommended for patients with cancer family history involving ovarian cancer risk (e.g. BRCA mutation, </w:t>
            </w:r>
            <w:r w:rsidR="004E548E">
              <w:t>LS</w:t>
            </w:r>
            <w:r w:rsidRPr="00E54EEA">
              <w:t>, etc.). Genetic counsel</w:t>
            </w:r>
            <w:r>
              <w:t>l</w:t>
            </w:r>
            <w:r w:rsidRPr="00E54EEA">
              <w:t xml:space="preserve">ing/testing should be offered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4.10</w:t>
            </w:r>
            <w:r w:rsidRPr="00E54EEA">
              <w:tab/>
              <w:t xml:space="preserve">Minimally invasive surgery is recommended in the surgical management of low- and intermediate-risk endometrial cancer </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4.11</w:t>
            </w:r>
            <w:r w:rsidRPr="00E54EEA">
              <w:tab/>
              <w:t xml:space="preserve">Minimally invasive surgery can be considered in the management of high-risk endometrial cancer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4E548E">
            <w:pPr>
              <w:spacing w:line="360" w:lineRule="auto"/>
              <w:ind w:left="567" w:hanging="567"/>
            </w:pPr>
            <w:r w:rsidRPr="00E54EEA">
              <w:t>4.12</w:t>
            </w:r>
            <w:r w:rsidRPr="00E54EEA">
              <w:tab/>
              <w:t>Vaginal hysterectomy with salpingo-oophorectomy can be considered in patients unfit for the recommended surgery and in selected patients with low</w:t>
            </w:r>
            <w:r w:rsidR="004E548E">
              <w:t>-</w:t>
            </w:r>
            <w:r w:rsidRPr="00E54EEA">
              <w:t xml:space="preserve">risk endometrial cancer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tcBorders>
          </w:tcPr>
          <w:p w:rsidR="00B2354B" w:rsidRPr="00E54EEA" w:rsidRDefault="00B2354B" w:rsidP="007D7BAE">
            <w:pPr>
              <w:spacing w:line="360" w:lineRule="auto"/>
              <w:ind w:left="567" w:hanging="567"/>
            </w:pPr>
            <w:r w:rsidRPr="00E54EEA">
              <w:t>4.13</w:t>
            </w:r>
            <w:r w:rsidRPr="00E54EEA">
              <w:tab/>
              <w:t xml:space="preserve">In medically unfit patients, </w:t>
            </w:r>
            <w:r w:rsidR="007D7BAE">
              <w:t>RT</w:t>
            </w:r>
            <w:r w:rsidRPr="00E54EEA">
              <w:t xml:space="preserve"> or hormone treatment can be considered </w:t>
            </w:r>
          </w:p>
        </w:tc>
        <w:tc>
          <w:tcPr>
            <w:tcW w:w="1304" w:type="dxa"/>
            <w:tcBorders>
              <w:top w:val="nil"/>
            </w:tcBorders>
          </w:tcPr>
          <w:p w:rsidR="00B2354B" w:rsidRPr="00E54EEA" w:rsidRDefault="00523EF0" w:rsidP="00DD269D">
            <w:pPr>
              <w:spacing w:line="360" w:lineRule="auto"/>
              <w:jc w:val="center"/>
            </w:pPr>
            <w:r>
              <w:t>IV</w:t>
            </w:r>
          </w:p>
        </w:tc>
        <w:tc>
          <w:tcPr>
            <w:tcW w:w="1559" w:type="dxa"/>
            <w:tcBorders>
              <w:top w:val="nil"/>
            </w:tcBorders>
          </w:tcPr>
          <w:p w:rsidR="00B2354B" w:rsidRPr="00E54EEA" w:rsidRDefault="00B2354B" w:rsidP="00DD269D">
            <w:pPr>
              <w:spacing w:line="360" w:lineRule="auto"/>
              <w:jc w:val="center"/>
            </w:pPr>
            <w:r w:rsidRPr="00E54EEA">
              <w:t>C</w:t>
            </w:r>
          </w:p>
        </w:tc>
        <w:tc>
          <w:tcPr>
            <w:tcW w:w="2613" w:type="dxa"/>
            <w:tcBorders>
              <w:top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284" w:hanging="284"/>
              <w:rPr>
                <w:b/>
              </w:rPr>
            </w:pPr>
            <w:r w:rsidRPr="00E54EEA">
              <w:rPr>
                <w:b/>
              </w:rPr>
              <w:t>5. What are the indications for and to what extent is lymphadenectomy indicated in the surgical management of endometrial cancer?</w:t>
            </w:r>
          </w:p>
          <w:p w:rsidR="00B2354B" w:rsidRPr="00E54EEA" w:rsidRDefault="00B2354B" w:rsidP="00DD269D">
            <w:pPr>
              <w:spacing w:line="360" w:lineRule="auto"/>
              <w:ind w:left="284" w:hanging="284"/>
              <w:rPr>
                <w:b/>
              </w:rPr>
            </w:pPr>
            <w:r w:rsidRPr="00E54EEA">
              <w:rPr>
                <w:b/>
              </w:rPr>
              <w:t>Recommendations:</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5.1</w:t>
            </w:r>
            <w:r w:rsidRPr="00E54EEA">
              <w:tab/>
              <w:t xml:space="preserve">Peritoneal cytology is no longer </w:t>
            </w:r>
            <w:r w:rsidR="00BD3D1B">
              <w:t xml:space="preserve">considered </w:t>
            </w:r>
            <w:r w:rsidRPr="00E54EEA">
              <w:t xml:space="preserve">mandatory for staging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5.2</w:t>
            </w:r>
            <w:r w:rsidRPr="00E54EEA">
              <w:tab/>
              <w:t>If a lymphadenectomy is performed, systematic removal of pelvic and para-aortic nodes up to the level of the renal veins should be considered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91.9% (34) yes, 2.7% (1) abstain, 5.4% (2) no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5.3</w:t>
            </w:r>
            <w:r w:rsidRPr="00E54EEA">
              <w:tab/>
              <w:t>SLND is still experimental, but large series suggest that it is feasible. SLND increases the detection of lymph nodes with small metastases and isolated tumour cells; however, the importance of these findings is unclear</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D</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tabs>
                <w:tab w:val="num" w:pos="720"/>
              </w:tabs>
              <w:spacing w:line="360" w:lineRule="auto"/>
              <w:ind w:left="567" w:hanging="567"/>
            </w:pPr>
            <w:r w:rsidRPr="00E54EEA">
              <w:t>5.4</w:t>
            </w:r>
            <w:r w:rsidRPr="00E54EEA">
              <w:tab/>
              <w:t xml:space="preserve">Lymphadenectomy is a staging procedure and allows tailoring of adjuvant therapy </w:t>
            </w:r>
          </w:p>
        </w:tc>
        <w:tc>
          <w:tcPr>
            <w:tcW w:w="1304" w:type="dxa"/>
            <w:tcBorders>
              <w:top w:val="nil"/>
              <w:bottom w:val="nil"/>
            </w:tcBorders>
          </w:tcPr>
          <w:p w:rsidR="00B2354B" w:rsidRPr="00E54EEA" w:rsidRDefault="00523EF0"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5.5</w:t>
            </w:r>
            <w:r w:rsidRPr="00E54EEA">
              <w:tab/>
              <w:t>Patients with low-risk endometrioid carcinoma (grade 1 or 2 and superficial myometrial invasion &lt;50%) have a low risk of lymph node involvement, and two RCT</w:t>
            </w:r>
            <w:r>
              <w:t>s</w:t>
            </w:r>
            <w:r w:rsidRPr="00E54EEA">
              <w:t xml:space="preserve"> did not show a survival benefit. Therefore, lymphadenectomy is not recommended for these patients</w:t>
            </w:r>
          </w:p>
        </w:tc>
        <w:tc>
          <w:tcPr>
            <w:tcW w:w="1304" w:type="dxa"/>
            <w:tcBorders>
              <w:top w:val="nil"/>
              <w:bottom w:val="nil"/>
            </w:tcBorders>
          </w:tcPr>
          <w:p w:rsidR="00B2354B" w:rsidRPr="00E54EEA" w:rsidRDefault="00523EF0"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5.6</w:t>
            </w:r>
            <w:r w:rsidRPr="00E54EEA">
              <w:tab/>
              <w:t xml:space="preserve">For patients with intermediate risk (deep myometrial invasion &gt;50% or grade 3 superficial myometrial invasion &lt;50%), data have not shown a survival benefit. Lymphadenectomy can be considered for staging purposes in these patients </w:t>
            </w:r>
          </w:p>
        </w:tc>
        <w:tc>
          <w:tcPr>
            <w:tcW w:w="1304" w:type="dxa"/>
            <w:tcBorders>
              <w:top w:val="nil"/>
              <w:bottom w:val="nil"/>
            </w:tcBorders>
          </w:tcPr>
          <w:p w:rsidR="00B2354B" w:rsidRPr="00E54EEA" w:rsidRDefault="00523EF0"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5.7</w:t>
            </w:r>
            <w:r w:rsidRPr="00E54EEA">
              <w:tab/>
              <w:t xml:space="preserve">For patients with high risk (grade 3 with deep myometrial invasion &gt;50%), lymphadenectomy should be recommended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73.0% (27) yes, 8.1% (3) abstain, 18.9% (7) no (37 voters)</w:t>
            </w:r>
          </w:p>
        </w:tc>
      </w:tr>
      <w:tr w:rsidR="00B2354B" w:rsidRPr="00E54EEA" w:rsidTr="00DD269D">
        <w:tc>
          <w:tcPr>
            <w:tcW w:w="8472" w:type="dxa"/>
            <w:tcBorders>
              <w:top w:val="nil"/>
              <w:bottom w:val="single" w:sz="4" w:space="0" w:color="auto"/>
            </w:tcBorders>
          </w:tcPr>
          <w:p w:rsidR="00B2354B" w:rsidRPr="00E54EEA" w:rsidRDefault="00B2354B" w:rsidP="00DD269D">
            <w:pPr>
              <w:spacing w:line="360" w:lineRule="auto"/>
              <w:ind w:left="567" w:hanging="567"/>
            </w:pPr>
            <w:r w:rsidRPr="00E54EEA">
              <w:t>5.8</w:t>
            </w:r>
            <w:r w:rsidRPr="00E54EEA">
              <w:tab/>
              <w:t xml:space="preserve">Lymphadenectomy to complete staging could be considered in previously incompletely operated high-risk patients in order to tailor adjuvant therapy </w:t>
            </w:r>
          </w:p>
        </w:tc>
        <w:tc>
          <w:tcPr>
            <w:tcW w:w="1304" w:type="dxa"/>
            <w:tcBorders>
              <w:top w:val="nil"/>
              <w:bottom w:val="single" w:sz="4" w:space="0" w:color="auto"/>
            </w:tcBorders>
          </w:tcPr>
          <w:p w:rsidR="00B2354B" w:rsidRPr="00E54EEA" w:rsidRDefault="00523EF0" w:rsidP="00DD269D">
            <w:pPr>
              <w:spacing w:line="360" w:lineRule="auto"/>
              <w:jc w:val="center"/>
            </w:pPr>
            <w:r>
              <w:t>V</w:t>
            </w:r>
          </w:p>
        </w:tc>
        <w:tc>
          <w:tcPr>
            <w:tcW w:w="1559" w:type="dxa"/>
            <w:tcBorders>
              <w:top w:val="nil"/>
              <w:bottom w:val="single" w:sz="4" w:space="0" w:color="auto"/>
            </w:tcBorders>
          </w:tcPr>
          <w:p w:rsidR="00B2354B" w:rsidRPr="00E54EEA" w:rsidRDefault="00B2354B" w:rsidP="00DD269D">
            <w:pPr>
              <w:spacing w:line="360" w:lineRule="auto"/>
              <w:jc w:val="center"/>
            </w:pPr>
            <w:r w:rsidRPr="00E54EEA">
              <w:t>C</w:t>
            </w:r>
          </w:p>
        </w:tc>
        <w:tc>
          <w:tcPr>
            <w:tcW w:w="2613" w:type="dxa"/>
            <w:tcBorders>
              <w:top w:val="nil"/>
              <w:bottom w:val="single" w:sz="4" w:space="0" w:color="auto"/>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284" w:hanging="284"/>
              <w:rPr>
                <w:b/>
              </w:rPr>
            </w:pPr>
            <w:r w:rsidRPr="00E54EEA">
              <w:rPr>
                <w:b/>
              </w:rPr>
              <w:t>6. How radical should the surgery be in different stages and pathological subtypes of endometrial cancer?</w:t>
            </w:r>
          </w:p>
          <w:p w:rsidR="00B2354B" w:rsidRPr="00E54EEA" w:rsidRDefault="00B2354B" w:rsidP="00DD269D">
            <w:pPr>
              <w:spacing w:line="360" w:lineRule="auto"/>
              <w:ind w:left="426" w:hanging="426"/>
              <w:rPr>
                <w:b/>
              </w:rPr>
            </w:pPr>
            <w:r w:rsidRPr="00E54EEA">
              <w:rPr>
                <w:b/>
              </w:rPr>
              <w:t>Recommendations:</w:t>
            </w:r>
          </w:p>
        </w:tc>
        <w:tc>
          <w:tcPr>
            <w:tcW w:w="1304" w:type="dxa"/>
            <w:tcBorders>
              <w:top w:val="single" w:sz="4" w:space="0" w:color="auto"/>
              <w:bottom w:val="nil"/>
            </w:tcBorders>
          </w:tcPr>
          <w:p w:rsidR="00B2354B" w:rsidRPr="00E54EEA" w:rsidRDefault="00B2354B" w:rsidP="00DD269D">
            <w:pPr>
              <w:spacing w:line="360" w:lineRule="auto"/>
              <w:jc w:val="center"/>
            </w:pPr>
          </w:p>
        </w:tc>
        <w:tc>
          <w:tcPr>
            <w:tcW w:w="1559" w:type="dxa"/>
            <w:tcBorders>
              <w:top w:val="single" w:sz="4" w:space="0" w:color="auto"/>
              <w:bottom w:val="nil"/>
            </w:tcBorders>
          </w:tcPr>
          <w:p w:rsidR="00B2354B" w:rsidRPr="00E54EEA" w:rsidRDefault="00B2354B" w:rsidP="00DD269D">
            <w:pPr>
              <w:spacing w:line="360" w:lineRule="auto"/>
              <w:jc w:val="center"/>
            </w:pPr>
          </w:p>
        </w:tc>
        <w:tc>
          <w:tcPr>
            <w:tcW w:w="2613" w:type="dxa"/>
            <w:tcBorders>
              <w:top w:val="single" w:sz="4" w:space="0" w:color="auto"/>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6.1</w:t>
            </w:r>
            <w:r w:rsidRPr="00E54EEA">
              <w:tab/>
              <w:t xml:space="preserve">Radical hysterectomy is not recommended for the management of stage II endometrial cancer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91.9% (34) yes, 8.1% (3) abstain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6.2</w:t>
            </w:r>
            <w:r w:rsidRPr="00E54EEA">
              <w:tab/>
              <w:t xml:space="preserve">Modified (type B) or type A radical hysterectomy should be considered only if required for obtaining free margins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6.3</w:t>
            </w:r>
            <w:r w:rsidRPr="00E54EEA">
              <w:tab/>
              <w:t>Lymphadenectomy is recommended for clinical or intra</w:t>
            </w:r>
            <w:r w:rsidR="00BD3D1B">
              <w:t>-</w:t>
            </w:r>
            <w:r w:rsidRPr="00E54EEA">
              <w:t>operative stage II endometrial cancer</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97.3% (36) yes, 2.7% (1) abstain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6.4</w:t>
            </w:r>
            <w:r w:rsidRPr="00E54EEA">
              <w:tab/>
              <w:t>Complete macroscopic cytoreduction and comprehensive staging is recommended in advanced endometrial cancer</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6.5</w:t>
            </w:r>
            <w:r w:rsidRPr="00E54EEA">
              <w:tab/>
              <w:t xml:space="preserve">Multimodality management should be considered for the treatment of advanced endometrial cancer when surgery may significantly impair vaginal function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97.3% (36) yes, 2.7% (1) abstain (37 voters)</w:t>
            </w:r>
          </w:p>
        </w:tc>
      </w:tr>
      <w:tr w:rsidR="00B2354B" w:rsidRPr="00E54EEA" w:rsidTr="00DD269D">
        <w:tc>
          <w:tcPr>
            <w:tcW w:w="8472" w:type="dxa"/>
            <w:tcBorders>
              <w:top w:val="nil"/>
              <w:bottom w:val="nil"/>
            </w:tcBorders>
          </w:tcPr>
          <w:p w:rsidR="00B2354B" w:rsidRPr="00E54EEA" w:rsidRDefault="00B2354B" w:rsidP="00BD3D1B">
            <w:pPr>
              <w:spacing w:line="360" w:lineRule="auto"/>
              <w:ind w:left="567" w:hanging="567"/>
            </w:pPr>
            <w:r w:rsidRPr="00E54EEA">
              <w:t>6.6</w:t>
            </w:r>
            <w:r w:rsidRPr="00E54EEA">
              <w:tab/>
              <w:t>In non-</w:t>
            </w:r>
            <w:r w:rsidR="00BD3D1B">
              <w:t>EEC</w:t>
            </w:r>
            <w:r w:rsidRPr="00E54EEA">
              <w:t xml:space="preserve"> (apparent stage I), lymphadenectomy is recommended</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6.7</w:t>
            </w:r>
            <w:r w:rsidRPr="00E54EEA">
              <w:tab/>
              <w:t>Staging omente</w:t>
            </w:r>
            <w:r w:rsidR="00BD3D1B">
              <w:t>ctomy is not mandatory in clear-</w:t>
            </w:r>
            <w:r w:rsidRPr="00E54EEA">
              <w:t xml:space="preserve">cell or undifferentiated endometrial carcinoma and carcinosarcoma </w:t>
            </w:r>
          </w:p>
        </w:tc>
        <w:tc>
          <w:tcPr>
            <w:tcW w:w="1304" w:type="dxa"/>
            <w:tcBorders>
              <w:top w:val="nil"/>
              <w:bottom w:val="nil"/>
            </w:tcBorders>
          </w:tcPr>
          <w:p w:rsidR="00B2354B" w:rsidRPr="00E54EEA" w:rsidRDefault="00523EF0"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tcBorders>
          </w:tcPr>
          <w:p w:rsidR="00B2354B" w:rsidRPr="00E54EEA" w:rsidRDefault="00B2354B" w:rsidP="00DD269D">
            <w:pPr>
              <w:spacing w:line="360" w:lineRule="auto"/>
              <w:ind w:left="567" w:hanging="567"/>
            </w:pPr>
            <w:r w:rsidRPr="00E54EEA">
              <w:t>6.8</w:t>
            </w:r>
            <w:r w:rsidRPr="00E54EEA">
              <w:tab/>
              <w:t xml:space="preserve">Staging omentectomy should be considered in serous carcinoma </w:t>
            </w:r>
          </w:p>
        </w:tc>
        <w:tc>
          <w:tcPr>
            <w:tcW w:w="1304" w:type="dxa"/>
            <w:tcBorders>
              <w:top w:val="nil"/>
            </w:tcBorders>
          </w:tcPr>
          <w:p w:rsidR="00B2354B" w:rsidRPr="00E54EEA" w:rsidRDefault="00523EF0" w:rsidP="00DD269D">
            <w:pPr>
              <w:spacing w:line="360" w:lineRule="auto"/>
              <w:jc w:val="center"/>
            </w:pPr>
            <w:r>
              <w:t>IV</w:t>
            </w:r>
          </w:p>
        </w:tc>
        <w:tc>
          <w:tcPr>
            <w:tcW w:w="1559" w:type="dxa"/>
            <w:tcBorders>
              <w:top w:val="nil"/>
            </w:tcBorders>
          </w:tcPr>
          <w:p w:rsidR="00B2354B" w:rsidRPr="00E54EEA" w:rsidRDefault="00B2354B" w:rsidP="00DD269D">
            <w:pPr>
              <w:spacing w:line="360" w:lineRule="auto"/>
              <w:jc w:val="center"/>
            </w:pPr>
            <w:r w:rsidRPr="00E54EEA">
              <w:t>C</w:t>
            </w:r>
          </w:p>
        </w:tc>
        <w:tc>
          <w:tcPr>
            <w:tcW w:w="2613" w:type="dxa"/>
            <w:tcBorders>
              <w:top w:val="nil"/>
            </w:tcBorders>
          </w:tcPr>
          <w:p w:rsidR="00B2354B" w:rsidRPr="00E54EEA" w:rsidRDefault="00B2354B" w:rsidP="00DD269D">
            <w:pPr>
              <w:spacing w:line="360" w:lineRule="auto"/>
              <w:jc w:val="center"/>
            </w:pPr>
            <w:r w:rsidRPr="00E54EEA">
              <w:t>94.6% (35) yes, 5.4% (2) abstain (37 voters)</w:t>
            </w: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426" w:hanging="426"/>
              <w:rPr>
                <w:b/>
              </w:rPr>
            </w:pPr>
            <w:r w:rsidRPr="00E54EEA">
              <w:rPr>
                <w:b/>
              </w:rPr>
              <w:t>7. What is the current best definition of risk groups for adjuvant therapy?</w:t>
            </w:r>
          </w:p>
          <w:p w:rsidR="00B2354B" w:rsidRPr="00E54EEA" w:rsidRDefault="00B2354B" w:rsidP="00DD269D">
            <w:pPr>
              <w:spacing w:line="360" w:lineRule="auto"/>
              <w:ind w:left="426" w:hanging="426"/>
              <w:rPr>
                <w:b/>
              </w:rPr>
            </w:pPr>
            <w:r w:rsidRPr="00E54EEA">
              <w:rPr>
                <w:b/>
              </w:rPr>
              <w:t>Recommendations:</w:t>
            </w:r>
          </w:p>
        </w:tc>
        <w:tc>
          <w:tcPr>
            <w:tcW w:w="1304" w:type="dxa"/>
            <w:tcBorders>
              <w:top w:val="single" w:sz="4" w:space="0" w:color="auto"/>
              <w:bottom w:val="nil"/>
            </w:tcBorders>
          </w:tcPr>
          <w:p w:rsidR="00B2354B" w:rsidRPr="00E54EEA" w:rsidRDefault="00B2354B" w:rsidP="00DD269D">
            <w:pPr>
              <w:spacing w:line="360" w:lineRule="auto"/>
              <w:jc w:val="center"/>
            </w:pPr>
          </w:p>
        </w:tc>
        <w:tc>
          <w:tcPr>
            <w:tcW w:w="1559" w:type="dxa"/>
            <w:tcBorders>
              <w:top w:val="single" w:sz="4" w:space="0" w:color="auto"/>
              <w:bottom w:val="nil"/>
            </w:tcBorders>
          </w:tcPr>
          <w:p w:rsidR="00B2354B" w:rsidRPr="00E54EEA" w:rsidRDefault="00B2354B" w:rsidP="00DD269D">
            <w:pPr>
              <w:spacing w:line="360" w:lineRule="auto"/>
              <w:jc w:val="center"/>
            </w:pPr>
          </w:p>
        </w:tc>
        <w:tc>
          <w:tcPr>
            <w:tcW w:w="2613" w:type="dxa"/>
            <w:tcBorders>
              <w:top w:val="single" w:sz="4" w:space="0" w:color="auto"/>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426" w:hanging="426"/>
            </w:pPr>
            <w:r w:rsidRPr="00E54EEA">
              <w:rPr>
                <w:b/>
              </w:rPr>
              <w:t>Low:</w:t>
            </w:r>
            <w:r w:rsidRPr="00E54EEA">
              <w:t xml:space="preserve"> Stage I endometrioid, grade 1-2, &lt;50% myometrial invasion, LVSI negative</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426" w:hanging="426"/>
            </w:pPr>
            <w:r w:rsidRPr="00E54EEA">
              <w:rPr>
                <w:b/>
              </w:rPr>
              <w:t>Intermediate:</w:t>
            </w:r>
            <w:r w:rsidRPr="00E54EEA">
              <w:t xml:space="preserve"> Stage I endometrioid, grade 1-2, ≥50% myometrial invasion, LVSI negative </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426" w:hanging="426"/>
              <w:rPr>
                <w:b/>
              </w:rPr>
            </w:pPr>
            <w:r w:rsidRPr="00E54EEA">
              <w:rPr>
                <w:b/>
              </w:rPr>
              <w:t xml:space="preserve">High-intermediate: </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B2354B">
            <w:pPr>
              <w:pStyle w:val="ListParagraph"/>
              <w:numPr>
                <w:ilvl w:val="0"/>
                <w:numId w:val="1"/>
              </w:numPr>
              <w:spacing w:line="360" w:lineRule="auto"/>
              <w:ind w:left="426" w:hanging="426"/>
            </w:pPr>
            <w:r w:rsidRPr="00E54EEA">
              <w:t>Stage I endometrioid, grade 3, &lt;50% myometrial invasion, regardless of LVSI status</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B2354B">
            <w:pPr>
              <w:pStyle w:val="ListParagraph"/>
              <w:numPr>
                <w:ilvl w:val="0"/>
                <w:numId w:val="1"/>
              </w:numPr>
              <w:spacing w:line="360" w:lineRule="auto"/>
              <w:ind w:left="426" w:hanging="426"/>
            </w:pPr>
            <w:r w:rsidRPr="00E54EEA">
              <w:t>Stage I endometrioid, grade 1-2, LVSI unequivocally positive, regardless of depth of invasion</w:t>
            </w:r>
          </w:p>
        </w:tc>
        <w:tc>
          <w:tcPr>
            <w:tcW w:w="1304" w:type="dxa"/>
            <w:tcBorders>
              <w:top w:val="nil"/>
              <w:bottom w:val="nil"/>
            </w:tcBorders>
          </w:tcPr>
          <w:p w:rsidR="00B2354B" w:rsidRPr="00E54EEA" w:rsidRDefault="00523EF0"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426" w:hanging="426"/>
              <w:rPr>
                <w:b/>
              </w:rPr>
            </w:pPr>
            <w:r w:rsidRPr="00E54EEA">
              <w:rPr>
                <w:b/>
              </w:rPr>
              <w:t>High:</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B2354B">
            <w:pPr>
              <w:pStyle w:val="ListParagraph"/>
              <w:numPr>
                <w:ilvl w:val="0"/>
                <w:numId w:val="2"/>
              </w:numPr>
              <w:spacing w:line="360" w:lineRule="auto"/>
              <w:ind w:left="426" w:hanging="426"/>
            </w:pPr>
            <w:r w:rsidRPr="00E54EEA">
              <w:t>Stage I endometrioid, grade 3, ≥50% myometrial invasion, regardless of LVSI status</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B2354B">
            <w:pPr>
              <w:pStyle w:val="ListParagraph"/>
              <w:numPr>
                <w:ilvl w:val="0"/>
                <w:numId w:val="2"/>
              </w:numPr>
              <w:spacing w:line="360" w:lineRule="auto"/>
              <w:ind w:left="426" w:hanging="426"/>
            </w:pPr>
            <w:r w:rsidRPr="00E54EEA">
              <w:t xml:space="preserve">Stage II </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B2354B">
            <w:pPr>
              <w:pStyle w:val="ListParagraph"/>
              <w:numPr>
                <w:ilvl w:val="0"/>
                <w:numId w:val="2"/>
              </w:numPr>
              <w:spacing w:line="360" w:lineRule="auto"/>
              <w:ind w:left="426" w:hanging="426"/>
            </w:pPr>
            <w:r w:rsidRPr="00E54EEA">
              <w:t>Stage III endometrioid, no residual disease</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B2354B">
            <w:pPr>
              <w:pStyle w:val="ListParagraph"/>
              <w:numPr>
                <w:ilvl w:val="0"/>
                <w:numId w:val="2"/>
              </w:numPr>
              <w:spacing w:line="360" w:lineRule="auto"/>
              <w:ind w:left="426" w:hanging="426"/>
            </w:pPr>
            <w:r w:rsidRPr="00E54EEA">
              <w:t>No</w:t>
            </w:r>
            <w:r w:rsidR="00BD3D1B">
              <w:t>n endometrioid (serous or clear-</w:t>
            </w:r>
            <w:r w:rsidRPr="00E54EEA">
              <w:t>cell or undifferentiated carcinoma, or carcinosarcoma)</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rPr>
                <w:b/>
              </w:rPr>
            </w:pPr>
            <w:r w:rsidRPr="00E54EEA">
              <w:rPr>
                <w:b/>
              </w:rPr>
              <w:t xml:space="preserve">Advanced: </w:t>
            </w:r>
            <w:r w:rsidRPr="00E54EEA">
              <w:t>Stage II</w:t>
            </w:r>
            <w:r w:rsidR="00BD3D1B">
              <w:t>I residual disease and stage IVA</w:t>
            </w:r>
            <w:r w:rsidRPr="00E54EEA">
              <w:t xml:space="preserve"> </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tcBorders>
          </w:tcPr>
          <w:p w:rsidR="00B2354B" w:rsidRPr="00E54EEA" w:rsidRDefault="00B2354B" w:rsidP="00DD269D">
            <w:pPr>
              <w:spacing w:line="360" w:lineRule="auto"/>
              <w:ind w:left="426" w:hanging="426"/>
              <w:rPr>
                <w:b/>
              </w:rPr>
            </w:pPr>
            <w:r w:rsidRPr="00E54EEA">
              <w:rPr>
                <w:b/>
              </w:rPr>
              <w:t xml:space="preserve">Metastatic: </w:t>
            </w:r>
            <w:r w:rsidR="00BD3D1B">
              <w:t>Stage IVB</w:t>
            </w:r>
          </w:p>
        </w:tc>
        <w:tc>
          <w:tcPr>
            <w:tcW w:w="1304" w:type="dxa"/>
            <w:tcBorders>
              <w:top w:val="nil"/>
            </w:tcBorders>
          </w:tcPr>
          <w:p w:rsidR="00B2354B" w:rsidRPr="00E54EEA" w:rsidRDefault="00523EF0" w:rsidP="00DD269D">
            <w:pPr>
              <w:spacing w:line="360" w:lineRule="auto"/>
              <w:jc w:val="center"/>
            </w:pPr>
            <w:r>
              <w:t>I</w:t>
            </w:r>
          </w:p>
        </w:tc>
        <w:tc>
          <w:tcPr>
            <w:tcW w:w="1559" w:type="dxa"/>
            <w:tcBorders>
              <w:top w:val="nil"/>
            </w:tcBorders>
          </w:tcPr>
          <w:p w:rsidR="00B2354B" w:rsidRPr="00E54EEA" w:rsidRDefault="00B2354B" w:rsidP="00DD269D">
            <w:pPr>
              <w:spacing w:line="360" w:lineRule="auto"/>
              <w:jc w:val="center"/>
            </w:pPr>
          </w:p>
        </w:tc>
        <w:tc>
          <w:tcPr>
            <w:tcW w:w="2613" w:type="dxa"/>
            <w:tcBorders>
              <w:top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284" w:hanging="284"/>
              <w:rPr>
                <w:b/>
              </w:rPr>
            </w:pPr>
            <w:r w:rsidRPr="00E54EEA">
              <w:rPr>
                <w:b/>
              </w:rPr>
              <w:t>8. What are the best evidence-based adjuvant treatment strategies for patients with low- and intermediate-risk endometrial cancer?</w:t>
            </w:r>
          </w:p>
          <w:p w:rsidR="00B2354B" w:rsidRPr="00E54EEA" w:rsidRDefault="00B2354B" w:rsidP="00DD269D">
            <w:pPr>
              <w:spacing w:line="360" w:lineRule="auto"/>
              <w:ind w:left="426" w:hanging="426"/>
              <w:rPr>
                <w:b/>
                <w:highlight w:val="yellow"/>
              </w:rPr>
            </w:pPr>
            <w:r w:rsidRPr="00E54EEA">
              <w:rPr>
                <w:b/>
              </w:rPr>
              <w:t>Recommendations:</w:t>
            </w:r>
          </w:p>
        </w:tc>
        <w:tc>
          <w:tcPr>
            <w:tcW w:w="1304" w:type="dxa"/>
            <w:tcBorders>
              <w:top w:val="nil"/>
              <w:bottom w:val="nil"/>
            </w:tcBorders>
          </w:tcPr>
          <w:p w:rsidR="00B2354B" w:rsidRPr="00E54EEA" w:rsidRDefault="00B2354B" w:rsidP="00DD269D">
            <w:pPr>
              <w:spacing w:line="360" w:lineRule="auto"/>
              <w:jc w:val="center"/>
              <w:rPr>
                <w:highlight w:val="yellow"/>
              </w:rPr>
            </w:pPr>
          </w:p>
        </w:tc>
        <w:tc>
          <w:tcPr>
            <w:tcW w:w="1559" w:type="dxa"/>
            <w:tcBorders>
              <w:top w:val="nil"/>
              <w:bottom w:val="nil"/>
            </w:tcBorders>
          </w:tcPr>
          <w:p w:rsidR="00B2354B" w:rsidRPr="00E54EEA" w:rsidRDefault="00B2354B" w:rsidP="00DD269D">
            <w:pPr>
              <w:spacing w:line="360" w:lineRule="auto"/>
              <w:jc w:val="center"/>
              <w:rPr>
                <w:highlight w:val="yellow"/>
              </w:rPr>
            </w:pPr>
          </w:p>
        </w:tc>
        <w:tc>
          <w:tcPr>
            <w:tcW w:w="2613" w:type="dxa"/>
            <w:tcBorders>
              <w:top w:val="nil"/>
              <w:bottom w:val="nil"/>
            </w:tcBorders>
          </w:tcPr>
          <w:p w:rsidR="00B2354B" w:rsidRPr="00E54EEA" w:rsidRDefault="00B2354B" w:rsidP="00DD269D">
            <w:pPr>
              <w:spacing w:line="360" w:lineRule="auto"/>
              <w:jc w:val="center"/>
              <w:rPr>
                <w:highlight w:val="yellow"/>
              </w:rPr>
            </w:pPr>
          </w:p>
        </w:tc>
      </w:tr>
      <w:tr w:rsidR="00B2354B" w:rsidRPr="00E54EEA" w:rsidTr="00DD269D">
        <w:tc>
          <w:tcPr>
            <w:tcW w:w="8472" w:type="dxa"/>
            <w:tcBorders>
              <w:top w:val="nil"/>
              <w:bottom w:val="nil"/>
            </w:tcBorders>
          </w:tcPr>
          <w:p w:rsidR="00B2354B" w:rsidRPr="00E54EEA" w:rsidRDefault="00B2354B" w:rsidP="00BD3D1B">
            <w:pPr>
              <w:spacing w:line="360" w:lineRule="auto"/>
              <w:ind w:left="567" w:hanging="567"/>
            </w:pPr>
            <w:r w:rsidRPr="00E54EEA">
              <w:t>8.1</w:t>
            </w:r>
            <w:r w:rsidRPr="00E54EEA">
              <w:tab/>
              <w:t>In patients with low-risk endometrial cancer (</w:t>
            </w:r>
            <w:r w:rsidR="00BD3D1B">
              <w:t>s</w:t>
            </w:r>
            <w:r w:rsidRPr="00E54EEA">
              <w:t>tage I endometrioid, grade 1-2, &lt;50% myometrial invasion, LVSI negative), no adjuvant treatment is recommended</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r w:rsidRPr="00E54EEA">
              <w:t>A</w:t>
            </w: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ind w:left="567" w:hanging="567"/>
            </w:pPr>
            <w:r w:rsidRPr="00E54EEA">
              <w:t>8.2</w:t>
            </w:r>
            <w:r w:rsidRPr="00E54EEA">
              <w:tab/>
              <w:t>In patients with intermediate-risk endometrial cancer (stage I endometrioid, grade 1-2, ≥50% myometrial invasion, LVSI negative):</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ind w:left="567" w:hanging="567"/>
            </w:pPr>
            <w:r w:rsidRPr="00E54EEA">
              <w:tab/>
              <w:t>1: Adjuvant brachytherapy is recommended to decrease vaginal recurrence</w:t>
            </w:r>
          </w:p>
        </w:tc>
        <w:tc>
          <w:tcPr>
            <w:tcW w:w="1304" w:type="dxa"/>
            <w:tcBorders>
              <w:top w:val="nil"/>
              <w:bottom w:val="nil"/>
            </w:tcBorders>
          </w:tcPr>
          <w:p w:rsidR="00B2354B" w:rsidRPr="00E54EEA" w:rsidRDefault="00523EF0"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ind w:left="567" w:hanging="567"/>
            </w:pPr>
          </w:p>
        </w:tc>
      </w:tr>
      <w:tr w:rsidR="00B2354B" w:rsidRPr="00E54EEA" w:rsidTr="00DD269D">
        <w:tc>
          <w:tcPr>
            <w:tcW w:w="8472" w:type="dxa"/>
            <w:tcBorders>
              <w:top w:val="nil"/>
              <w:bottom w:val="nil"/>
            </w:tcBorders>
          </w:tcPr>
          <w:p w:rsidR="00B2354B" w:rsidRPr="00E54EEA" w:rsidRDefault="00B2354B" w:rsidP="00DD269D">
            <w:pPr>
              <w:ind w:left="567" w:hanging="567"/>
            </w:pPr>
            <w:r w:rsidRPr="00E54EEA">
              <w:tab/>
              <w:t>2: No adjuvant treatment is an option, especially for patients aged &lt;60 years</w:t>
            </w:r>
          </w:p>
        </w:tc>
        <w:tc>
          <w:tcPr>
            <w:tcW w:w="1304" w:type="dxa"/>
            <w:tcBorders>
              <w:top w:val="nil"/>
              <w:bottom w:val="nil"/>
            </w:tcBorders>
          </w:tcPr>
          <w:p w:rsidR="00B2354B" w:rsidRPr="00E54EEA" w:rsidRDefault="00523EF0"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shd w:val="clear" w:color="auto" w:fill="auto"/>
          </w:tcPr>
          <w:p w:rsidR="00B2354B" w:rsidRPr="00E54EEA" w:rsidRDefault="00B2354B" w:rsidP="00DD269D">
            <w:pPr>
              <w:spacing w:line="360" w:lineRule="auto"/>
              <w:ind w:left="567" w:hanging="567"/>
            </w:pPr>
            <w:r w:rsidRPr="00E54EEA">
              <w:t>8.3</w:t>
            </w:r>
            <w:r w:rsidRPr="00E54EEA">
              <w:tab/>
              <w:t>In patients with high-intermediate-risk endometrial cancer (stage I endometrioid, grade 3, &lt;50% myometrial invasion, regardless of LVSI status; or stage I endometrioid, grade 1-2, LVSI unequivocally positive, regardless of depth of invasion):</w:t>
            </w:r>
          </w:p>
        </w:tc>
        <w:tc>
          <w:tcPr>
            <w:tcW w:w="1304" w:type="dxa"/>
            <w:tcBorders>
              <w:top w:val="nil"/>
              <w:bottom w:val="nil"/>
            </w:tcBorders>
            <w:shd w:val="clear" w:color="auto" w:fill="auto"/>
          </w:tcPr>
          <w:p w:rsidR="00B2354B" w:rsidRPr="00E54EEA" w:rsidRDefault="00B2354B" w:rsidP="00DD269D">
            <w:pPr>
              <w:spacing w:line="360" w:lineRule="auto"/>
              <w:jc w:val="center"/>
            </w:pPr>
          </w:p>
        </w:tc>
        <w:tc>
          <w:tcPr>
            <w:tcW w:w="1559" w:type="dxa"/>
            <w:tcBorders>
              <w:top w:val="nil"/>
              <w:bottom w:val="nil"/>
            </w:tcBorders>
            <w:shd w:val="clear" w:color="auto" w:fill="auto"/>
          </w:tcPr>
          <w:p w:rsidR="00B2354B" w:rsidRPr="00E54EEA" w:rsidRDefault="00B2354B" w:rsidP="00DD269D">
            <w:pPr>
              <w:spacing w:line="360" w:lineRule="auto"/>
              <w:jc w:val="center"/>
            </w:pPr>
          </w:p>
        </w:tc>
        <w:tc>
          <w:tcPr>
            <w:tcW w:w="2613" w:type="dxa"/>
            <w:tcBorders>
              <w:top w:val="nil"/>
              <w:bottom w:val="nil"/>
            </w:tcBorders>
            <w:shd w:val="clear" w:color="auto" w:fill="auto"/>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1: Surgical nodal staging performed, node negative:</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r>
            <w:r w:rsidRPr="00E54EEA">
              <w:tab/>
              <w:t xml:space="preserve">  A. Adjuvant brachytherapy is recommended to decrease vaginal recurrence</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r>
            <w:r w:rsidRPr="00E54EEA">
              <w:tab/>
              <w:t xml:space="preserve">  B. No adjuvant therapy is an option</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widowControl w:val="0"/>
              <w:spacing w:line="360" w:lineRule="auto"/>
              <w:ind w:left="567" w:hanging="567"/>
            </w:pPr>
            <w:r w:rsidRPr="00E54EEA">
              <w:tab/>
              <w:t>2: No surgical nodal staging:</w:t>
            </w:r>
          </w:p>
        </w:tc>
        <w:tc>
          <w:tcPr>
            <w:tcW w:w="1304" w:type="dxa"/>
            <w:tcBorders>
              <w:top w:val="nil"/>
              <w:bottom w:val="nil"/>
            </w:tcBorders>
          </w:tcPr>
          <w:p w:rsidR="00B2354B" w:rsidRPr="00E54EEA" w:rsidRDefault="00B2354B" w:rsidP="00DD269D">
            <w:pPr>
              <w:widowControl w:val="0"/>
              <w:spacing w:line="360" w:lineRule="auto"/>
              <w:contextualSpacing/>
              <w:jc w:val="center"/>
            </w:pPr>
          </w:p>
        </w:tc>
        <w:tc>
          <w:tcPr>
            <w:tcW w:w="1559" w:type="dxa"/>
            <w:tcBorders>
              <w:top w:val="nil"/>
              <w:bottom w:val="nil"/>
            </w:tcBorders>
          </w:tcPr>
          <w:p w:rsidR="00B2354B" w:rsidRPr="00E54EEA" w:rsidRDefault="00B2354B" w:rsidP="00DD269D">
            <w:pPr>
              <w:widowControl w:val="0"/>
              <w:spacing w:line="360" w:lineRule="auto"/>
              <w:contextualSpacing/>
              <w:jc w:val="center"/>
            </w:pPr>
          </w:p>
        </w:tc>
        <w:tc>
          <w:tcPr>
            <w:tcW w:w="2613" w:type="dxa"/>
            <w:tcBorders>
              <w:top w:val="nil"/>
              <w:bottom w:val="nil"/>
            </w:tcBorders>
          </w:tcPr>
          <w:p w:rsidR="00B2354B" w:rsidRPr="00E54EEA" w:rsidRDefault="00B2354B" w:rsidP="00DD269D">
            <w:pPr>
              <w:widowControl w:val="0"/>
              <w:spacing w:line="360" w:lineRule="auto"/>
              <w:contextualSpacing/>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widowControl w:val="0"/>
              <w:spacing w:line="360" w:lineRule="auto"/>
              <w:ind w:left="851" w:hanging="851"/>
            </w:pPr>
            <w:r w:rsidRPr="00E54EEA">
              <w:tab/>
              <w:t>A. Adjuvant EBRT recommended for LVSI unequivocally positive to decrease pelvic recurrence</w:t>
            </w:r>
          </w:p>
        </w:tc>
        <w:tc>
          <w:tcPr>
            <w:tcW w:w="1304" w:type="dxa"/>
            <w:tcBorders>
              <w:top w:val="nil"/>
              <w:bottom w:val="nil"/>
            </w:tcBorders>
          </w:tcPr>
          <w:p w:rsidR="00B2354B" w:rsidRPr="00E54EEA" w:rsidRDefault="00484A7D" w:rsidP="00DD269D">
            <w:pPr>
              <w:widowControl w:val="0"/>
              <w:spacing w:line="360" w:lineRule="auto"/>
              <w:contextualSpacing/>
              <w:jc w:val="center"/>
            </w:pPr>
            <w:r>
              <w:t>III</w:t>
            </w:r>
          </w:p>
        </w:tc>
        <w:tc>
          <w:tcPr>
            <w:tcW w:w="1559" w:type="dxa"/>
            <w:tcBorders>
              <w:top w:val="nil"/>
              <w:bottom w:val="nil"/>
            </w:tcBorders>
          </w:tcPr>
          <w:p w:rsidR="00B2354B" w:rsidRPr="00E54EEA" w:rsidRDefault="00B2354B" w:rsidP="00DD269D">
            <w:pPr>
              <w:widowControl w:val="0"/>
              <w:spacing w:line="360" w:lineRule="auto"/>
              <w:contextualSpacing/>
              <w:jc w:val="center"/>
            </w:pPr>
            <w:r w:rsidRPr="00E54EEA">
              <w:t>B</w:t>
            </w:r>
          </w:p>
        </w:tc>
        <w:tc>
          <w:tcPr>
            <w:tcW w:w="2613" w:type="dxa"/>
            <w:tcBorders>
              <w:top w:val="nil"/>
              <w:bottom w:val="nil"/>
            </w:tcBorders>
          </w:tcPr>
          <w:p w:rsidR="00B2354B" w:rsidRPr="00E54EEA" w:rsidRDefault="00B2354B" w:rsidP="00DD269D">
            <w:pPr>
              <w:widowControl w:val="0"/>
              <w:spacing w:line="360" w:lineRule="auto"/>
              <w:contextualSpacing/>
              <w:jc w:val="center"/>
            </w:pPr>
          </w:p>
        </w:tc>
      </w:tr>
      <w:tr w:rsidR="00B2354B" w:rsidRPr="00E54EEA" w:rsidTr="00DD269D">
        <w:tc>
          <w:tcPr>
            <w:tcW w:w="8472" w:type="dxa"/>
            <w:tcBorders>
              <w:top w:val="nil"/>
              <w:bottom w:val="nil"/>
            </w:tcBorders>
          </w:tcPr>
          <w:p w:rsidR="00B2354B" w:rsidRPr="00E54EEA" w:rsidRDefault="00B2354B" w:rsidP="00DD269D">
            <w:pPr>
              <w:widowControl w:val="0"/>
              <w:spacing w:line="360" w:lineRule="auto"/>
              <w:ind w:left="851" w:hanging="851"/>
            </w:pPr>
            <w:r w:rsidRPr="00E54EEA">
              <w:tab/>
              <w:t>B. Adjuvant brachytherapy alone is recommended for grade 3 and LVSI negative to decrease vaginal recurrence</w:t>
            </w:r>
          </w:p>
        </w:tc>
        <w:tc>
          <w:tcPr>
            <w:tcW w:w="1304" w:type="dxa"/>
            <w:tcBorders>
              <w:top w:val="nil"/>
              <w:bottom w:val="nil"/>
            </w:tcBorders>
          </w:tcPr>
          <w:p w:rsidR="00B2354B" w:rsidRPr="00E54EEA" w:rsidRDefault="00484A7D" w:rsidP="00DD269D">
            <w:pPr>
              <w:widowControl w:val="0"/>
              <w:spacing w:line="360" w:lineRule="auto"/>
              <w:contextualSpacing/>
              <w:jc w:val="center"/>
            </w:pPr>
            <w:r>
              <w:t>III</w:t>
            </w:r>
          </w:p>
        </w:tc>
        <w:tc>
          <w:tcPr>
            <w:tcW w:w="1559" w:type="dxa"/>
            <w:tcBorders>
              <w:top w:val="nil"/>
              <w:bottom w:val="nil"/>
            </w:tcBorders>
          </w:tcPr>
          <w:p w:rsidR="00B2354B" w:rsidRPr="00E54EEA" w:rsidRDefault="00B2354B" w:rsidP="00DD269D">
            <w:pPr>
              <w:widowControl w:val="0"/>
              <w:spacing w:line="360" w:lineRule="auto"/>
              <w:contextualSpacing/>
              <w:jc w:val="center"/>
            </w:pPr>
            <w:r w:rsidRPr="00E54EEA">
              <w:t>B</w:t>
            </w:r>
          </w:p>
        </w:tc>
        <w:tc>
          <w:tcPr>
            <w:tcW w:w="2613" w:type="dxa"/>
            <w:tcBorders>
              <w:top w:val="nil"/>
              <w:bottom w:val="nil"/>
            </w:tcBorders>
          </w:tcPr>
          <w:p w:rsidR="00B2354B" w:rsidRPr="00E54EEA" w:rsidRDefault="00B2354B" w:rsidP="00DD269D">
            <w:pPr>
              <w:widowControl w:val="0"/>
              <w:spacing w:line="360" w:lineRule="auto"/>
              <w:contextualSpacing/>
              <w:jc w:val="center"/>
            </w:pPr>
          </w:p>
        </w:tc>
      </w:tr>
      <w:tr w:rsidR="00B2354B" w:rsidRPr="00E54EEA" w:rsidTr="00DD269D">
        <w:tc>
          <w:tcPr>
            <w:tcW w:w="8472" w:type="dxa"/>
            <w:tcBorders>
              <w:top w:val="nil"/>
              <w:bottom w:val="single" w:sz="4" w:space="0" w:color="auto"/>
            </w:tcBorders>
          </w:tcPr>
          <w:p w:rsidR="00B2354B" w:rsidRPr="00E54EEA" w:rsidRDefault="00B2354B" w:rsidP="00DD269D">
            <w:pPr>
              <w:spacing w:line="360" w:lineRule="auto"/>
              <w:ind w:left="709" w:hanging="709"/>
            </w:pPr>
            <w:r w:rsidRPr="00E54EEA">
              <w:tab/>
              <w:t xml:space="preserve">3: Systemic therapy is of uncertain benefit; clinical studies are encouraged </w:t>
            </w:r>
          </w:p>
        </w:tc>
        <w:tc>
          <w:tcPr>
            <w:tcW w:w="1304" w:type="dxa"/>
            <w:tcBorders>
              <w:top w:val="nil"/>
              <w:bottom w:val="single" w:sz="4" w:space="0" w:color="auto"/>
            </w:tcBorders>
          </w:tcPr>
          <w:p w:rsidR="00B2354B" w:rsidRPr="00E54EEA" w:rsidRDefault="00484A7D" w:rsidP="00DD269D">
            <w:pPr>
              <w:spacing w:line="360" w:lineRule="auto"/>
              <w:jc w:val="center"/>
            </w:pPr>
            <w:r>
              <w:t>III</w:t>
            </w:r>
          </w:p>
        </w:tc>
        <w:tc>
          <w:tcPr>
            <w:tcW w:w="1559" w:type="dxa"/>
            <w:tcBorders>
              <w:top w:val="nil"/>
              <w:bottom w:val="single" w:sz="4" w:space="0" w:color="auto"/>
            </w:tcBorders>
          </w:tcPr>
          <w:p w:rsidR="00B2354B" w:rsidRPr="00E54EEA" w:rsidRDefault="00B2354B" w:rsidP="00DD269D">
            <w:pPr>
              <w:spacing w:line="360" w:lineRule="auto"/>
              <w:jc w:val="center"/>
            </w:pPr>
            <w:r w:rsidRPr="00E54EEA">
              <w:t>C</w:t>
            </w:r>
          </w:p>
        </w:tc>
        <w:tc>
          <w:tcPr>
            <w:tcW w:w="2613" w:type="dxa"/>
            <w:tcBorders>
              <w:top w:val="nil"/>
              <w:bottom w:val="single" w:sz="4" w:space="0" w:color="auto"/>
            </w:tcBorders>
          </w:tcPr>
          <w:p w:rsidR="00B2354B" w:rsidRPr="00E54EEA" w:rsidRDefault="00B2354B" w:rsidP="00DD269D">
            <w:pPr>
              <w:spacing w:line="360" w:lineRule="auto"/>
              <w:jc w:val="center"/>
            </w:pPr>
            <w:r w:rsidRPr="00E54EEA">
              <w:t>94.6% (35) yes, 5.4% (2) abstain (37 voters)</w:t>
            </w: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284" w:hanging="284"/>
              <w:rPr>
                <w:b/>
              </w:rPr>
            </w:pPr>
            <w:r w:rsidRPr="00E54EEA">
              <w:rPr>
                <w:b/>
              </w:rPr>
              <w:t>9. What are the best evidence-based adjuvant treatment strategies for patients with high-risk endometrial cancer?</w:t>
            </w:r>
          </w:p>
          <w:p w:rsidR="00B2354B" w:rsidRPr="00E54EEA" w:rsidRDefault="00B2354B" w:rsidP="00DD269D">
            <w:pPr>
              <w:spacing w:line="360" w:lineRule="auto"/>
              <w:ind w:left="284" w:hanging="284"/>
            </w:pPr>
            <w:r w:rsidRPr="00E54EEA">
              <w:rPr>
                <w:b/>
              </w:rPr>
              <w:t>Recommendations:</w:t>
            </w:r>
          </w:p>
        </w:tc>
        <w:tc>
          <w:tcPr>
            <w:tcW w:w="1304" w:type="dxa"/>
            <w:tcBorders>
              <w:top w:val="single" w:sz="4" w:space="0" w:color="auto"/>
              <w:bottom w:val="nil"/>
            </w:tcBorders>
          </w:tcPr>
          <w:p w:rsidR="00B2354B" w:rsidRPr="00E54EEA" w:rsidRDefault="00B2354B" w:rsidP="00DD269D">
            <w:pPr>
              <w:spacing w:line="360" w:lineRule="auto"/>
              <w:jc w:val="center"/>
            </w:pPr>
          </w:p>
        </w:tc>
        <w:tc>
          <w:tcPr>
            <w:tcW w:w="1559" w:type="dxa"/>
            <w:tcBorders>
              <w:top w:val="single" w:sz="4" w:space="0" w:color="auto"/>
              <w:bottom w:val="nil"/>
            </w:tcBorders>
          </w:tcPr>
          <w:p w:rsidR="00B2354B" w:rsidRPr="00E54EEA" w:rsidRDefault="00B2354B" w:rsidP="00DD269D">
            <w:pPr>
              <w:spacing w:line="360" w:lineRule="auto"/>
              <w:jc w:val="center"/>
            </w:pPr>
          </w:p>
        </w:tc>
        <w:tc>
          <w:tcPr>
            <w:tcW w:w="2613" w:type="dxa"/>
            <w:tcBorders>
              <w:top w:val="single" w:sz="4" w:space="0" w:color="auto"/>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9.1</w:t>
            </w:r>
            <w:r w:rsidRPr="00E54EEA">
              <w:tab/>
              <w:t>In patients with high-risk endometrial cancer (stage I endometrioid, grade 3, ≥50% myometrial invasion, regardless of LVSI status):</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1: Surgical nodal staging performed, node negative:</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Adjuvant EBRT with limited fields should be considered to decrease locoregional recurrence</w:t>
            </w:r>
          </w:p>
        </w:tc>
        <w:tc>
          <w:tcPr>
            <w:tcW w:w="1304" w:type="dxa"/>
            <w:tcBorders>
              <w:top w:val="nil"/>
              <w:bottom w:val="nil"/>
            </w:tcBorders>
          </w:tcPr>
          <w:p w:rsidR="00B2354B" w:rsidRPr="00E54EEA" w:rsidRDefault="00484A7D"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B. Adjuvant brachytherapy may be considered as an alternative to decrease vaginal recurrence</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C. Adjuvant systemic therapy is under investigation</w:t>
            </w:r>
          </w:p>
        </w:tc>
        <w:tc>
          <w:tcPr>
            <w:tcW w:w="1304" w:type="dxa"/>
            <w:tcBorders>
              <w:top w:val="nil"/>
              <w:bottom w:val="nil"/>
            </w:tcBorders>
          </w:tcPr>
          <w:p w:rsidR="00B2354B" w:rsidRPr="00E54EEA" w:rsidRDefault="00484A7D"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2: No surgical nodal staging:</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Adjuv</w:t>
            </w:r>
            <w:bookmarkStart w:id="0" w:name="_GoBack"/>
            <w:bookmarkEnd w:id="0"/>
            <w:r w:rsidRPr="00E54EEA">
              <w:t>ant EBRT is generally recommended for pelvic control and relapse-free survival</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A21DC1">
            <w:pPr>
              <w:spacing w:line="360" w:lineRule="auto"/>
              <w:ind w:left="851" w:hanging="851"/>
            </w:pPr>
            <w:r w:rsidRPr="00E54EEA">
              <w:tab/>
              <w:t xml:space="preserve">B. Sequential adjuvant chemotherapy may be considered to improve </w:t>
            </w:r>
            <w:r w:rsidR="003F5A47">
              <w:t xml:space="preserve">PFS and </w:t>
            </w:r>
            <w:r w:rsidR="00A21DC1">
              <w:t>CSS</w:t>
            </w:r>
          </w:p>
        </w:tc>
        <w:tc>
          <w:tcPr>
            <w:tcW w:w="1304" w:type="dxa"/>
            <w:tcBorders>
              <w:top w:val="nil"/>
              <w:bottom w:val="nil"/>
            </w:tcBorders>
          </w:tcPr>
          <w:p w:rsidR="00B2354B" w:rsidRPr="00E54EEA" w:rsidRDefault="00484A7D"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C. There is more evidence to support giving chemotherapy and EBRT in combination rather than either treatment modality alone</w:t>
            </w:r>
          </w:p>
        </w:tc>
        <w:tc>
          <w:tcPr>
            <w:tcW w:w="1304" w:type="dxa"/>
            <w:tcBorders>
              <w:top w:val="nil"/>
              <w:bottom w:val="nil"/>
            </w:tcBorders>
          </w:tcPr>
          <w:p w:rsidR="00B2354B" w:rsidRPr="00E54EEA" w:rsidRDefault="00484A7D"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9.2</w:t>
            </w:r>
            <w:r w:rsidRPr="00E54EEA">
              <w:tab/>
              <w:t>In patients with high-risk, stage II endometrial cancer:</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1: Simple hysterectomy, surgical nodal staging performed, node negative:</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97.3% (36) yes, 2.7% (1) abstain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Grade 1-2, LVSI negative: Recommend vaginal brachytherapy to improve local control</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B. Grade 3 or LVSI unequivocally positive:</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1134" w:hanging="1134"/>
            </w:pPr>
            <w:r w:rsidRPr="00E54EEA">
              <w:tab/>
              <w:t>i. Recommend limited field EBRT</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1134" w:hanging="1134"/>
            </w:pPr>
            <w:r w:rsidRPr="00E54EEA">
              <w:tab/>
              <w:t>ii. Consider brachytherapy boost</w:t>
            </w:r>
          </w:p>
        </w:tc>
        <w:tc>
          <w:tcPr>
            <w:tcW w:w="1304" w:type="dxa"/>
            <w:tcBorders>
              <w:top w:val="nil"/>
              <w:bottom w:val="nil"/>
            </w:tcBorders>
          </w:tcPr>
          <w:p w:rsidR="00B2354B" w:rsidRPr="00E54EEA" w:rsidRDefault="00484A7D"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1134" w:hanging="1134"/>
            </w:pPr>
            <w:r w:rsidRPr="00E54EEA">
              <w:tab/>
              <w:t>iii. Chemotherapy is under investigation</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2: Simple hysterectomy, no surgical nodal staging:</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EBRT is recommended</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B. Consider brachytherapy boost</w:t>
            </w:r>
          </w:p>
        </w:tc>
        <w:tc>
          <w:tcPr>
            <w:tcW w:w="1304" w:type="dxa"/>
            <w:tcBorders>
              <w:top w:val="nil"/>
              <w:bottom w:val="nil"/>
            </w:tcBorders>
          </w:tcPr>
          <w:p w:rsidR="00B2354B" w:rsidRPr="00E54EEA" w:rsidRDefault="00484A7D"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C. Grade 3 or LVSI unequivocally positive: Sequential adjuvant chemotherapy should be considered</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9.3</w:t>
            </w:r>
            <w:r w:rsidRPr="00E54EEA">
              <w:tab/>
              <w:t>In patients with high-risk, stage III endometrial cancer and no residual disease:</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94.6% (35) yes, 5.4% (2) abstain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r>
            <w:r>
              <w:t>1</w:t>
            </w:r>
            <w:r w:rsidRPr="00E54EEA">
              <w:t>: EBRT is recommended to:</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Decrease pelvic recurrence</w:t>
            </w:r>
          </w:p>
        </w:tc>
        <w:tc>
          <w:tcPr>
            <w:tcW w:w="1304" w:type="dxa"/>
            <w:tcBorders>
              <w:top w:val="nil"/>
              <w:bottom w:val="nil"/>
            </w:tcBorders>
          </w:tcPr>
          <w:p w:rsidR="00B2354B" w:rsidRPr="00E54EEA" w:rsidRDefault="00484A7D"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B. Improve PFS</w:t>
            </w:r>
          </w:p>
        </w:tc>
        <w:tc>
          <w:tcPr>
            <w:tcW w:w="1304" w:type="dxa"/>
            <w:tcBorders>
              <w:top w:val="nil"/>
              <w:bottom w:val="nil"/>
            </w:tcBorders>
          </w:tcPr>
          <w:p w:rsidR="00B2354B" w:rsidRPr="00E54EEA" w:rsidRDefault="00484A7D" w:rsidP="00DD269D">
            <w:pPr>
              <w:spacing w:line="360" w:lineRule="auto"/>
              <w:jc w:val="center"/>
            </w:pPr>
            <w:r>
              <w:t>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C. Improve survival</w:t>
            </w:r>
          </w:p>
        </w:tc>
        <w:tc>
          <w:tcPr>
            <w:tcW w:w="1304" w:type="dxa"/>
            <w:tcBorders>
              <w:top w:val="nil"/>
              <w:bottom w:val="nil"/>
            </w:tcBorders>
          </w:tcPr>
          <w:p w:rsidR="00B2354B" w:rsidRPr="00E54EEA" w:rsidRDefault="00484A7D"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r>
            <w:r>
              <w:t>2</w:t>
            </w:r>
            <w:r w:rsidRPr="00E54EEA">
              <w:t>: Chemotherapy is recommended to improve PFS and CSS</w:t>
            </w:r>
          </w:p>
        </w:tc>
        <w:tc>
          <w:tcPr>
            <w:tcW w:w="1304" w:type="dxa"/>
            <w:tcBorders>
              <w:top w:val="nil"/>
              <w:bottom w:val="nil"/>
            </w:tcBorders>
          </w:tcPr>
          <w:p w:rsidR="00B2354B" w:rsidRPr="00E54EEA" w:rsidRDefault="00484A7D"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3: There is more evidence to give chemotherapy and EBRT in combination than either alone in stage III disease:</w:t>
            </w:r>
          </w:p>
        </w:tc>
        <w:tc>
          <w:tcPr>
            <w:tcW w:w="1304" w:type="dxa"/>
            <w:tcBorders>
              <w:top w:val="nil"/>
              <w:bottom w:val="nil"/>
            </w:tcBorders>
          </w:tcPr>
          <w:p w:rsidR="00B2354B" w:rsidRPr="00E54EEA" w:rsidRDefault="00484A7D"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IIIA: Chemotherapy AND EBRT to be considered</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B. IIIB: Chemotherapy AND EBRT to be considered</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C. IIIC1: Chemotherapy AND EBRT to be considered</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D. IIIC2: Chemotherapy AND extended field EBRT to be considered</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9.4</w:t>
            </w:r>
            <w:r w:rsidRPr="00E54EEA">
              <w:tab/>
            </w:r>
            <w:r w:rsidR="00A21DC1">
              <w:t>In patients with high-risk, non-</w:t>
            </w:r>
            <w:r w:rsidRPr="00E54EEA">
              <w:t>endometrioid cancers:</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1: Serous and clear cell after comprehensive staging:</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Consider chemotherapy; clinical trials are encouraged</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B. Stage IA, LVSI negative: Consider vaginal brachytherapy only without chemotherapy</w:t>
            </w:r>
          </w:p>
        </w:tc>
        <w:tc>
          <w:tcPr>
            <w:tcW w:w="1304" w:type="dxa"/>
            <w:tcBorders>
              <w:top w:val="nil"/>
              <w:bottom w:val="nil"/>
            </w:tcBorders>
          </w:tcPr>
          <w:p w:rsidR="00B2354B" w:rsidRPr="00E54EEA" w:rsidRDefault="00484A7D" w:rsidP="00DD269D">
            <w:pPr>
              <w:spacing w:line="360" w:lineRule="auto"/>
              <w:jc w:val="center"/>
            </w:pPr>
            <w:r>
              <w:t>IV</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C. Stage ≥IB: EBRT may be considered in addition to chemotherapy, especially for node</w:t>
            </w:r>
            <w:r w:rsidR="00FD0BA3">
              <w:t>-</w:t>
            </w:r>
            <w:r w:rsidRPr="00E54EEA">
              <w:t>positive disease</w:t>
            </w:r>
          </w:p>
        </w:tc>
        <w:tc>
          <w:tcPr>
            <w:tcW w:w="1304" w:type="dxa"/>
            <w:tcBorders>
              <w:top w:val="nil"/>
              <w:bottom w:val="nil"/>
            </w:tcBorders>
          </w:tcPr>
          <w:p w:rsidR="00B2354B" w:rsidRPr="00E54EEA" w:rsidRDefault="00484A7D" w:rsidP="00DD269D">
            <w:pPr>
              <w:spacing w:line="360" w:lineRule="auto"/>
              <w:jc w:val="center"/>
            </w:pPr>
            <w:r>
              <w:t>III</w:t>
            </w:r>
          </w:p>
        </w:tc>
        <w:tc>
          <w:tcPr>
            <w:tcW w:w="1559" w:type="dxa"/>
            <w:tcBorders>
              <w:top w:val="nil"/>
              <w:bottom w:val="nil"/>
            </w:tcBorders>
          </w:tcPr>
          <w:p w:rsidR="00B2354B" w:rsidRPr="00E54EEA" w:rsidRDefault="00B2354B" w:rsidP="00DD269D">
            <w:pPr>
              <w:spacing w:line="360" w:lineRule="auto"/>
              <w:jc w:val="center"/>
            </w:pPr>
            <w:r w:rsidRPr="00E54EEA">
              <w:t>C</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ab/>
              <w:t>2: Carcinosarcoma and undifferentiated tumours:</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r w:rsidRPr="00E54EEA">
              <w:t>94.6% (35) yes, 5.4% (2) abstain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851" w:hanging="851"/>
            </w:pPr>
            <w:r w:rsidRPr="00E54EEA">
              <w:tab/>
              <w:t>A. Chemotherapy is recommended</w:t>
            </w:r>
          </w:p>
        </w:tc>
        <w:tc>
          <w:tcPr>
            <w:tcW w:w="1304" w:type="dxa"/>
            <w:tcBorders>
              <w:top w:val="nil"/>
              <w:bottom w:val="nil"/>
            </w:tcBorders>
          </w:tcPr>
          <w:p w:rsidR="00B2354B" w:rsidRPr="00E54EEA" w:rsidRDefault="00484A7D" w:rsidP="00DD269D">
            <w:pPr>
              <w:spacing w:line="360" w:lineRule="auto"/>
              <w:jc w:val="center"/>
            </w:pPr>
            <w:r>
              <w:t>II</w:t>
            </w:r>
          </w:p>
        </w:tc>
        <w:tc>
          <w:tcPr>
            <w:tcW w:w="1559" w:type="dxa"/>
            <w:tcBorders>
              <w:top w:val="nil"/>
              <w:bottom w:val="nil"/>
            </w:tcBorders>
          </w:tcPr>
          <w:p w:rsidR="00B2354B" w:rsidRPr="00E54EEA" w:rsidRDefault="00B2354B" w:rsidP="00DD269D">
            <w:pPr>
              <w:spacing w:line="360" w:lineRule="auto"/>
              <w:jc w:val="center"/>
            </w:pPr>
            <w:r w:rsidRPr="00E54EEA">
              <w:t>B</w:t>
            </w: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single" w:sz="4" w:space="0" w:color="auto"/>
            </w:tcBorders>
          </w:tcPr>
          <w:p w:rsidR="00B2354B" w:rsidRPr="00E54EEA" w:rsidRDefault="00B2354B" w:rsidP="00DD269D">
            <w:pPr>
              <w:spacing w:line="360" w:lineRule="auto"/>
              <w:ind w:left="851" w:hanging="851"/>
            </w:pPr>
            <w:r w:rsidRPr="00E54EEA">
              <w:tab/>
              <w:t>B. Consider EBRT; clinical trials are encouraged</w:t>
            </w:r>
          </w:p>
        </w:tc>
        <w:tc>
          <w:tcPr>
            <w:tcW w:w="1304" w:type="dxa"/>
            <w:tcBorders>
              <w:top w:val="nil"/>
              <w:bottom w:val="single" w:sz="4" w:space="0" w:color="auto"/>
            </w:tcBorders>
          </w:tcPr>
          <w:p w:rsidR="00B2354B" w:rsidRPr="00E54EEA" w:rsidRDefault="00484A7D" w:rsidP="00DD269D">
            <w:pPr>
              <w:spacing w:line="360" w:lineRule="auto"/>
              <w:jc w:val="center"/>
            </w:pPr>
            <w:r>
              <w:t>III</w:t>
            </w:r>
          </w:p>
        </w:tc>
        <w:tc>
          <w:tcPr>
            <w:tcW w:w="1559" w:type="dxa"/>
            <w:tcBorders>
              <w:top w:val="nil"/>
              <w:bottom w:val="single" w:sz="4" w:space="0" w:color="auto"/>
            </w:tcBorders>
          </w:tcPr>
          <w:p w:rsidR="00B2354B" w:rsidRPr="00E54EEA" w:rsidRDefault="00B2354B" w:rsidP="00DD269D">
            <w:pPr>
              <w:spacing w:line="360" w:lineRule="auto"/>
              <w:jc w:val="center"/>
            </w:pPr>
            <w:r w:rsidRPr="00E54EEA">
              <w:t>C</w:t>
            </w:r>
          </w:p>
        </w:tc>
        <w:tc>
          <w:tcPr>
            <w:tcW w:w="2613" w:type="dxa"/>
            <w:tcBorders>
              <w:top w:val="nil"/>
              <w:bottom w:val="single" w:sz="4" w:space="0" w:color="auto"/>
            </w:tcBorders>
          </w:tcPr>
          <w:p w:rsidR="00B2354B" w:rsidRPr="00E54EEA" w:rsidRDefault="00B2354B" w:rsidP="00DD269D">
            <w:pPr>
              <w:spacing w:line="360" w:lineRule="auto"/>
              <w:jc w:val="center"/>
            </w:pP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567" w:hanging="567"/>
              <w:rPr>
                <w:b/>
              </w:rPr>
            </w:pPr>
            <w:r w:rsidRPr="00E54EEA">
              <w:rPr>
                <w:b/>
              </w:rPr>
              <w:t>10.</w:t>
            </w:r>
            <w:r w:rsidRPr="00E54EEA">
              <w:rPr>
                <w:b/>
              </w:rPr>
              <w:tab/>
              <w:t xml:space="preserve">Does surgery or </w:t>
            </w:r>
            <w:r w:rsidR="00A21DC1">
              <w:rPr>
                <w:b/>
              </w:rPr>
              <w:t>RT</w:t>
            </w:r>
            <w:r w:rsidRPr="00E54EEA">
              <w:rPr>
                <w:b/>
              </w:rPr>
              <w:t xml:space="preserve"> have a role in advanced or recurrent endometrial cancer?</w:t>
            </w:r>
          </w:p>
          <w:p w:rsidR="00B2354B" w:rsidRPr="00E54EEA" w:rsidRDefault="00B2354B" w:rsidP="00DD269D">
            <w:pPr>
              <w:spacing w:line="360" w:lineRule="auto"/>
              <w:ind w:left="567" w:hanging="567"/>
              <w:rPr>
                <w:b/>
              </w:rPr>
            </w:pPr>
            <w:r w:rsidRPr="00E54EEA">
              <w:rPr>
                <w:b/>
              </w:rPr>
              <w:t>Recommendations:</w:t>
            </w:r>
          </w:p>
        </w:tc>
        <w:tc>
          <w:tcPr>
            <w:tcW w:w="1304" w:type="dxa"/>
            <w:tcBorders>
              <w:top w:val="single" w:sz="4" w:space="0" w:color="auto"/>
              <w:bottom w:val="nil"/>
            </w:tcBorders>
          </w:tcPr>
          <w:p w:rsidR="00B2354B" w:rsidRPr="00E54EEA" w:rsidRDefault="00B2354B" w:rsidP="00DD269D">
            <w:pPr>
              <w:spacing w:line="360" w:lineRule="auto"/>
              <w:jc w:val="center"/>
              <w:rPr>
                <w:b/>
              </w:rPr>
            </w:pPr>
          </w:p>
        </w:tc>
        <w:tc>
          <w:tcPr>
            <w:tcW w:w="1559" w:type="dxa"/>
            <w:tcBorders>
              <w:top w:val="single" w:sz="4" w:space="0" w:color="auto"/>
              <w:bottom w:val="nil"/>
            </w:tcBorders>
          </w:tcPr>
          <w:p w:rsidR="00B2354B" w:rsidRPr="00E54EEA" w:rsidRDefault="00B2354B" w:rsidP="00DD269D">
            <w:pPr>
              <w:spacing w:line="360" w:lineRule="auto"/>
              <w:jc w:val="center"/>
              <w:rPr>
                <w:b/>
              </w:rPr>
            </w:pPr>
          </w:p>
        </w:tc>
        <w:tc>
          <w:tcPr>
            <w:tcW w:w="2613" w:type="dxa"/>
            <w:tcBorders>
              <w:top w:val="single" w:sz="4" w:space="0" w:color="auto"/>
              <w:bottom w:val="nil"/>
            </w:tcBorders>
          </w:tcPr>
          <w:p w:rsidR="00B2354B" w:rsidRPr="00E54EEA" w:rsidRDefault="00B2354B" w:rsidP="00DD269D">
            <w:pPr>
              <w:spacing w:line="360" w:lineRule="auto"/>
              <w:jc w:val="center"/>
              <w:rPr>
                <w:b/>
              </w:rPr>
            </w:pPr>
          </w:p>
        </w:tc>
      </w:tr>
      <w:tr w:rsidR="00B2354B" w:rsidRPr="00E54EEA" w:rsidTr="00DD269D">
        <w:tc>
          <w:tcPr>
            <w:tcW w:w="8472" w:type="dxa"/>
            <w:tcBorders>
              <w:top w:val="nil"/>
              <w:bottom w:val="nil"/>
            </w:tcBorders>
            <w:shd w:val="clear" w:color="auto" w:fill="auto"/>
          </w:tcPr>
          <w:p w:rsidR="00B2354B" w:rsidRPr="00E54EEA" w:rsidRDefault="00B2354B" w:rsidP="00DD269D">
            <w:pPr>
              <w:spacing w:line="360" w:lineRule="auto"/>
              <w:ind w:left="567" w:hanging="567"/>
            </w:pPr>
            <w:r w:rsidRPr="00E54EEA">
              <w:t>10.1</w:t>
            </w:r>
            <w:r w:rsidRPr="00E54EEA">
              <w:tab/>
              <w:t>For patients with advanced or recurrent disease, surgery is recommended only if optimal cytoreduction (no residual disease) can be achieved. In selected cases, palliative surgery is recommended to alleviate specific symptoms</w:t>
            </w:r>
          </w:p>
        </w:tc>
        <w:tc>
          <w:tcPr>
            <w:tcW w:w="1304" w:type="dxa"/>
            <w:tcBorders>
              <w:top w:val="nil"/>
              <w:bottom w:val="nil"/>
            </w:tcBorders>
            <w:shd w:val="clear" w:color="auto" w:fill="auto"/>
          </w:tcPr>
          <w:p w:rsidR="00B2354B" w:rsidRPr="00E54EEA" w:rsidRDefault="00484A7D" w:rsidP="00DD269D">
            <w:pPr>
              <w:spacing w:line="360" w:lineRule="auto"/>
              <w:jc w:val="center"/>
            </w:pPr>
            <w:r>
              <w:t>IV</w:t>
            </w:r>
          </w:p>
        </w:tc>
        <w:tc>
          <w:tcPr>
            <w:tcW w:w="1559" w:type="dxa"/>
            <w:tcBorders>
              <w:top w:val="nil"/>
              <w:bottom w:val="nil"/>
            </w:tcBorders>
            <w:shd w:val="clear" w:color="auto" w:fill="auto"/>
          </w:tcPr>
          <w:p w:rsidR="00B2354B" w:rsidRPr="00E54EEA" w:rsidRDefault="00B2354B" w:rsidP="00DD269D">
            <w:pPr>
              <w:spacing w:line="360" w:lineRule="auto"/>
              <w:jc w:val="center"/>
            </w:pPr>
            <w:r w:rsidRPr="00E54EEA">
              <w:t>C</w:t>
            </w:r>
          </w:p>
        </w:tc>
        <w:tc>
          <w:tcPr>
            <w:tcW w:w="2613" w:type="dxa"/>
            <w:tcBorders>
              <w:top w:val="nil"/>
              <w:bottom w:val="nil"/>
            </w:tcBorders>
            <w:shd w:val="clear" w:color="auto" w:fill="auto"/>
          </w:tcPr>
          <w:p w:rsidR="00B2354B" w:rsidRPr="00E54EEA" w:rsidRDefault="00B2354B" w:rsidP="00DD269D">
            <w:pPr>
              <w:spacing w:line="360" w:lineRule="auto"/>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10.2</w:t>
            </w:r>
            <w:r w:rsidRPr="00E54EEA">
              <w:tab/>
              <w:t xml:space="preserve">Exenteration can be considered in selected patients with locally advanced tumours, and for isolated central local relapse after radiation, if clear margins are expected </w:t>
            </w:r>
          </w:p>
        </w:tc>
        <w:tc>
          <w:tcPr>
            <w:tcW w:w="1304" w:type="dxa"/>
            <w:tcBorders>
              <w:top w:val="nil"/>
              <w:bottom w:val="nil"/>
            </w:tcBorders>
          </w:tcPr>
          <w:p w:rsidR="00B2354B" w:rsidRPr="00E54EEA" w:rsidRDefault="00484A7D" w:rsidP="00DD269D">
            <w:pPr>
              <w:spacing w:line="360" w:lineRule="auto"/>
              <w:ind w:left="567" w:hanging="567"/>
              <w:jc w:val="center"/>
            </w:pPr>
            <w:r>
              <w:t>IV</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(37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10.3</w:t>
            </w:r>
            <w:r w:rsidRPr="00E54EEA">
              <w:tab/>
              <w:t>Complete resection of distant oligometastases and pelvic or retroperitoneal lymph node relapse can be considered if technical</w:t>
            </w:r>
            <w:r w:rsidR="00EE3F7E">
              <w:t>ly possible according to localis</w:t>
            </w:r>
            <w:r w:rsidRPr="00E54EEA">
              <w:t>ation of disease</w:t>
            </w:r>
          </w:p>
        </w:tc>
        <w:tc>
          <w:tcPr>
            <w:tcW w:w="1304" w:type="dxa"/>
            <w:tcBorders>
              <w:top w:val="nil"/>
              <w:bottom w:val="nil"/>
            </w:tcBorders>
          </w:tcPr>
          <w:p w:rsidR="00B2354B" w:rsidRPr="00E54EEA" w:rsidRDefault="00484A7D" w:rsidP="00DD269D">
            <w:pPr>
              <w:spacing w:line="360" w:lineRule="auto"/>
              <w:ind w:left="567" w:hanging="567"/>
              <w:jc w:val="center"/>
            </w:pPr>
            <w:r>
              <w:t>V</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(37 voters)</w:t>
            </w:r>
          </w:p>
        </w:tc>
      </w:tr>
      <w:tr w:rsidR="00B2354B" w:rsidRPr="00E54EEA" w:rsidTr="00A21DC1">
        <w:tc>
          <w:tcPr>
            <w:tcW w:w="8472" w:type="dxa"/>
            <w:tcBorders>
              <w:top w:val="nil"/>
              <w:bottom w:val="nil"/>
            </w:tcBorders>
          </w:tcPr>
          <w:p w:rsidR="00B2354B" w:rsidRPr="00E54EEA" w:rsidRDefault="00B2354B" w:rsidP="00DD269D">
            <w:pPr>
              <w:spacing w:line="360" w:lineRule="auto"/>
              <w:ind w:left="567" w:hanging="567"/>
            </w:pPr>
            <w:r w:rsidRPr="00E54EEA">
              <w:t>10.4</w:t>
            </w:r>
            <w:r w:rsidRPr="00E54EEA">
              <w:tab/>
              <w:t>Histological type should not influence the decision whether or not to proceed with surgery</w:t>
            </w:r>
          </w:p>
        </w:tc>
        <w:tc>
          <w:tcPr>
            <w:tcW w:w="1304" w:type="dxa"/>
            <w:tcBorders>
              <w:top w:val="nil"/>
              <w:bottom w:val="nil"/>
            </w:tcBorders>
          </w:tcPr>
          <w:p w:rsidR="00B2354B" w:rsidRPr="00E54EEA" w:rsidRDefault="00484A7D" w:rsidP="00DD269D">
            <w:pPr>
              <w:spacing w:line="360" w:lineRule="auto"/>
              <w:ind w:left="567" w:hanging="567"/>
              <w:jc w:val="center"/>
            </w:pPr>
            <w:r>
              <w:t>IV</w:t>
            </w:r>
          </w:p>
        </w:tc>
        <w:tc>
          <w:tcPr>
            <w:tcW w:w="1559" w:type="dxa"/>
            <w:tcBorders>
              <w:top w:val="nil"/>
              <w:bottom w:val="nil"/>
            </w:tcBorders>
          </w:tcPr>
          <w:p w:rsidR="00B2354B" w:rsidRPr="00E54EEA" w:rsidRDefault="00B2354B" w:rsidP="00DD269D">
            <w:pPr>
              <w:spacing w:line="360" w:lineRule="auto"/>
              <w:ind w:left="567" w:hanging="567"/>
              <w:jc w:val="center"/>
            </w:pPr>
            <w:r w:rsidRPr="00E54EEA">
              <w:t>B</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(37 voters)</w:t>
            </w:r>
          </w:p>
        </w:tc>
      </w:tr>
      <w:tr w:rsidR="00B2354B" w:rsidRPr="00E54EEA" w:rsidTr="00A21DC1">
        <w:tc>
          <w:tcPr>
            <w:tcW w:w="8472" w:type="dxa"/>
            <w:tcBorders>
              <w:top w:val="nil"/>
              <w:bottom w:val="nil"/>
            </w:tcBorders>
          </w:tcPr>
          <w:p w:rsidR="00B2354B" w:rsidRPr="00E54EEA" w:rsidRDefault="00B2354B" w:rsidP="00A21DC1">
            <w:pPr>
              <w:spacing w:line="360" w:lineRule="auto"/>
              <w:ind w:left="567" w:hanging="567"/>
            </w:pPr>
            <w:r w:rsidRPr="00E54EEA">
              <w:t>10.5</w:t>
            </w:r>
            <w:r w:rsidRPr="00E54EEA">
              <w:tab/>
            </w:r>
            <w:r w:rsidR="00A21DC1">
              <w:t>RT</w:t>
            </w:r>
            <w:r w:rsidRPr="00E54EEA">
              <w:t xml:space="preserve"> with curative intent is indicated in patients with isolated vaginal relapse after surgery </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A21DC1">
        <w:tc>
          <w:tcPr>
            <w:tcW w:w="8472" w:type="dxa"/>
            <w:tcBorders>
              <w:top w:val="nil"/>
              <w:bottom w:val="nil"/>
            </w:tcBorders>
          </w:tcPr>
          <w:p w:rsidR="00B2354B" w:rsidRPr="00E54EEA" w:rsidRDefault="00B2354B" w:rsidP="00A21DC1">
            <w:pPr>
              <w:spacing w:line="360" w:lineRule="auto"/>
              <w:ind w:left="567" w:hanging="567"/>
            </w:pPr>
            <w:r w:rsidRPr="00E54EEA">
              <w:t>10.6</w:t>
            </w:r>
            <w:r w:rsidRPr="00E54EEA">
              <w:tab/>
              <w:t xml:space="preserve">For vaginal or pelvic node recurrence, chemotherapy with </w:t>
            </w:r>
            <w:r w:rsidR="00A21DC1">
              <w:t>RT</w:t>
            </w:r>
            <w:r w:rsidRPr="00E54EEA">
              <w:t xml:space="preserve"> could be considered in patients with high</w:t>
            </w:r>
            <w:r>
              <w:t>-</w:t>
            </w:r>
            <w:r w:rsidRPr="00E54EEA">
              <w:t xml:space="preserve">risk features for systemic relapse </w:t>
            </w:r>
          </w:p>
        </w:tc>
        <w:tc>
          <w:tcPr>
            <w:tcW w:w="1304" w:type="dxa"/>
            <w:tcBorders>
              <w:top w:val="nil"/>
              <w:bottom w:val="nil"/>
            </w:tcBorders>
          </w:tcPr>
          <w:p w:rsidR="00B2354B" w:rsidRPr="00E54EEA" w:rsidRDefault="00484A7D" w:rsidP="00DD269D">
            <w:pPr>
              <w:spacing w:line="360" w:lineRule="auto"/>
              <w:ind w:left="567" w:hanging="567"/>
              <w:jc w:val="center"/>
            </w:pPr>
            <w:r>
              <w:t>IV</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97.1% (33) yes, 2.9% (1) abstain (34 voters)</w:t>
            </w:r>
          </w:p>
        </w:tc>
      </w:tr>
      <w:tr w:rsidR="00B2354B" w:rsidRPr="00E54EEA" w:rsidTr="00DD269D">
        <w:tc>
          <w:tcPr>
            <w:tcW w:w="8472" w:type="dxa"/>
            <w:tcBorders>
              <w:top w:val="nil"/>
              <w:bottom w:val="nil"/>
            </w:tcBorders>
          </w:tcPr>
          <w:p w:rsidR="00B2354B" w:rsidRPr="00E54EEA" w:rsidRDefault="00B2354B" w:rsidP="00A21DC1">
            <w:pPr>
              <w:spacing w:line="360" w:lineRule="auto"/>
              <w:ind w:left="567" w:hanging="567"/>
            </w:pPr>
            <w:r w:rsidRPr="00E54EEA">
              <w:t>10.7</w:t>
            </w:r>
            <w:r w:rsidRPr="00E54EEA">
              <w:tab/>
              <w:t xml:space="preserve">Use of systemic therapy or surgery </w:t>
            </w:r>
            <w:r w:rsidR="00A21DC1">
              <w:t>before RT</w:t>
            </w:r>
            <w:r w:rsidRPr="00E54EEA">
              <w:t xml:space="preserve"> for vaginal or pelvic node recurrence could be considered in certain patients</w:t>
            </w:r>
          </w:p>
        </w:tc>
        <w:tc>
          <w:tcPr>
            <w:tcW w:w="1304" w:type="dxa"/>
            <w:tcBorders>
              <w:top w:val="nil"/>
              <w:bottom w:val="nil"/>
            </w:tcBorders>
          </w:tcPr>
          <w:p w:rsidR="00B2354B" w:rsidRPr="00E54EEA" w:rsidRDefault="00484A7D" w:rsidP="00DD269D">
            <w:pPr>
              <w:spacing w:line="360" w:lineRule="auto"/>
              <w:ind w:left="567" w:hanging="567"/>
              <w:jc w:val="center"/>
            </w:pPr>
            <w:r>
              <w:t>V</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10.8</w:t>
            </w:r>
            <w:r w:rsidRPr="00E54EEA">
              <w:tab/>
              <w:t>Re-irradiation could be considered in highly s</w:t>
            </w:r>
            <w:r>
              <w:t>elected patients using specialis</w:t>
            </w:r>
            <w:r w:rsidRPr="00E54EEA">
              <w:t>ed techniques</w:t>
            </w:r>
          </w:p>
        </w:tc>
        <w:tc>
          <w:tcPr>
            <w:tcW w:w="1304" w:type="dxa"/>
            <w:tcBorders>
              <w:top w:val="nil"/>
              <w:bottom w:val="nil"/>
            </w:tcBorders>
          </w:tcPr>
          <w:p w:rsidR="00B2354B" w:rsidRPr="00E54EEA" w:rsidRDefault="00484A7D" w:rsidP="00DD269D">
            <w:pPr>
              <w:spacing w:line="360" w:lineRule="auto"/>
              <w:ind w:left="567" w:hanging="567"/>
              <w:jc w:val="center"/>
            </w:pPr>
            <w:r>
              <w:t>V</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A21DC1">
            <w:pPr>
              <w:spacing w:line="360" w:lineRule="auto"/>
              <w:ind w:left="567" w:hanging="567"/>
            </w:pPr>
            <w:r w:rsidRPr="00E54EEA">
              <w:t>10.9</w:t>
            </w:r>
            <w:r w:rsidRPr="00E54EEA">
              <w:tab/>
            </w:r>
            <w:r w:rsidR="00A21DC1">
              <w:t>RT</w:t>
            </w:r>
            <w:r w:rsidRPr="00E54EEA">
              <w:t xml:space="preserve"> is indicated for palliation of symptoms related to local recurrence or systemic disease</w:t>
            </w:r>
          </w:p>
        </w:tc>
        <w:tc>
          <w:tcPr>
            <w:tcW w:w="1304" w:type="dxa"/>
            <w:tcBorders>
              <w:top w:val="nil"/>
              <w:bottom w:val="nil"/>
            </w:tcBorders>
          </w:tcPr>
          <w:p w:rsidR="00B2354B" w:rsidRPr="00E54EEA" w:rsidRDefault="00484A7D" w:rsidP="00DD269D">
            <w:pPr>
              <w:spacing w:line="360" w:lineRule="auto"/>
              <w:ind w:left="567" w:hanging="567"/>
              <w:jc w:val="center"/>
            </w:pPr>
            <w:r>
              <w:t>IV</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tcBorders>
          </w:tcPr>
          <w:p w:rsidR="00B2354B" w:rsidRPr="00E54EEA" w:rsidRDefault="00B2354B" w:rsidP="00A21DC1">
            <w:pPr>
              <w:spacing w:line="360" w:lineRule="auto"/>
              <w:ind w:left="567" w:hanging="567"/>
            </w:pPr>
            <w:r w:rsidRPr="00E54EEA">
              <w:t>10.10</w:t>
            </w:r>
            <w:r w:rsidRPr="00E54EEA">
              <w:tab/>
            </w:r>
            <w:r w:rsidR="00A21DC1">
              <w:t>RT</w:t>
            </w:r>
            <w:r w:rsidRPr="00E54EEA">
              <w:t xml:space="preserve"> may be indicated for primary tumours that are unresectable, or where surgery cannot be performed or is </w:t>
            </w:r>
            <w:r>
              <w:t>contraindicated for medical reasons</w:t>
            </w:r>
          </w:p>
        </w:tc>
        <w:tc>
          <w:tcPr>
            <w:tcW w:w="1304" w:type="dxa"/>
            <w:tcBorders>
              <w:top w:val="nil"/>
            </w:tcBorders>
          </w:tcPr>
          <w:p w:rsidR="00B2354B" w:rsidRPr="00E54EEA" w:rsidRDefault="00484A7D" w:rsidP="00DD269D">
            <w:pPr>
              <w:spacing w:line="360" w:lineRule="auto"/>
              <w:ind w:left="567" w:hanging="567"/>
              <w:jc w:val="center"/>
            </w:pPr>
            <w:r>
              <w:t>IV</w:t>
            </w:r>
          </w:p>
        </w:tc>
        <w:tc>
          <w:tcPr>
            <w:tcW w:w="1559" w:type="dxa"/>
            <w:tcBorders>
              <w:top w:val="nil"/>
            </w:tcBorders>
          </w:tcPr>
          <w:p w:rsidR="00B2354B" w:rsidRPr="00E54EEA" w:rsidRDefault="00B2354B" w:rsidP="00DD269D">
            <w:pPr>
              <w:spacing w:line="360" w:lineRule="auto"/>
              <w:ind w:left="567" w:hanging="567"/>
              <w:jc w:val="center"/>
            </w:pPr>
            <w:r w:rsidRPr="00E54EEA">
              <w:t>B</w:t>
            </w:r>
          </w:p>
        </w:tc>
        <w:tc>
          <w:tcPr>
            <w:tcW w:w="2613" w:type="dxa"/>
            <w:tcBorders>
              <w:top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567" w:hanging="567"/>
              <w:rPr>
                <w:b/>
              </w:rPr>
            </w:pPr>
            <w:r w:rsidRPr="00E54EEA">
              <w:rPr>
                <w:b/>
              </w:rPr>
              <w:t>11.</w:t>
            </w:r>
            <w:r w:rsidRPr="00E54EEA">
              <w:rPr>
                <w:b/>
              </w:rPr>
              <w:tab/>
              <w:t>What are the optimal systemic therapies for advanced/recurrent disease?</w:t>
            </w:r>
          </w:p>
          <w:p w:rsidR="00B2354B" w:rsidRPr="00E54EEA" w:rsidRDefault="00B2354B" w:rsidP="00DD269D">
            <w:pPr>
              <w:spacing w:line="360" w:lineRule="auto"/>
              <w:ind w:left="567" w:hanging="567"/>
              <w:rPr>
                <w:b/>
              </w:rPr>
            </w:pPr>
            <w:r w:rsidRPr="00E54EEA">
              <w:rPr>
                <w:b/>
              </w:rPr>
              <w:t>Recommendations:</w:t>
            </w:r>
          </w:p>
        </w:tc>
        <w:tc>
          <w:tcPr>
            <w:tcW w:w="1304" w:type="dxa"/>
            <w:tcBorders>
              <w:top w:val="single" w:sz="4" w:space="0" w:color="auto"/>
              <w:bottom w:val="nil"/>
            </w:tcBorders>
          </w:tcPr>
          <w:p w:rsidR="00B2354B" w:rsidRPr="00E54EEA" w:rsidRDefault="00B2354B" w:rsidP="00DD269D">
            <w:pPr>
              <w:spacing w:line="360" w:lineRule="auto"/>
              <w:jc w:val="center"/>
              <w:rPr>
                <w:b/>
              </w:rPr>
            </w:pPr>
          </w:p>
        </w:tc>
        <w:tc>
          <w:tcPr>
            <w:tcW w:w="1559" w:type="dxa"/>
            <w:tcBorders>
              <w:top w:val="single" w:sz="4" w:space="0" w:color="auto"/>
              <w:bottom w:val="nil"/>
            </w:tcBorders>
          </w:tcPr>
          <w:p w:rsidR="00B2354B" w:rsidRPr="00E54EEA" w:rsidRDefault="00B2354B" w:rsidP="00DD269D">
            <w:pPr>
              <w:spacing w:line="360" w:lineRule="auto"/>
              <w:jc w:val="center"/>
              <w:rPr>
                <w:b/>
              </w:rPr>
            </w:pPr>
          </w:p>
        </w:tc>
        <w:tc>
          <w:tcPr>
            <w:tcW w:w="2613" w:type="dxa"/>
            <w:tcBorders>
              <w:top w:val="single" w:sz="4" w:space="0" w:color="auto"/>
              <w:bottom w:val="nil"/>
            </w:tcBorders>
          </w:tcPr>
          <w:p w:rsidR="00B2354B" w:rsidRPr="00E54EEA" w:rsidRDefault="00B2354B" w:rsidP="00DD269D">
            <w:pPr>
              <w:spacing w:line="360" w:lineRule="auto"/>
              <w:jc w:val="center"/>
              <w:rPr>
                <w:b/>
              </w:rPr>
            </w:pPr>
          </w:p>
        </w:tc>
      </w:tr>
      <w:tr w:rsidR="00B2354B" w:rsidRPr="00E54EEA" w:rsidTr="00DD269D">
        <w:tc>
          <w:tcPr>
            <w:tcW w:w="8472" w:type="dxa"/>
            <w:tcBorders>
              <w:top w:val="nil"/>
              <w:bottom w:val="nil"/>
            </w:tcBorders>
          </w:tcPr>
          <w:p w:rsidR="00B2354B" w:rsidRPr="00E54EEA" w:rsidRDefault="00B2354B" w:rsidP="00A21DC1">
            <w:pPr>
              <w:spacing w:line="360" w:lineRule="auto"/>
              <w:ind w:left="567" w:hanging="567"/>
            </w:pPr>
            <w:r w:rsidRPr="00E54EEA">
              <w:t>11.1</w:t>
            </w:r>
            <w:r w:rsidRPr="00E54EEA">
              <w:tab/>
              <w:t xml:space="preserve">Hormone therapy is indicated in advanced or recurrent </w:t>
            </w:r>
            <w:r w:rsidR="00A21DC1">
              <w:t>EEC</w:t>
            </w:r>
          </w:p>
        </w:tc>
        <w:tc>
          <w:tcPr>
            <w:tcW w:w="1304" w:type="dxa"/>
            <w:tcBorders>
              <w:top w:val="nil"/>
              <w:bottom w:val="nil"/>
            </w:tcBorders>
          </w:tcPr>
          <w:p w:rsidR="00B2354B" w:rsidRPr="00E54EEA" w:rsidRDefault="00484A7D" w:rsidP="00DD269D">
            <w:pPr>
              <w:spacing w:line="360" w:lineRule="auto"/>
              <w:ind w:left="567" w:hanging="567"/>
              <w:jc w:val="center"/>
            </w:pPr>
            <w:r>
              <w:t>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11.2</w:t>
            </w:r>
            <w:r w:rsidRPr="00E54EEA">
              <w:tab/>
              <w:t xml:space="preserve">Hormone therapy is more likely to be effective in grade 1 or 2 endometrioid tumours </w:t>
            </w:r>
          </w:p>
        </w:tc>
        <w:tc>
          <w:tcPr>
            <w:tcW w:w="1304" w:type="dxa"/>
            <w:tcBorders>
              <w:top w:val="nil"/>
              <w:bottom w:val="nil"/>
            </w:tcBorders>
          </w:tcPr>
          <w:p w:rsidR="00B2354B" w:rsidRPr="00E54EEA" w:rsidRDefault="00484A7D" w:rsidP="00DD269D">
            <w:pPr>
              <w:spacing w:line="360" w:lineRule="auto"/>
              <w:ind w:left="567" w:hanging="567"/>
              <w:jc w:val="center"/>
            </w:pPr>
            <w:r>
              <w:t>IV</w:t>
            </w:r>
          </w:p>
        </w:tc>
        <w:tc>
          <w:tcPr>
            <w:tcW w:w="1559" w:type="dxa"/>
            <w:tcBorders>
              <w:top w:val="nil"/>
              <w:bottom w:val="nil"/>
            </w:tcBorders>
          </w:tcPr>
          <w:p w:rsidR="00B2354B" w:rsidRPr="00E54EEA" w:rsidRDefault="00B2354B" w:rsidP="00DD269D">
            <w:pPr>
              <w:spacing w:line="360" w:lineRule="auto"/>
              <w:ind w:left="567" w:hanging="567"/>
              <w:jc w:val="center"/>
            </w:pPr>
            <w:r w:rsidRPr="00E54EEA">
              <w:t>B</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A21DC1">
            <w:pPr>
              <w:spacing w:line="360" w:lineRule="auto"/>
              <w:ind w:left="567" w:hanging="567"/>
            </w:pPr>
            <w:r w:rsidRPr="00E54EEA">
              <w:t>11.3</w:t>
            </w:r>
            <w:r w:rsidRPr="00E54EEA">
              <w:tab/>
              <w:t>Hormone receptor status should be determined before hormone therapy is initiated</w:t>
            </w:r>
            <w:r>
              <w:t>,</w:t>
            </w:r>
            <w:r w:rsidRPr="00E54EEA">
              <w:t xml:space="preserve"> as it is more likely to be effective in patients with positive </w:t>
            </w:r>
            <w:r w:rsidR="00A21DC1">
              <w:t>PgR</w:t>
            </w:r>
            <w:r w:rsidRPr="00E54EEA">
              <w:t xml:space="preserve"> and </w:t>
            </w:r>
            <w:r w:rsidR="00A21DC1">
              <w:t>ER</w:t>
            </w:r>
            <w:r w:rsidRPr="00E54EEA">
              <w:t xml:space="preserve"> status</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B</w:t>
            </w:r>
          </w:p>
        </w:tc>
        <w:tc>
          <w:tcPr>
            <w:tcW w:w="2613" w:type="dxa"/>
            <w:tcBorders>
              <w:top w:val="nil"/>
              <w:bottom w:val="nil"/>
            </w:tcBorders>
          </w:tcPr>
          <w:p w:rsidR="00B2354B" w:rsidRPr="00E54EEA" w:rsidRDefault="00B2354B" w:rsidP="00DD269D">
            <w:pPr>
              <w:spacing w:line="360" w:lineRule="auto"/>
              <w:ind w:left="567" w:hanging="567"/>
              <w:jc w:val="center"/>
            </w:pPr>
            <w:r w:rsidRPr="00E54EEA">
              <w:t>97.1% (33) yes, 2.9% (1) abstain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11.4</w:t>
            </w:r>
            <w:r w:rsidRPr="00E54EEA">
              <w:tab/>
              <w:t>Biopsy of recurrent disease could be considered as there may be differences in hormone receptor status in the primary and metastatic tumour</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11.5</w:t>
            </w:r>
            <w:r w:rsidRPr="00E54EEA">
              <w:tab/>
              <w:t>Hormone therapy is the preferred front-line systemic therapy for patients with hormone receptor positive tumours – grade 1 or 2 and without rapidly progressive disease</w:t>
            </w:r>
          </w:p>
        </w:tc>
        <w:tc>
          <w:tcPr>
            <w:tcW w:w="1304" w:type="dxa"/>
            <w:tcBorders>
              <w:top w:val="nil"/>
              <w:bottom w:val="nil"/>
            </w:tcBorders>
          </w:tcPr>
          <w:p w:rsidR="00B2354B" w:rsidRPr="00E54EEA" w:rsidRDefault="00484A7D" w:rsidP="00DD269D">
            <w:pPr>
              <w:spacing w:line="360" w:lineRule="auto"/>
              <w:ind w:left="567" w:hanging="567"/>
              <w:jc w:val="center"/>
            </w:pPr>
            <w:r>
              <w:t>V</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11.6</w:t>
            </w:r>
            <w:r w:rsidRPr="00E54EEA">
              <w:tab/>
              <w:t xml:space="preserve">Progestogens (e.g. </w:t>
            </w:r>
            <w:r>
              <w:t>MPA</w:t>
            </w:r>
            <w:r w:rsidRPr="00E54EEA">
              <w:t xml:space="preserve"> 200 mg or </w:t>
            </w:r>
            <w:r>
              <w:t>MA</w:t>
            </w:r>
            <w:r w:rsidRPr="00E54EEA">
              <w:t xml:space="preserve"> 160 mg) are generally recommended</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11.7</w:t>
            </w:r>
            <w:r w:rsidRPr="00E54EEA">
              <w:tab/>
              <w:t xml:space="preserve">Other hormonal agents to consider </w:t>
            </w:r>
            <w:r w:rsidR="00A21DC1">
              <w:t xml:space="preserve">after progestins </w:t>
            </w:r>
            <w:r w:rsidRPr="00E54EEA">
              <w:t>include tamoxifen, fulvestrant and aromatase inhibitors</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C</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9767D0">
            <w:pPr>
              <w:spacing w:line="360" w:lineRule="auto"/>
              <w:ind w:left="567" w:hanging="567"/>
            </w:pPr>
            <w:r w:rsidRPr="00E54EEA">
              <w:t>1</w:t>
            </w:r>
            <w:r w:rsidR="00A21DC1">
              <w:t>1.8</w:t>
            </w:r>
            <w:r w:rsidR="00A21DC1">
              <w:tab/>
              <w:t>The standard of care is six</w:t>
            </w:r>
            <w:r w:rsidR="009767D0">
              <w:t xml:space="preserve"> cycles of 3</w:t>
            </w:r>
            <w:r w:rsidRPr="00E54EEA">
              <w:t xml:space="preserve">-weekly carboplatin and paclitaxel. This is based on the preliminary communication of a randomised trial showing similar efficacy and less toxicity compared </w:t>
            </w:r>
            <w:r w:rsidR="009767D0">
              <w:t>with</w:t>
            </w:r>
            <w:r w:rsidRPr="00E54EEA">
              <w:t xml:space="preserve"> cisplatin/doxorubicin/paclitaxel</w:t>
            </w:r>
          </w:p>
        </w:tc>
        <w:tc>
          <w:tcPr>
            <w:tcW w:w="1304" w:type="dxa"/>
            <w:tcBorders>
              <w:top w:val="nil"/>
              <w:bottom w:val="nil"/>
            </w:tcBorders>
          </w:tcPr>
          <w:p w:rsidR="00B2354B" w:rsidRPr="00E54EEA" w:rsidRDefault="00484A7D" w:rsidP="00DD269D">
            <w:pPr>
              <w:spacing w:line="360" w:lineRule="auto"/>
              <w:ind w:left="567" w:hanging="567"/>
              <w:jc w:val="center"/>
            </w:pPr>
            <w:r>
              <w:t>I</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tcBorders>
          </w:tcPr>
          <w:p w:rsidR="00B2354B" w:rsidRPr="00E54EEA" w:rsidRDefault="00B2354B" w:rsidP="00DD269D">
            <w:pPr>
              <w:spacing w:line="360" w:lineRule="auto"/>
              <w:ind w:left="567" w:hanging="567"/>
            </w:pPr>
            <w:r w:rsidRPr="00E54EEA">
              <w:t>11.9</w:t>
            </w:r>
            <w:r w:rsidRPr="00E54EEA">
              <w:tab/>
              <w:t>There is</w:t>
            </w:r>
            <w:r w:rsidR="009767D0">
              <w:t xml:space="preserve"> no standard of care for second-</w:t>
            </w:r>
            <w:r w:rsidRPr="00E54EEA">
              <w:t>line chemotherapy</w:t>
            </w:r>
          </w:p>
        </w:tc>
        <w:tc>
          <w:tcPr>
            <w:tcW w:w="1304" w:type="dxa"/>
            <w:tcBorders>
              <w:top w:val="nil"/>
            </w:tcBorders>
          </w:tcPr>
          <w:p w:rsidR="00B2354B" w:rsidRPr="00E54EEA" w:rsidRDefault="00484A7D" w:rsidP="00DD269D">
            <w:pPr>
              <w:spacing w:line="360" w:lineRule="auto"/>
              <w:ind w:left="567" w:hanging="567"/>
              <w:jc w:val="center"/>
            </w:pPr>
            <w:r>
              <w:t>V</w:t>
            </w:r>
          </w:p>
        </w:tc>
        <w:tc>
          <w:tcPr>
            <w:tcW w:w="1559" w:type="dxa"/>
            <w:tcBorders>
              <w:top w:val="nil"/>
            </w:tcBorders>
          </w:tcPr>
          <w:p w:rsidR="00B2354B" w:rsidRPr="00E54EEA" w:rsidRDefault="00B2354B" w:rsidP="00DD269D">
            <w:pPr>
              <w:spacing w:line="360" w:lineRule="auto"/>
              <w:ind w:left="567" w:hanging="567"/>
              <w:jc w:val="center"/>
            </w:pPr>
            <w:r w:rsidRPr="00E54EEA">
              <w:t>C</w:t>
            </w:r>
          </w:p>
        </w:tc>
        <w:tc>
          <w:tcPr>
            <w:tcW w:w="2613" w:type="dxa"/>
            <w:tcBorders>
              <w:top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single" w:sz="4" w:space="0" w:color="auto"/>
              <w:bottom w:val="nil"/>
            </w:tcBorders>
          </w:tcPr>
          <w:p w:rsidR="00B2354B" w:rsidRPr="00E54EEA" w:rsidRDefault="00B2354B" w:rsidP="00DD269D">
            <w:pPr>
              <w:spacing w:line="360" w:lineRule="auto"/>
              <w:ind w:left="567" w:hanging="567"/>
              <w:rPr>
                <w:b/>
              </w:rPr>
            </w:pPr>
            <w:r w:rsidRPr="00E54EEA">
              <w:rPr>
                <w:b/>
              </w:rPr>
              <w:t>12.</w:t>
            </w:r>
            <w:r w:rsidRPr="00E54EEA">
              <w:rPr>
                <w:b/>
              </w:rPr>
              <w:tab/>
              <w:t>What are the most promising targeted agents and which study designs should be used to evaluate their clinical benefit?</w:t>
            </w:r>
          </w:p>
          <w:p w:rsidR="00B2354B" w:rsidRPr="00E54EEA" w:rsidRDefault="00B2354B" w:rsidP="00DD269D">
            <w:pPr>
              <w:spacing w:line="360" w:lineRule="auto"/>
              <w:ind w:left="567" w:hanging="567"/>
              <w:rPr>
                <w:b/>
              </w:rPr>
            </w:pPr>
            <w:r w:rsidRPr="00E54EEA">
              <w:rPr>
                <w:b/>
              </w:rPr>
              <w:t>Recommendations:</w:t>
            </w:r>
          </w:p>
        </w:tc>
        <w:tc>
          <w:tcPr>
            <w:tcW w:w="1304" w:type="dxa"/>
            <w:tcBorders>
              <w:top w:val="single" w:sz="4" w:space="0" w:color="auto"/>
              <w:bottom w:val="nil"/>
            </w:tcBorders>
          </w:tcPr>
          <w:p w:rsidR="00B2354B" w:rsidRPr="00E54EEA" w:rsidRDefault="00B2354B" w:rsidP="00DD269D">
            <w:pPr>
              <w:spacing w:line="360" w:lineRule="auto"/>
              <w:jc w:val="center"/>
              <w:rPr>
                <w:b/>
              </w:rPr>
            </w:pPr>
          </w:p>
        </w:tc>
        <w:tc>
          <w:tcPr>
            <w:tcW w:w="1559" w:type="dxa"/>
            <w:tcBorders>
              <w:top w:val="single" w:sz="4" w:space="0" w:color="auto"/>
              <w:bottom w:val="nil"/>
            </w:tcBorders>
          </w:tcPr>
          <w:p w:rsidR="00B2354B" w:rsidRPr="00E54EEA" w:rsidRDefault="00B2354B" w:rsidP="00DD269D">
            <w:pPr>
              <w:spacing w:line="360" w:lineRule="auto"/>
              <w:jc w:val="center"/>
              <w:rPr>
                <w:b/>
              </w:rPr>
            </w:pPr>
          </w:p>
        </w:tc>
        <w:tc>
          <w:tcPr>
            <w:tcW w:w="2613" w:type="dxa"/>
            <w:tcBorders>
              <w:top w:val="single" w:sz="4" w:space="0" w:color="auto"/>
              <w:bottom w:val="nil"/>
            </w:tcBorders>
          </w:tcPr>
          <w:p w:rsidR="00B2354B" w:rsidRPr="00E54EEA" w:rsidRDefault="00B2354B" w:rsidP="00DD269D">
            <w:pPr>
              <w:spacing w:line="360" w:lineRule="auto"/>
              <w:jc w:val="center"/>
              <w:rPr>
                <w:b/>
              </w:rPr>
            </w:pPr>
          </w:p>
        </w:tc>
      </w:tr>
      <w:tr w:rsidR="00B2354B" w:rsidRPr="00E54EEA" w:rsidTr="00DD269D">
        <w:tc>
          <w:tcPr>
            <w:tcW w:w="8472" w:type="dxa"/>
            <w:tcBorders>
              <w:top w:val="nil"/>
              <w:bottom w:val="nil"/>
            </w:tcBorders>
          </w:tcPr>
          <w:p w:rsidR="00B2354B" w:rsidRPr="00E54EEA" w:rsidRDefault="00B2354B" w:rsidP="009767D0">
            <w:pPr>
              <w:spacing w:line="360" w:lineRule="auto"/>
              <w:ind w:left="567" w:hanging="567"/>
            </w:pPr>
            <w:r w:rsidRPr="00E54EEA">
              <w:t>12.1</w:t>
            </w:r>
            <w:r w:rsidRPr="00E54EEA">
              <w:tab/>
              <w:t>PI3K/</w:t>
            </w:r>
            <w:r>
              <w:t>PTEN/</w:t>
            </w:r>
            <w:r w:rsidRPr="00E54EEA">
              <w:t>AKT/mTOR pathway, PTEN, RAS-MAPK, angiogenesis (especially FGFR2 and VEGF/VEGFR), ER/P</w:t>
            </w:r>
            <w:r w:rsidR="009767D0">
              <w:t>g</w:t>
            </w:r>
            <w:r w:rsidRPr="00E54EEA">
              <w:t>R and HRD/MSI are altered in endometrial cancer and their relevance should be studied in clinical trials with targeted agents</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B</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rsidRPr="00E54EEA">
              <w:t>12.2</w:t>
            </w:r>
            <w:r w:rsidRPr="00E54EEA">
              <w:tab/>
              <w:t>Drugs targeting PI3K/mTOR pathway signalling and angiogenesis have shown modest activity but no agent has been approved for clinical use, and further biomarker</w:t>
            </w:r>
            <w:r w:rsidR="0045790B">
              <w:t>-</w:t>
            </w:r>
            <w:r w:rsidRPr="00E54EEA">
              <w:t>driven studies are warranted</w:t>
            </w:r>
          </w:p>
        </w:tc>
        <w:tc>
          <w:tcPr>
            <w:tcW w:w="1304" w:type="dxa"/>
            <w:tcBorders>
              <w:top w:val="nil"/>
              <w:bottom w:val="nil"/>
            </w:tcBorders>
          </w:tcPr>
          <w:p w:rsidR="00B2354B" w:rsidRPr="00E54EEA" w:rsidRDefault="00484A7D" w:rsidP="00DD269D">
            <w:pPr>
              <w:spacing w:line="360" w:lineRule="auto"/>
              <w:ind w:left="567" w:hanging="567"/>
              <w:jc w:val="center"/>
            </w:pPr>
            <w:r>
              <w:t>III</w:t>
            </w:r>
          </w:p>
        </w:tc>
        <w:tc>
          <w:tcPr>
            <w:tcW w:w="1559" w:type="dxa"/>
            <w:tcBorders>
              <w:top w:val="nil"/>
              <w:bottom w:val="nil"/>
            </w:tcBorders>
          </w:tcPr>
          <w:p w:rsidR="00B2354B" w:rsidRPr="00E54EEA" w:rsidRDefault="00B2354B" w:rsidP="00DD269D">
            <w:pPr>
              <w:spacing w:line="360" w:lineRule="auto"/>
              <w:ind w:left="567" w:hanging="567"/>
              <w:jc w:val="center"/>
            </w:pPr>
            <w:r w:rsidRPr="00E54EEA">
              <w:t>A</w:t>
            </w:r>
          </w:p>
        </w:tc>
        <w:tc>
          <w:tcPr>
            <w:tcW w:w="2613" w:type="dxa"/>
            <w:tcBorders>
              <w:top w:val="nil"/>
              <w:bottom w:val="nil"/>
            </w:tcBorders>
          </w:tcPr>
          <w:p w:rsidR="00B2354B" w:rsidRPr="00E54EEA" w:rsidRDefault="00B2354B" w:rsidP="00DD269D">
            <w:pPr>
              <w:spacing w:line="360" w:lineRule="auto"/>
              <w:ind w:left="567" w:hanging="567"/>
              <w:jc w:val="center"/>
            </w:pPr>
            <w:r w:rsidRPr="00E54EEA">
              <w:t>100% yes (34 voters)</w:t>
            </w:r>
          </w:p>
        </w:tc>
      </w:tr>
      <w:tr w:rsidR="00B2354B" w:rsidRPr="00E54EEA" w:rsidTr="00DD269D">
        <w:tc>
          <w:tcPr>
            <w:tcW w:w="8472" w:type="dxa"/>
            <w:tcBorders>
              <w:top w:val="nil"/>
              <w:bottom w:val="nil"/>
            </w:tcBorders>
            <w:shd w:val="clear" w:color="auto" w:fill="auto"/>
          </w:tcPr>
          <w:p w:rsidR="00B2354B" w:rsidRPr="005701B2" w:rsidRDefault="00B2354B" w:rsidP="00DD269D">
            <w:pPr>
              <w:spacing w:line="360" w:lineRule="auto"/>
              <w:ind w:left="567" w:hanging="567"/>
            </w:pPr>
            <w:r w:rsidRPr="005701B2">
              <w:t>12.3</w:t>
            </w:r>
            <w:r w:rsidRPr="005701B2">
              <w:tab/>
              <w:t>Clinical trial designs for new</w:t>
            </w:r>
            <w:r>
              <w:t>,</w:t>
            </w:r>
            <w:r w:rsidRPr="005701B2">
              <w:t xml:space="preserve"> targeted therapy:</w:t>
            </w:r>
          </w:p>
        </w:tc>
        <w:tc>
          <w:tcPr>
            <w:tcW w:w="1304" w:type="dxa"/>
            <w:tcBorders>
              <w:top w:val="nil"/>
              <w:bottom w:val="nil"/>
            </w:tcBorders>
            <w:shd w:val="clear" w:color="auto" w:fill="auto"/>
          </w:tcPr>
          <w:p w:rsidR="00B2354B" w:rsidRPr="005701B2" w:rsidRDefault="00484A7D" w:rsidP="00DD269D">
            <w:pPr>
              <w:spacing w:line="360" w:lineRule="auto"/>
              <w:jc w:val="center"/>
            </w:pPr>
            <w:r>
              <w:t>V</w:t>
            </w:r>
          </w:p>
        </w:tc>
        <w:tc>
          <w:tcPr>
            <w:tcW w:w="1559" w:type="dxa"/>
            <w:tcBorders>
              <w:top w:val="nil"/>
              <w:bottom w:val="nil"/>
            </w:tcBorders>
            <w:shd w:val="clear" w:color="auto" w:fill="auto"/>
          </w:tcPr>
          <w:p w:rsidR="00B2354B" w:rsidRPr="005701B2" w:rsidRDefault="00B2354B" w:rsidP="00DD269D">
            <w:pPr>
              <w:spacing w:line="360" w:lineRule="auto"/>
              <w:jc w:val="center"/>
            </w:pPr>
            <w:r w:rsidRPr="005701B2">
              <w:t>A</w:t>
            </w:r>
          </w:p>
        </w:tc>
        <w:tc>
          <w:tcPr>
            <w:tcW w:w="2613" w:type="dxa"/>
            <w:tcBorders>
              <w:top w:val="nil"/>
              <w:bottom w:val="nil"/>
            </w:tcBorders>
            <w:shd w:val="clear" w:color="auto" w:fill="auto"/>
          </w:tcPr>
          <w:p w:rsidR="00B2354B" w:rsidRPr="005701B2" w:rsidRDefault="00B2354B" w:rsidP="00DD269D">
            <w:pPr>
              <w:spacing w:line="360" w:lineRule="auto"/>
              <w:jc w:val="center"/>
            </w:pPr>
            <w:r w:rsidRPr="005701B2">
              <w:t>100% yes (34 voters)</w:t>
            </w: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tab/>
              <w:t>1: Basket</w:t>
            </w:r>
            <w:r w:rsidRPr="00AC4C74">
              <w:t xml:space="preserve"> studies with multiple cohorts related to histological subtypes and/or molecular alterations are considered a priority</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tab/>
              <w:t xml:space="preserve">2: </w:t>
            </w:r>
            <w:r w:rsidRPr="00AC4C74">
              <w:t>Biomarker</w:t>
            </w:r>
            <w:r w:rsidR="0045790B">
              <w:t>-</w:t>
            </w:r>
            <w:r w:rsidRPr="00AC4C74">
              <w:t>driven clinical trials with biopsy at entry and sequential biopsies in trials with molecular end</w:t>
            </w:r>
            <w:r w:rsidR="002E0E10">
              <w:t xml:space="preserve"> </w:t>
            </w:r>
            <w:r w:rsidRPr="00AC4C74">
              <w:t>points are recommended</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nil"/>
            </w:tcBorders>
          </w:tcPr>
          <w:p w:rsidR="00B2354B" w:rsidRPr="00E54EEA" w:rsidRDefault="00B2354B" w:rsidP="00DD269D">
            <w:pPr>
              <w:spacing w:line="360" w:lineRule="auto"/>
              <w:ind w:left="567" w:hanging="567"/>
            </w:pPr>
            <w:r>
              <w:tab/>
              <w:t xml:space="preserve">3: </w:t>
            </w:r>
            <w:r w:rsidRPr="00AC4C74">
              <w:t>PFS or PFS at a defined time-point are the preferred primary end</w:t>
            </w:r>
            <w:r w:rsidR="009767D0">
              <w:t xml:space="preserve"> </w:t>
            </w:r>
            <w:r w:rsidRPr="00AC4C74">
              <w:t>points for early phase trials</w:t>
            </w:r>
          </w:p>
        </w:tc>
        <w:tc>
          <w:tcPr>
            <w:tcW w:w="1304" w:type="dxa"/>
            <w:tcBorders>
              <w:top w:val="nil"/>
              <w:bottom w:val="nil"/>
            </w:tcBorders>
          </w:tcPr>
          <w:p w:rsidR="00B2354B" w:rsidRPr="00E54EEA" w:rsidRDefault="00B2354B" w:rsidP="00DD269D">
            <w:pPr>
              <w:spacing w:line="360" w:lineRule="auto"/>
              <w:jc w:val="center"/>
            </w:pPr>
          </w:p>
        </w:tc>
        <w:tc>
          <w:tcPr>
            <w:tcW w:w="1559" w:type="dxa"/>
            <w:tcBorders>
              <w:top w:val="nil"/>
              <w:bottom w:val="nil"/>
            </w:tcBorders>
          </w:tcPr>
          <w:p w:rsidR="00B2354B" w:rsidRPr="00E54EEA" w:rsidRDefault="00B2354B" w:rsidP="00DD269D">
            <w:pPr>
              <w:spacing w:line="360" w:lineRule="auto"/>
              <w:jc w:val="center"/>
            </w:pPr>
          </w:p>
        </w:tc>
        <w:tc>
          <w:tcPr>
            <w:tcW w:w="2613" w:type="dxa"/>
            <w:tcBorders>
              <w:top w:val="nil"/>
              <w:bottom w:val="nil"/>
            </w:tcBorders>
          </w:tcPr>
          <w:p w:rsidR="00B2354B" w:rsidRPr="00E54EEA" w:rsidRDefault="00B2354B" w:rsidP="00DD269D">
            <w:pPr>
              <w:spacing w:line="360" w:lineRule="auto"/>
              <w:jc w:val="center"/>
            </w:pPr>
          </w:p>
        </w:tc>
      </w:tr>
      <w:tr w:rsidR="00B2354B" w:rsidRPr="00E54EEA" w:rsidTr="00DD269D">
        <w:tc>
          <w:tcPr>
            <w:tcW w:w="8472" w:type="dxa"/>
            <w:tcBorders>
              <w:top w:val="nil"/>
              <w:bottom w:val="single" w:sz="4" w:space="0" w:color="auto"/>
            </w:tcBorders>
          </w:tcPr>
          <w:p w:rsidR="00B2354B" w:rsidRPr="00E54EEA" w:rsidRDefault="00B2354B" w:rsidP="00DD269D">
            <w:pPr>
              <w:spacing w:line="360" w:lineRule="auto"/>
              <w:ind w:left="567" w:hanging="567"/>
            </w:pPr>
            <w:r>
              <w:tab/>
              <w:t>4: OS</w:t>
            </w:r>
            <w:r w:rsidRPr="00AC4C74">
              <w:t xml:space="preserve"> is the preferred primary end</w:t>
            </w:r>
            <w:r w:rsidR="009767D0">
              <w:t xml:space="preserve"> </w:t>
            </w:r>
            <w:r w:rsidRPr="00AC4C74">
              <w:t>point in phase III trials, unless crossover is planned or expected</w:t>
            </w:r>
          </w:p>
        </w:tc>
        <w:tc>
          <w:tcPr>
            <w:tcW w:w="1304" w:type="dxa"/>
            <w:tcBorders>
              <w:top w:val="nil"/>
              <w:bottom w:val="single" w:sz="4" w:space="0" w:color="auto"/>
            </w:tcBorders>
          </w:tcPr>
          <w:p w:rsidR="00B2354B" w:rsidRPr="00E54EEA" w:rsidRDefault="00B2354B" w:rsidP="00DD269D">
            <w:pPr>
              <w:spacing w:line="360" w:lineRule="auto"/>
              <w:jc w:val="center"/>
            </w:pPr>
          </w:p>
        </w:tc>
        <w:tc>
          <w:tcPr>
            <w:tcW w:w="1559" w:type="dxa"/>
            <w:tcBorders>
              <w:top w:val="nil"/>
              <w:bottom w:val="single" w:sz="4" w:space="0" w:color="auto"/>
            </w:tcBorders>
          </w:tcPr>
          <w:p w:rsidR="00B2354B" w:rsidRPr="00E54EEA" w:rsidRDefault="00B2354B" w:rsidP="00DD269D">
            <w:pPr>
              <w:spacing w:line="360" w:lineRule="auto"/>
              <w:jc w:val="center"/>
            </w:pPr>
          </w:p>
        </w:tc>
        <w:tc>
          <w:tcPr>
            <w:tcW w:w="2613" w:type="dxa"/>
            <w:tcBorders>
              <w:top w:val="nil"/>
              <w:bottom w:val="single" w:sz="4" w:space="0" w:color="auto"/>
            </w:tcBorders>
          </w:tcPr>
          <w:p w:rsidR="00B2354B" w:rsidRPr="00E54EEA" w:rsidRDefault="00B2354B" w:rsidP="00DD269D">
            <w:pPr>
              <w:spacing w:line="360" w:lineRule="auto"/>
              <w:jc w:val="center"/>
            </w:pPr>
          </w:p>
        </w:tc>
      </w:tr>
    </w:tbl>
    <w:p w:rsidR="00B2354B" w:rsidRPr="00E54EEA" w:rsidRDefault="00B2354B" w:rsidP="00B2354B">
      <w:pPr>
        <w:rPr>
          <w:b/>
        </w:rPr>
      </w:pPr>
    </w:p>
    <w:p w:rsidR="00B2354B" w:rsidRDefault="00B2354B" w:rsidP="00B2354B">
      <w:r>
        <w:t xml:space="preserve">AGCT, </w:t>
      </w:r>
      <w:r w:rsidRPr="00336B47">
        <w:t>adult granulosa cell tumours</w:t>
      </w:r>
      <w:r>
        <w:t>; AH, atypical hyperplasia; APA, a</w:t>
      </w:r>
      <w:r w:rsidRPr="008E06C9">
        <w:t>typical polypoid adenomyoma</w:t>
      </w:r>
      <w:r>
        <w:t xml:space="preserve">; CAH, </w:t>
      </w:r>
      <w:r w:rsidRPr="00336B47">
        <w:t>complex atypical hyperplasia</w:t>
      </w:r>
      <w:r>
        <w:t>; CEA, c</w:t>
      </w:r>
      <w:r w:rsidRPr="003E048B">
        <w:t>arcinoembryonic antigen</w:t>
      </w:r>
      <w:r>
        <w:t xml:space="preserve">; CSS, cancer-specific survival; CT, computed tomography; D&amp;C, dilation and curettage; EBRT, external beam radiation therapy; EEC, </w:t>
      </w:r>
      <w:r w:rsidRPr="003E048B">
        <w:t>endometrioid endometrial cancer</w:t>
      </w:r>
      <w:r>
        <w:t>;</w:t>
      </w:r>
      <w:r w:rsidRPr="003E048B">
        <w:t xml:space="preserve"> </w:t>
      </w:r>
      <w:r>
        <w:t xml:space="preserve">EIN, </w:t>
      </w:r>
      <w:r w:rsidRPr="00336B47">
        <w:t>endome</w:t>
      </w:r>
      <w:r>
        <w:t>trial intraepithelial neoplasia; ER, oestrogen receptor; FGFR</w:t>
      </w:r>
      <w:r w:rsidR="009767D0">
        <w:t>2</w:t>
      </w:r>
      <w:r>
        <w:t>, fibroblast growth factor receptor</w:t>
      </w:r>
      <w:r w:rsidR="009767D0">
        <w:t>-2</w:t>
      </w:r>
      <w:r>
        <w:t>; GnRH, g</w:t>
      </w:r>
      <w:r w:rsidRPr="003A3B3A">
        <w:t>onadotropin-releasing hormone</w:t>
      </w:r>
      <w:r>
        <w:t>; GoR, grade of recommendation; HPV, hu</w:t>
      </w:r>
      <w:r w:rsidRPr="003E048B">
        <w:t>man papillomavirus</w:t>
      </w:r>
      <w:r>
        <w:t xml:space="preserve">; HRD, </w:t>
      </w:r>
      <w:r w:rsidRPr="00946B33">
        <w:t>homologous recombination deficien</w:t>
      </w:r>
      <w:r>
        <w:t>cy</w:t>
      </w:r>
      <w:r w:rsidRPr="00946B33">
        <w:t>; IHC, immunohistochemistry</w:t>
      </w:r>
      <w:r>
        <w:t xml:space="preserve">; LNG-IUD, </w:t>
      </w:r>
      <w:r w:rsidRPr="003A3B3A">
        <w:t>levonorgestrel intrauterine devic</w:t>
      </w:r>
      <w:r>
        <w:t>e;</w:t>
      </w:r>
      <w:r w:rsidRPr="003A3B3A">
        <w:t xml:space="preserve"> </w:t>
      </w:r>
      <w:r>
        <w:t xml:space="preserve">LoE, level of evidence; </w:t>
      </w:r>
      <w:r w:rsidR="004E548E">
        <w:t xml:space="preserve">LS, Lynch syndrome; LVSI, lymphovascular space invasion; </w:t>
      </w:r>
      <w:r>
        <w:t xml:space="preserve">MA, </w:t>
      </w:r>
      <w:r w:rsidRPr="003A3B3A">
        <w:t>megestrol acetate</w:t>
      </w:r>
      <w:r>
        <w:t xml:space="preserve">; </w:t>
      </w:r>
      <w:r w:rsidR="00A31256">
        <w:t xml:space="preserve">MPA, </w:t>
      </w:r>
      <w:r w:rsidR="00A31256" w:rsidRPr="00A31256">
        <w:t>medroxyprogesterone acetate</w:t>
      </w:r>
      <w:r w:rsidR="00A31256">
        <w:t>;</w:t>
      </w:r>
      <w:r w:rsidR="00A31256" w:rsidRPr="00A31256">
        <w:t xml:space="preserve"> </w:t>
      </w:r>
      <w:r w:rsidR="004E548E">
        <w:t xml:space="preserve">MRI, </w:t>
      </w:r>
      <w:r w:rsidR="004E548E" w:rsidRPr="002E0E10">
        <w:t xml:space="preserve">magnetic resonance imaging; MSI, microsatellite instability; </w:t>
      </w:r>
      <w:r>
        <w:t xml:space="preserve">mTOR, mammalian target of rapamycin; </w:t>
      </w:r>
      <w:r w:rsidR="009767D0">
        <w:t xml:space="preserve">OS, overall survival; </w:t>
      </w:r>
      <w:r w:rsidRPr="00E730D9">
        <w:t>PCOS, polycystic ovary syndrome; PET, positron emission tomography; PFS, progression-free survival; P</w:t>
      </w:r>
      <w:r w:rsidR="00A21DC1" w:rsidRPr="00E730D9">
        <w:t>g</w:t>
      </w:r>
      <w:r w:rsidRPr="00E730D9">
        <w:t xml:space="preserve">R, progesterone receptor; </w:t>
      </w:r>
      <w:r w:rsidR="00A21DC1" w:rsidRPr="00E730D9">
        <w:t xml:space="preserve">RT, radiotherapy; </w:t>
      </w:r>
      <w:r w:rsidRPr="00E730D9">
        <w:t xml:space="preserve">SEIC, serous endometrial intraepithelial carcinoma; SLN, </w:t>
      </w:r>
      <w:r>
        <w:rPr>
          <w:lang w:val="en-US"/>
        </w:rPr>
        <w:t>s</w:t>
      </w:r>
      <w:r w:rsidRPr="003112E1">
        <w:rPr>
          <w:lang w:val="en-US"/>
        </w:rPr>
        <w:t>entinel lymph node</w:t>
      </w:r>
      <w:r>
        <w:rPr>
          <w:lang w:val="en-US"/>
        </w:rPr>
        <w:t>; VEGFR, vascular endothelial growth factor receptor</w:t>
      </w:r>
      <w:r w:rsidR="004E548E">
        <w:rPr>
          <w:lang w:val="en-US"/>
        </w:rPr>
        <w:t xml:space="preserve">; WT-1, </w:t>
      </w:r>
      <w:r w:rsidR="004E548E" w:rsidRPr="004E548E">
        <w:rPr>
          <w:lang w:val="en-US"/>
        </w:rPr>
        <w:t>Wilms tumour 1 gene</w:t>
      </w:r>
    </w:p>
    <w:p w:rsidR="00DD269D" w:rsidRDefault="00DD269D"/>
    <w:sectPr w:rsidR="00DD269D" w:rsidSect="00B235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B1C"/>
    <w:multiLevelType w:val="hybridMultilevel"/>
    <w:tmpl w:val="2D242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161F22"/>
    <w:multiLevelType w:val="hybridMultilevel"/>
    <w:tmpl w:val="32E6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4B"/>
    <w:rsid w:val="002117AD"/>
    <w:rsid w:val="00214653"/>
    <w:rsid w:val="002E0E10"/>
    <w:rsid w:val="003F5A47"/>
    <w:rsid w:val="004338F9"/>
    <w:rsid w:val="0045790B"/>
    <w:rsid w:val="00484A7D"/>
    <w:rsid w:val="004E548E"/>
    <w:rsid w:val="004E78F6"/>
    <w:rsid w:val="00523EF0"/>
    <w:rsid w:val="005A62CF"/>
    <w:rsid w:val="005D0270"/>
    <w:rsid w:val="007D7BAE"/>
    <w:rsid w:val="009767D0"/>
    <w:rsid w:val="00A21DC1"/>
    <w:rsid w:val="00A31256"/>
    <w:rsid w:val="00A8318A"/>
    <w:rsid w:val="00B2354B"/>
    <w:rsid w:val="00BD3D1B"/>
    <w:rsid w:val="00D031A4"/>
    <w:rsid w:val="00DD269D"/>
    <w:rsid w:val="00E21BAA"/>
    <w:rsid w:val="00E730D9"/>
    <w:rsid w:val="00E86D7D"/>
    <w:rsid w:val="00EE3F7E"/>
    <w:rsid w:val="00F22F44"/>
    <w:rsid w:val="00F67209"/>
    <w:rsid w:val="00F740B9"/>
    <w:rsid w:val="00FD0BA3"/>
    <w:rsid w:val="00FD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4880C-7988-4C75-81F4-336F5C1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4B"/>
    <w:pPr>
      <w:spacing w:after="12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354B"/>
    <w:pPr>
      <w:ind w:left="720"/>
      <w:contextualSpacing/>
    </w:pPr>
  </w:style>
  <w:style w:type="table" w:styleId="TableGrid">
    <w:name w:val="Table Grid"/>
    <w:basedOn w:val="TableNormal"/>
    <w:uiPriority w:val="39"/>
    <w:rsid w:val="00B2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235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Corstorphine</dc:creator>
  <cp:keywords/>
  <dc:description/>
  <cp:lastModifiedBy>Jennifer LAMARRE</cp:lastModifiedBy>
  <cp:revision>3</cp:revision>
  <dcterms:created xsi:type="dcterms:W3CDTF">2015-11-27T13:57:00Z</dcterms:created>
  <dcterms:modified xsi:type="dcterms:W3CDTF">2015-11-27T13:59:00Z</dcterms:modified>
</cp:coreProperties>
</file>