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B8" w:rsidRPr="00795AB8" w:rsidRDefault="00795AB8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B07EE2">
        <w:rPr>
          <w:rFonts w:ascii="Times New Roman" w:hAnsi="Times New Roman" w:cs="Times New Roman"/>
          <w:b/>
          <w:sz w:val="22"/>
          <w:szCs w:val="22"/>
        </w:rPr>
        <w:t xml:space="preserve">Supplementary </w:t>
      </w:r>
      <w:r w:rsidR="00F243DC">
        <w:rPr>
          <w:rFonts w:ascii="Times New Roman" w:hAnsi="Times New Roman" w:cs="Times New Roman" w:hint="eastAsia"/>
          <w:b/>
          <w:sz w:val="22"/>
          <w:szCs w:val="22"/>
        </w:rPr>
        <w:t>T</w:t>
      </w:r>
      <w:r w:rsidRPr="00B07EE2">
        <w:rPr>
          <w:rFonts w:ascii="Times New Roman" w:hAnsi="Times New Roman" w:cs="Times New Roman"/>
          <w:b/>
          <w:sz w:val="22"/>
          <w:szCs w:val="22"/>
        </w:rPr>
        <w:t>able 1</w:t>
      </w:r>
      <w:r w:rsidRPr="00795AB8">
        <w:rPr>
          <w:rFonts w:ascii="Times New Roman" w:hAnsi="Times New Roman" w:cs="Times New Roman"/>
          <w:sz w:val="22"/>
          <w:szCs w:val="22"/>
        </w:rPr>
        <w:t xml:space="preserve">. Immunohistochemical findings of this case with reference of positive rate of each marker in </w:t>
      </w:r>
      <w:r w:rsidRPr="00795AB8">
        <w:rPr>
          <w:rFonts w:ascii="Times New Roman" w:hAnsi="Times New Roman" w:cs="Times New Roman"/>
          <w:kern w:val="0"/>
          <w:sz w:val="22"/>
          <w:szCs w:val="22"/>
        </w:rPr>
        <w:t>peritoneal malignant mesothelioma (PMM) and peritoneal serous carcinoma (PSC).</w:t>
      </w:r>
    </w:p>
    <w:tbl>
      <w:tblPr>
        <w:tblStyle w:val="LightShading"/>
        <w:tblpPr w:leftFromText="142" w:rightFromText="142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1763"/>
        <w:gridCol w:w="1764"/>
        <w:gridCol w:w="1763"/>
        <w:gridCol w:w="1764"/>
      </w:tblGrid>
      <w:tr w:rsidR="004039DB" w:rsidRPr="005C5CD0" w:rsidTr="00403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 w:hint="eastAsia"/>
                <w:b w:val="0"/>
                <w:color w:val="auto"/>
                <w:sz w:val="21"/>
                <w:szCs w:val="21"/>
              </w:rPr>
              <w:t>M</w:t>
            </w: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arker (Ref.)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This case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PMM (%)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PSC (%)</w:t>
            </w:r>
          </w:p>
        </w:tc>
      </w:tr>
      <w:tr w:rsidR="004039DB" w:rsidRPr="005C5CD0" w:rsidTr="00403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MOC31 (1)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Positive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98</w:t>
            </w:r>
          </w:p>
        </w:tc>
      </w:tr>
      <w:tr w:rsidR="004039DB" w:rsidRPr="005C5CD0" w:rsidTr="00403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Ber-EP4 (1)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Positive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9-13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83-100</w:t>
            </w:r>
          </w:p>
        </w:tc>
      </w:tr>
      <w:tr w:rsidR="004039DB" w:rsidRPr="005C5CD0" w:rsidTr="00403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Claudin 4 (1)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Positive</w:t>
            </w: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 weak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98</w:t>
            </w:r>
          </w:p>
        </w:tc>
      </w:tr>
      <w:tr w:rsidR="004039DB" w:rsidRPr="005C5CD0" w:rsidTr="00403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widowControl/>
              <w:jc w:val="left"/>
              <w:rPr>
                <w:rFonts w:ascii="Times New Roman" w:hAnsi="Times New Roman" w:cs="Times New Roman"/>
                <w:b w:val="0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C</w:t>
            </w: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alretinin (1)</w:t>
            </w:r>
          </w:p>
        </w:tc>
        <w:tc>
          <w:tcPr>
            <w:tcW w:w="1764" w:type="dxa"/>
            <w:shd w:val="clear" w:color="auto" w:fill="auto"/>
          </w:tcPr>
          <w:p w:rsidR="004039DB" w:rsidRDefault="004039DB" w:rsidP="004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C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Positive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85-100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0-38</w:t>
            </w:r>
          </w:p>
        </w:tc>
      </w:tr>
      <w:tr w:rsidR="004039DB" w:rsidRPr="005C5CD0" w:rsidTr="00403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D2-40 (1)</w:t>
            </w:r>
          </w:p>
        </w:tc>
        <w:tc>
          <w:tcPr>
            <w:tcW w:w="1764" w:type="dxa"/>
            <w:shd w:val="clear" w:color="auto" w:fill="auto"/>
          </w:tcPr>
          <w:p w:rsidR="004039DB" w:rsidRDefault="004039DB" w:rsidP="004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7C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Positive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93-96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13-65</w:t>
            </w:r>
          </w:p>
        </w:tc>
      </w:tr>
      <w:tr w:rsidR="004039DB" w:rsidRPr="005C5CD0" w:rsidTr="00403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WT-1 (1)</w:t>
            </w:r>
          </w:p>
        </w:tc>
        <w:tc>
          <w:tcPr>
            <w:tcW w:w="1764" w:type="dxa"/>
            <w:shd w:val="clear" w:color="auto" w:fill="auto"/>
          </w:tcPr>
          <w:p w:rsidR="004039DB" w:rsidRDefault="004039DB" w:rsidP="004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C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Positive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43-93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89-93</w:t>
            </w:r>
          </w:p>
        </w:tc>
      </w:tr>
      <w:tr w:rsidR="004039DB" w:rsidRPr="005C5CD0" w:rsidTr="00403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CEA (1)</w:t>
            </w:r>
          </w:p>
        </w:tc>
        <w:tc>
          <w:tcPr>
            <w:tcW w:w="1764" w:type="dxa"/>
            <w:shd w:val="clear" w:color="auto" w:fill="auto"/>
          </w:tcPr>
          <w:p w:rsidR="004039DB" w:rsidRDefault="004039DB" w:rsidP="004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7C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Positive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0-45</w:t>
            </w:r>
          </w:p>
        </w:tc>
      </w:tr>
      <w:tr w:rsidR="004039DB" w:rsidRPr="005C5CD0" w:rsidTr="00403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CA19-9 (2)</w:t>
            </w:r>
          </w:p>
        </w:tc>
        <w:tc>
          <w:tcPr>
            <w:tcW w:w="1764" w:type="dxa"/>
            <w:shd w:val="clear" w:color="auto" w:fill="auto"/>
          </w:tcPr>
          <w:p w:rsidR="004039DB" w:rsidRDefault="004039DB" w:rsidP="004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C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Positive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58</w:t>
            </w:r>
          </w:p>
        </w:tc>
      </w:tr>
      <w:tr w:rsidR="004039DB" w:rsidRPr="005C5CD0" w:rsidTr="00403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PAX8 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(1, </w:t>
            </w: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3)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egative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0</w:t>
            </w: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-12 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93</w:t>
            </w:r>
          </w:p>
        </w:tc>
      </w:tr>
      <w:tr w:rsidR="004039DB" w:rsidRPr="005C5CD0" w:rsidTr="00403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ER (1)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Positive</w:t>
            </w: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 weak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0–8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60-93</w:t>
            </w:r>
          </w:p>
        </w:tc>
      </w:tr>
      <w:tr w:rsidR="004039DB" w:rsidRPr="005C5CD0" w:rsidTr="00403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shd w:val="clear" w:color="auto" w:fill="auto"/>
          </w:tcPr>
          <w:p w:rsidR="004039DB" w:rsidRPr="005C5CD0" w:rsidRDefault="004039DB" w:rsidP="004039DB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BAP1 loss (4)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</w:t>
            </w: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ost</w:t>
            </w:r>
          </w:p>
        </w:tc>
        <w:tc>
          <w:tcPr>
            <w:tcW w:w="1763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67</w:t>
            </w:r>
          </w:p>
        </w:tc>
        <w:tc>
          <w:tcPr>
            <w:tcW w:w="1764" w:type="dxa"/>
            <w:shd w:val="clear" w:color="auto" w:fill="auto"/>
          </w:tcPr>
          <w:p w:rsidR="004039DB" w:rsidRPr="005C5CD0" w:rsidRDefault="004039DB" w:rsidP="004039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C5C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2.5</w:t>
            </w:r>
          </w:p>
        </w:tc>
      </w:tr>
    </w:tbl>
    <w:p w:rsidR="00795AB8" w:rsidRPr="007F7193" w:rsidRDefault="00795AB8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szCs w:val="22"/>
        </w:rPr>
      </w:pPr>
    </w:p>
    <w:p w:rsidR="00003E0A" w:rsidRDefault="00003E0A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5C5CD0" w:rsidRPr="005C5CD0" w:rsidRDefault="005C5CD0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</w:p>
    <w:p w:rsidR="00003E0A" w:rsidRPr="005C5CD0" w:rsidRDefault="00003E0A" w:rsidP="00795AB8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5C5CD0">
        <w:rPr>
          <w:rFonts w:ascii="Times New Roman" w:hAnsi="Times New Roman" w:cs="Times New Roman"/>
          <w:sz w:val="21"/>
          <w:szCs w:val="21"/>
        </w:rPr>
        <w:t>Reference</w:t>
      </w:r>
    </w:p>
    <w:p w:rsidR="005047F8" w:rsidRPr="005C5CD0" w:rsidRDefault="005047F8" w:rsidP="005047F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5C5CD0">
        <w:rPr>
          <w:rFonts w:ascii="Times New Roman" w:hAnsi="Times New Roman" w:cs="Times New Roman"/>
          <w:kern w:val="0"/>
          <w:sz w:val="21"/>
          <w:szCs w:val="21"/>
        </w:rPr>
        <w:t xml:space="preserve">Husain, A. N., T. V. Colby, N. G. Ordonez, T. C. et al. (2018). "Guidelines for Pathologic Diagnosis of Malignant Mesothelioma 2017 Update of the Consensus Statement </w:t>
      </w:r>
      <w:proofErr w:type="gramStart"/>
      <w:r w:rsidRPr="005C5CD0">
        <w:rPr>
          <w:rFonts w:ascii="Times New Roman" w:hAnsi="Times New Roman" w:cs="Times New Roman"/>
          <w:kern w:val="0"/>
          <w:sz w:val="21"/>
          <w:szCs w:val="21"/>
        </w:rPr>
        <w:t>From</w:t>
      </w:r>
      <w:proofErr w:type="gramEnd"/>
      <w:r w:rsidRPr="005C5CD0">
        <w:rPr>
          <w:rFonts w:ascii="Times New Roman" w:hAnsi="Times New Roman" w:cs="Times New Roman"/>
          <w:kern w:val="0"/>
          <w:sz w:val="21"/>
          <w:szCs w:val="21"/>
        </w:rPr>
        <w:t xml:space="preserve"> the International Mesothelioma Interest Group." </w:t>
      </w:r>
      <w:r w:rsidRPr="005C5CD0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Arch </w:t>
      </w:r>
      <w:proofErr w:type="spellStart"/>
      <w:r w:rsidRPr="005C5CD0">
        <w:rPr>
          <w:rFonts w:ascii="Times New Roman" w:hAnsi="Times New Roman" w:cs="Times New Roman"/>
          <w:kern w:val="0"/>
          <w:sz w:val="21"/>
          <w:szCs w:val="21"/>
          <w:u w:val="single"/>
        </w:rPr>
        <w:t>Pathol</w:t>
      </w:r>
      <w:proofErr w:type="spellEnd"/>
      <w:r w:rsidRPr="005C5CD0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Lab Med</w:t>
      </w:r>
      <w:r w:rsidRPr="005C5CD0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Pr="005C5CD0">
        <w:rPr>
          <w:rFonts w:ascii="Times New Roman" w:hAnsi="Times New Roman" w:cs="Times New Roman"/>
          <w:b/>
          <w:bCs/>
          <w:kern w:val="0"/>
          <w:sz w:val="21"/>
          <w:szCs w:val="21"/>
        </w:rPr>
        <w:t>142</w:t>
      </w:r>
      <w:r w:rsidRPr="005C5CD0">
        <w:rPr>
          <w:rFonts w:ascii="Times New Roman" w:hAnsi="Times New Roman" w:cs="Times New Roman"/>
          <w:kern w:val="0"/>
          <w:sz w:val="21"/>
          <w:szCs w:val="21"/>
        </w:rPr>
        <w:t>(1): 89-108.</w:t>
      </w:r>
    </w:p>
    <w:p w:rsidR="00D477FF" w:rsidRPr="005C5CD0" w:rsidRDefault="005047F8" w:rsidP="005047F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5C5CD0">
        <w:rPr>
          <w:rFonts w:ascii="Times New Roman" w:hAnsi="Times New Roman" w:cs="Times New Roman"/>
          <w:kern w:val="0"/>
          <w:sz w:val="21"/>
          <w:szCs w:val="21"/>
        </w:rPr>
        <w:t xml:space="preserve">Ordonez, N. G. (2006). "The diagnostic utility of immunohistochemistry and electron microscopy in distinguishing between peritoneal mesotheliomas and serous carcinomas: a comparative study." </w:t>
      </w:r>
      <w:r w:rsidRPr="005C5CD0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Mod </w:t>
      </w:r>
      <w:proofErr w:type="spellStart"/>
      <w:r w:rsidRPr="005C5CD0">
        <w:rPr>
          <w:rFonts w:ascii="Times New Roman" w:hAnsi="Times New Roman" w:cs="Times New Roman"/>
          <w:kern w:val="0"/>
          <w:sz w:val="21"/>
          <w:szCs w:val="21"/>
          <w:u w:val="single"/>
        </w:rPr>
        <w:t>Pathol</w:t>
      </w:r>
      <w:proofErr w:type="spellEnd"/>
      <w:r w:rsidRPr="005C5CD0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Pr="005C5CD0">
        <w:rPr>
          <w:rFonts w:ascii="Times New Roman" w:hAnsi="Times New Roman" w:cs="Times New Roman"/>
          <w:b/>
          <w:bCs/>
          <w:kern w:val="0"/>
          <w:sz w:val="21"/>
          <w:szCs w:val="21"/>
        </w:rPr>
        <w:t>19</w:t>
      </w:r>
      <w:r w:rsidRPr="005C5CD0">
        <w:rPr>
          <w:rFonts w:ascii="Times New Roman" w:hAnsi="Times New Roman" w:cs="Times New Roman"/>
          <w:kern w:val="0"/>
          <w:sz w:val="21"/>
          <w:szCs w:val="21"/>
        </w:rPr>
        <w:t>(1): 34-48.</w:t>
      </w:r>
    </w:p>
    <w:p w:rsidR="005047F8" w:rsidRPr="005C5CD0" w:rsidRDefault="005047F8" w:rsidP="005047F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5C5CD0">
        <w:rPr>
          <w:rFonts w:ascii="Times New Roman" w:hAnsi="Times New Roman" w:cs="Times New Roman"/>
          <w:kern w:val="0"/>
          <w:sz w:val="21"/>
          <w:szCs w:val="21"/>
        </w:rPr>
        <w:t xml:space="preserve">Xing, D., N. Banet, R. Sharma et al. (2018). "Aberrant Pax-8 expression in well-differentiated papillary mesothelioma and malignant mesothelioma of the peritoneum: a clinicopathologic study." </w:t>
      </w:r>
      <w:r w:rsidRPr="005C5CD0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Hum </w:t>
      </w:r>
      <w:proofErr w:type="spellStart"/>
      <w:r w:rsidRPr="005C5CD0">
        <w:rPr>
          <w:rFonts w:ascii="Times New Roman" w:hAnsi="Times New Roman" w:cs="Times New Roman"/>
          <w:kern w:val="0"/>
          <w:sz w:val="21"/>
          <w:szCs w:val="21"/>
          <w:u w:val="single"/>
        </w:rPr>
        <w:t>Pathol</w:t>
      </w:r>
      <w:proofErr w:type="spellEnd"/>
      <w:r w:rsidRPr="005C5CD0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Pr="005C5CD0">
        <w:rPr>
          <w:rFonts w:ascii="Times New Roman" w:hAnsi="Times New Roman" w:cs="Times New Roman"/>
          <w:b/>
          <w:bCs/>
          <w:kern w:val="0"/>
          <w:sz w:val="21"/>
          <w:szCs w:val="21"/>
        </w:rPr>
        <w:t>72</w:t>
      </w:r>
      <w:r w:rsidRPr="005C5CD0">
        <w:rPr>
          <w:rFonts w:ascii="Times New Roman" w:hAnsi="Times New Roman" w:cs="Times New Roman"/>
          <w:kern w:val="0"/>
          <w:sz w:val="21"/>
          <w:szCs w:val="21"/>
        </w:rPr>
        <w:t>: 160-166.</w:t>
      </w:r>
    </w:p>
    <w:p w:rsidR="005047F8" w:rsidRPr="005C5CD0" w:rsidRDefault="005047F8" w:rsidP="008E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  <w:sz w:val="21"/>
          <w:szCs w:val="21"/>
        </w:rPr>
      </w:pPr>
      <w:proofErr w:type="spellStart"/>
      <w:r w:rsidRPr="005C5CD0">
        <w:rPr>
          <w:rFonts w:ascii="Times New Roman" w:hAnsi="Times New Roman" w:cs="Times New Roman"/>
          <w:kern w:val="0"/>
          <w:sz w:val="21"/>
          <w:szCs w:val="21"/>
        </w:rPr>
        <w:t>Andrici</w:t>
      </w:r>
      <w:proofErr w:type="spellEnd"/>
      <w:r w:rsidRPr="005C5CD0">
        <w:rPr>
          <w:rFonts w:ascii="Times New Roman" w:hAnsi="Times New Roman" w:cs="Times New Roman"/>
          <w:kern w:val="0"/>
          <w:sz w:val="21"/>
          <w:szCs w:val="21"/>
        </w:rPr>
        <w:t xml:space="preserve">, J., J. Jung, A. Sheen, et al. (2016). "Loss of BAP1 expression is very rare in peritoneal and gynecologic serous adenocarcinomas and can be useful in the differential diagnosis with abdominal mesothelioma." </w:t>
      </w:r>
      <w:r w:rsidRPr="005C5CD0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Hum </w:t>
      </w:r>
      <w:proofErr w:type="spellStart"/>
      <w:r w:rsidRPr="005C5CD0">
        <w:rPr>
          <w:rFonts w:ascii="Times New Roman" w:hAnsi="Times New Roman" w:cs="Times New Roman"/>
          <w:kern w:val="0"/>
          <w:sz w:val="21"/>
          <w:szCs w:val="21"/>
          <w:u w:val="single"/>
        </w:rPr>
        <w:t>Pathol</w:t>
      </w:r>
      <w:proofErr w:type="spellEnd"/>
      <w:r w:rsidRPr="005C5CD0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Pr="005C5CD0">
        <w:rPr>
          <w:rFonts w:ascii="Times New Roman" w:hAnsi="Times New Roman" w:cs="Times New Roman"/>
          <w:b/>
          <w:bCs/>
          <w:kern w:val="0"/>
          <w:sz w:val="21"/>
          <w:szCs w:val="21"/>
        </w:rPr>
        <w:t>51</w:t>
      </w:r>
      <w:r w:rsidRPr="005C5CD0">
        <w:rPr>
          <w:rFonts w:ascii="Times New Roman" w:hAnsi="Times New Roman" w:cs="Times New Roman"/>
          <w:kern w:val="0"/>
          <w:sz w:val="21"/>
          <w:szCs w:val="21"/>
        </w:rPr>
        <w:t>: 9-15.</w:t>
      </w:r>
    </w:p>
    <w:p w:rsidR="005047F8" w:rsidRDefault="005047F8" w:rsidP="005047F8">
      <w:pPr>
        <w:autoSpaceDE w:val="0"/>
        <w:autoSpaceDN w:val="0"/>
        <w:adjustRightInd w:val="0"/>
        <w:jc w:val="left"/>
        <w:rPr>
          <w:rFonts w:ascii="Segoe UI" w:hAnsi="Segoe UI" w:cs="Segoe UI"/>
          <w:kern w:val="0"/>
          <w:sz w:val="18"/>
          <w:szCs w:val="18"/>
        </w:rPr>
      </w:pPr>
    </w:p>
    <w:p w:rsidR="000B69E2" w:rsidRDefault="000B69E2" w:rsidP="005047F8">
      <w:pPr>
        <w:autoSpaceDE w:val="0"/>
        <w:autoSpaceDN w:val="0"/>
        <w:adjustRightInd w:val="0"/>
        <w:jc w:val="left"/>
        <w:rPr>
          <w:rFonts w:ascii="Segoe UI" w:hAnsi="Segoe UI" w:cs="Segoe UI"/>
          <w:kern w:val="0"/>
          <w:sz w:val="18"/>
          <w:szCs w:val="18"/>
        </w:rPr>
      </w:pPr>
    </w:p>
    <w:p w:rsidR="000B69E2" w:rsidRDefault="000B69E2" w:rsidP="005047F8">
      <w:pPr>
        <w:autoSpaceDE w:val="0"/>
        <w:autoSpaceDN w:val="0"/>
        <w:adjustRightInd w:val="0"/>
        <w:jc w:val="left"/>
        <w:rPr>
          <w:rFonts w:ascii="Segoe UI" w:hAnsi="Segoe UI" w:cs="Segoe UI"/>
          <w:kern w:val="0"/>
          <w:sz w:val="18"/>
          <w:szCs w:val="18"/>
        </w:rPr>
      </w:pPr>
    </w:p>
    <w:p w:rsidR="000B69E2" w:rsidRDefault="000B69E2" w:rsidP="000B69E2">
      <w:pPr>
        <w:rPr>
          <w:rFonts w:ascii="Times New Roman" w:hAnsi="Times New Roman" w:cs="Times New Roman"/>
          <w:kern w:val="0"/>
          <w:szCs w:val="21"/>
        </w:rPr>
      </w:pPr>
      <w:proofErr w:type="gramStart"/>
      <w:r>
        <w:rPr>
          <w:rFonts w:ascii="Times New Roman" w:hAnsi="Times New Roman" w:cs="Times New Roman"/>
          <w:b/>
          <w:szCs w:val="21"/>
        </w:rPr>
        <w:lastRenderedPageBreak/>
        <w:t>Supplementary Table 2.</w:t>
      </w:r>
      <w:proofErr w:type="gramEnd"/>
      <w:r>
        <w:rPr>
          <w:rFonts w:ascii="Times New Roman" w:hAnsi="Times New Roman" w:cs="Times New Roman"/>
          <w:szCs w:val="21"/>
        </w:rPr>
        <w:t xml:space="preserve"> Primary </w:t>
      </w:r>
      <w:r>
        <w:rPr>
          <w:rFonts w:ascii="Times New Roman" w:hAnsi="Times New Roman" w:cs="Times New Roman"/>
          <w:kern w:val="0"/>
          <w:szCs w:val="21"/>
        </w:rPr>
        <w:t>antibodies used for immunohistochemistry in this study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626"/>
        <w:gridCol w:w="2584"/>
        <w:gridCol w:w="1298"/>
        <w:gridCol w:w="1546"/>
      </w:tblGrid>
      <w:tr w:rsidR="000B69E2" w:rsidTr="000B69E2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Marker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Clone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Source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Dilution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Antigen retrieval</w:t>
            </w:r>
          </w:p>
        </w:tc>
      </w:tr>
      <w:tr w:rsidR="000B69E2" w:rsidTr="000B69E2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widowControl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PAX8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PAX8R1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Abcam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Cambridge, MA, USA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widowControl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HNF4alfa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H1415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Perseus Proteomics, Tokyo, Japan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1:100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Citrate buffer (pH 6)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SP1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Style w:val="Emphasis"/>
                <w:rFonts w:hint="eastAsia"/>
                <w:bCs/>
                <w:szCs w:val="21"/>
                <w:shd w:val="clear" w:color="auto" w:fill="FFFFFF"/>
              </w:rPr>
              <w:t>Ventana</w:t>
            </w:r>
            <w:proofErr w:type="spellEnd"/>
            <w:r>
              <w:rPr>
                <w:rFonts w:ascii="Times New Roman" w:hAnsi="Times New Roman" w:cs="Times New Roman"/>
                <w:i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Medical Systems, Tucson, AZ, USA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CDX2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DAK-CDX2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Dako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Glostrup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Denmark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BAP1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Santa Cruz Biotechnology, Dallas, TX, USA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1:100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HER2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Hercep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test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Dako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Glostrup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Denmark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Claudin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3E2C1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Zymed</w:t>
            </w:r>
            <w:proofErr w:type="spellEnd"/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, South San Francisco, CA, USA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1:500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PMS2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EP51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Dako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Glostrup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Denmark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MLH1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ES05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Dako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Glostrup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Denmark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MSH6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EP49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Dako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Glostrup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Denmark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6F-H2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Dako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Glostrup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Denmark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D2-40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D2-40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Dako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Glostrup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Denmark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Dako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Glostrup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Denmark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lastRenderedPageBreak/>
              <w:t>Pancytokeratin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AE1/AE3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Dako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Glostrup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Denmark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Prediluted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Tris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-EDTA (pH 9)</w:t>
            </w:r>
          </w:p>
        </w:tc>
      </w:tr>
      <w:tr w:rsidR="000B69E2" w:rsidTr="000B69E2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widowControl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Calretinin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Polyclonal (rabbit)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Zymed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>, South San Francisco, CA, 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9E2" w:rsidRDefault="000B69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Citrate buffer (pH 6)</w:t>
            </w:r>
          </w:p>
        </w:tc>
      </w:tr>
    </w:tbl>
    <w:p w:rsidR="000B69E2" w:rsidRDefault="000B69E2" w:rsidP="000B69E2">
      <w:pPr>
        <w:rPr>
          <w:rFonts w:ascii="Times New Roman" w:hAnsi="Times New Roman" w:cs="Times New Roman"/>
          <w:sz w:val="21"/>
          <w:szCs w:val="21"/>
        </w:rPr>
      </w:pPr>
    </w:p>
    <w:p w:rsidR="000B69E2" w:rsidRDefault="000B69E2" w:rsidP="000B69E2">
      <w:pPr>
        <w:rPr>
          <w:rFonts w:ascii="Times New Roman" w:hAnsi="Times New Roman" w:cs="Times New Roman"/>
          <w:szCs w:val="21"/>
        </w:rPr>
      </w:pPr>
    </w:p>
    <w:p w:rsidR="000B69E2" w:rsidRPr="005047F8" w:rsidRDefault="000B69E2" w:rsidP="005047F8">
      <w:pPr>
        <w:autoSpaceDE w:val="0"/>
        <w:autoSpaceDN w:val="0"/>
        <w:adjustRightInd w:val="0"/>
        <w:jc w:val="left"/>
        <w:rPr>
          <w:rFonts w:ascii="Segoe UI" w:hAnsi="Segoe UI" w:cs="Segoe UI"/>
          <w:kern w:val="0"/>
          <w:sz w:val="18"/>
          <w:szCs w:val="18"/>
        </w:rPr>
      </w:pPr>
      <w:bookmarkStart w:id="0" w:name="_GoBack"/>
      <w:bookmarkEnd w:id="0"/>
    </w:p>
    <w:sectPr w:rsidR="000B69E2" w:rsidRPr="005047F8" w:rsidSect="004902B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6F" w:rsidRDefault="00472D6F" w:rsidP="00F86583">
      <w:r>
        <w:separator/>
      </w:r>
    </w:p>
  </w:endnote>
  <w:endnote w:type="continuationSeparator" w:id="0">
    <w:p w:rsidR="00472D6F" w:rsidRDefault="00472D6F" w:rsidP="00F8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altName w:val="Calibri"/>
    <w:charset w:val="4E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6F" w:rsidRDefault="00472D6F" w:rsidP="00F86583">
      <w:r>
        <w:separator/>
      </w:r>
    </w:p>
  </w:footnote>
  <w:footnote w:type="continuationSeparator" w:id="0">
    <w:p w:rsidR="00472D6F" w:rsidRDefault="00472D6F" w:rsidP="00F8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5693"/>
    <w:multiLevelType w:val="hybridMultilevel"/>
    <w:tmpl w:val="0B8E8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1A2"/>
    <w:rsid w:val="00003E0A"/>
    <w:rsid w:val="000B69E2"/>
    <w:rsid w:val="0035693E"/>
    <w:rsid w:val="003D60E3"/>
    <w:rsid w:val="004039DB"/>
    <w:rsid w:val="00472D6F"/>
    <w:rsid w:val="004902BD"/>
    <w:rsid w:val="005047F8"/>
    <w:rsid w:val="00565B84"/>
    <w:rsid w:val="005C5CD0"/>
    <w:rsid w:val="006B7A84"/>
    <w:rsid w:val="006E61A2"/>
    <w:rsid w:val="00795AB8"/>
    <w:rsid w:val="007F7193"/>
    <w:rsid w:val="00A30FBC"/>
    <w:rsid w:val="00A752B1"/>
    <w:rsid w:val="00AE3329"/>
    <w:rsid w:val="00B07EE2"/>
    <w:rsid w:val="00B67EF0"/>
    <w:rsid w:val="00B83921"/>
    <w:rsid w:val="00CC59A2"/>
    <w:rsid w:val="00CE4595"/>
    <w:rsid w:val="00D477FF"/>
    <w:rsid w:val="00D9440D"/>
    <w:rsid w:val="00DB3916"/>
    <w:rsid w:val="00F243DC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ヒラギノ角ゴ ProN W3" w:eastAsiaTheme="minorEastAsia" w:hAnsi="ヒラギノ角ゴ ProN W3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A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61A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LightShading">
    <w:name w:val="Light Shading"/>
    <w:basedOn w:val="TableNormal"/>
    <w:uiPriority w:val="60"/>
    <w:rsid w:val="00A30F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8658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6583"/>
  </w:style>
  <w:style w:type="paragraph" w:styleId="Footer">
    <w:name w:val="footer"/>
    <w:basedOn w:val="Normal"/>
    <w:link w:val="FooterChar"/>
    <w:uiPriority w:val="99"/>
    <w:unhideWhenUsed/>
    <w:rsid w:val="00F8658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86583"/>
  </w:style>
  <w:style w:type="paragraph" w:styleId="ListParagraph">
    <w:name w:val="List Paragraph"/>
    <w:basedOn w:val="Normal"/>
    <w:uiPriority w:val="34"/>
    <w:qFormat/>
    <w:rsid w:val="005047F8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0B69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70965-938E-4547-A6DB-FA73743E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 SATOMI</dc:creator>
  <cp:keywords/>
  <dc:description/>
  <cp:lastModifiedBy>ULLAS K C</cp:lastModifiedBy>
  <cp:revision>15</cp:revision>
  <dcterms:created xsi:type="dcterms:W3CDTF">2018-12-25T09:40:00Z</dcterms:created>
  <dcterms:modified xsi:type="dcterms:W3CDTF">2019-05-22T13:16:00Z</dcterms:modified>
</cp:coreProperties>
</file>