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4.0" w:type="dxa"/>
        <w:jc w:val="left"/>
        <w:tblInd w:w="0.0" w:type="dxa"/>
        <w:tblLayout w:type="fixed"/>
        <w:tblLook w:val="0400"/>
      </w:tblPr>
      <w:tblGrid>
        <w:gridCol w:w="3216"/>
        <w:gridCol w:w="3849"/>
        <w:gridCol w:w="1144"/>
        <w:gridCol w:w="1146"/>
        <w:gridCol w:w="785"/>
        <w:gridCol w:w="644"/>
        <w:tblGridChange w:id="0">
          <w:tblGrid>
            <w:gridCol w:w="3216"/>
            <w:gridCol w:w="3849"/>
            <w:gridCol w:w="1144"/>
            <w:gridCol w:w="1146"/>
            <w:gridCol w:w="785"/>
            <w:gridCol w:w="644"/>
          </w:tblGrid>
        </w:tblGridChange>
      </w:tblGrid>
      <w:tr>
        <w:trPr>
          <w:trHeight w:val="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Table A6: Patient Baseline Characteristics, Matched, Unfavorable Risk, black men vs white men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ff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Black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White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p-value</w:t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SMD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f4f8f9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2543</w:t>
            </w:r>
          </w:p>
        </w:tc>
        <w:tc>
          <w:tcPr>
            <w:tcBorders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2543</w:t>
            </w:r>
          </w:p>
        </w:tc>
        <w:tc>
          <w:tcPr>
            <w:tcBorders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Treatment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EBRT+ADT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883 (34.7)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947 (37.2)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0.099</w:t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0.06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RP and PLND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1470 (57.8)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1394 (54.8)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EBRT+BT+ADT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190 (7.5)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202 (7.9)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Facility Type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Community Cancer Program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201 (7.9)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203 (8.0)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0.775</w:t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0.03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Comprehensive Community Cancer Program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1153 (45.3)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1166 (45.9)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Academic/Research Program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911 (35.8)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919 (36.1)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Integrated Network Cancer Program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278 (10.9)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255 (10.0)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Geography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New England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106 (4.2)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107 (4.2)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0.235</w:t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0.091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Middle Atlantic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400 (15.7)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425 (16.7)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South Atlantic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761 (29.9)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693 (27.3)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East North Central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429 (16.9)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477 (18.8)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East South Central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252 (9.9)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255 (10.0)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West North Central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157 (6.2)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181 (7.1)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West South Central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169 (6.6)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168 (6.6)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Mountain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45 (1.8)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36 (1.4)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Pacific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224 (8.8)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201 (7.9)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Insurance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Not Insured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46 (1.8)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40 (1.6)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0.352</w:t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0.066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Private Insurance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1291 (50.8)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1227 (48.3)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Medicaid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51 (2.0)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59 (2.3)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Medicare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1076 (42.3)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1119 (44.0)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Other Government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43 (1.7)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55 (2.2)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Insurance Status Unknown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36 (1.4)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43 (1.7)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Income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$38,000 - $47,999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678 (26.7)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686 (27.0)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0.713</w:t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0.041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$48,000 - $62,999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662 (26.0)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684 (26.9)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$63,000 +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691 (27.2)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651 (25.6)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&lt; $38,000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498 (19.6)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511 (20.1)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unknown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14 (0.6)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11 (0.4)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Charleson Deyo Comorbidity Index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2141 (84.2)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2126 (83.6)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0.833</w:t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0.017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351 (13.8)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366 (14.4)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2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51 (2.0)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51 (2.0)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Age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64.01 (8.18)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64.48 (8.16)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0.043</w:t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0.057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Risk Cohort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HR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1994 (78.4)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1968 (77.4)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0.668</w:t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0.025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IR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341 (13.4)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354 (13.9)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VHR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208 (8.2)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221 (8.7)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Diagnosis to treatment initiation time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0-90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1895 (74.5)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1886 (74.2)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0.958</w:t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0.008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&gt;90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452 (17.8)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459 (18.0)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unknown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196 (7.7)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198 (7.8)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clinical T stage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T1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1217 (47.9)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1161 (45.7)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0.297</w:t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0.069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T2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681 (26.8)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717 (28.2)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T3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413 (16.2)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420 (16.5)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T4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14 (0.6)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23 (0.9)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unknown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3 (0.1)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7 (0.3)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215 (8.5)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215 (8.5)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clinical Gleason score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&lt;=6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62 (2.4)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68 (2.7)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0.876</w:t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0.038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10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13 (0.5)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14 (0.6)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7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497 (19.5)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523 (20.6)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8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396 (15.6)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381 (15.0)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9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194 (7.6)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204 (8.0)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unknown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1381 (54.3)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1353 (53.2)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PSA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&lt;10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776 (30.5)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788 (31.0)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0.891</w:t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0.022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&gt;20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1444 (56.8)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1440 (56.6)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10-20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258 (10.1)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258 (10.1)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unknown</w:t>
            </w:r>
          </w:p>
        </w:tc>
        <w:tc>
          <w:tcPr>
            <w:tcBorders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65 (2.6)</w:t>
            </w:r>
          </w:p>
        </w:tc>
        <w:tc>
          <w:tcPr>
            <w:tcBorders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57 (2.2)</w:t>
            </w:r>
          </w:p>
        </w:tc>
        <w:tc>
          <w:tcPr>
            <w:tcBorders>
              <w:bottom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6"/>
            <w:tcBorders>
              <w:left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4"/>
                <w:szCs w:val="14"/>
                <w:rtl w:val="0"/>
              </w:rPr>
              <w:t xml:space="preserve">Abbreviations: BT=brachytherapy; EBRT=external beam radiotherapy; RP=Radical Prostatectomy; PLND=pelvic lymph node dissection SMD=Standardized mean difference; CI=Confidence Interval</w:t>
            </w:r>
          </w:p>
        </w:tc>
      </w:tr>
      <w:tr>
        <w:trPr>
          <w:trHeight w:val="20" w:hRule="atLeast"/>
        </w:trPr>
        <w:tc>
          <w:tcPr>
            <w:gridSpan w:val="6"/>
            <w:tcBorders>
              <w:left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*ng/ml </w:t>
            </w:r>
          </w:p>
        </w:tc>
      </w:tr>
      <w:tr>
        <w:trPr>
          <w:trHeight w:val="20" w:hRule="atLeast"/>
        </w:trPr>
        <w:tc>
          <w:tcPr>
            <w:gridSpan w:val="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4"/>
                <w:szCs w:val="14"/>
                <w:rtl w:val="0"/>
              </w:rPr>
              <w:t xml:space="preserve">**combined gleason score</w:t>
            </w:r>
          </w:p>
        </w:tc>
      </w:tr>
    </w:tbl>
    <w:p w:rsidR="00000000" w:rsidDel="00000000" w:rsidP="00000000" w:rsidRDefault="00000000" w:rsidRPr="00000000" w14:paraId="00000170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UImhvTN5gG93IgFibTSBL/d1OQ==">AMUW2mUq9NkH3crvj9BfmaCwkZ2FzE5Hvo2lPOKIPpy161WGLbNL9cJZ5+47gA66jnyAItlNMqDVnt2HbL42a35RnCti8hqWPxcY74PnccBvbQpw6d4byIX4eOFURmjr2TKZQrfA9LwI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2019-12-20T01:54:00Z</dcterms:created>
  <dc:creator>Joyson Kodiyan</dc:creator>
</cp:coreProperties>
</file>