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9" w:rsidRDefault="00805B43">
      <w:r>
        <w:t>Children hospitalized with influenza-associated pneumonia and bacterial co-infections, 2003-2008</w:t>
      </w:r>
    </w:p>
    <w:tbl>
      <w:tblPr>
        <w:tblW w:w="9822" w:type="dxa"/>
        <w:tblInd w:w="88" w:type="dxa"/>
        <w:tblLook w:val="04A0"/>
      </w:tblPr>
      <w:tblGrid>
        <w:gridCol w:w="928"/>
        <w:gridCol w:w="724"/>
        <w:gridCol w:w="3768"/>
        <w:gridCol w:w="2802"/>
        <w:gridCol w:w="1600"/>
      </w:tblGrid>
      <w:tr w:rsidR="00D21A89" w:rsidRPr="00D21A89" w:rsidTr="007960AE">
        <w:trPr>
          <w:trHeight w:val="27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7960AE" w:rsidP="00D2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Underlying</w:t>
            </w:r>
            <w:r w:rsidR="00D21A89" w:rsidRPr="00D21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Medical Condition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Pathogen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&lt;1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Alpha hemolytic streptococcus*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seizure disorder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pneumoniae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serotype 35B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5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pneumoniae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serotype 19A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blood, pleural fluid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6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resistant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&lt;1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1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Group A streptococcus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CSF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Group A streptococcus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asthma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7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asthma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8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immunosuppressed</w:t>
            </w:r>
            <w:proofErr w:type="spellEnd"/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Proprionibacterium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2005-06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asthma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pneumoniae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serotype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pleural fluid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2005-06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chronic lung disease, chronic metabolic disease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pneumoniae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</w:t>
            </w: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serotype 19A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2005-06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3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2005-06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renal disease, chronic lung disease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epidermidis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2006-07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1 mo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necrotizing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entercolitis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, chronic metabolic disease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Klebsiella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none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pneumoniae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serotype 7F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12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asthma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E.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faecalis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15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developmental delay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resistant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blood</w:t>
            </w:r>
          </w:p>
        </w:tc>
      </w:tr>
      <w:tr w:rsidR="00D21A89" w:rsidRPr="00D21A89" w:rsidTr="007960AE">
        <w:trPr>
          <w:trHeight w:val="25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21A89" w:rsidRPr="00D21A89" w:rsidTr="007960AE">
        <w:trPr>
          <w:trHeight w:val="270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16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asthma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methicillin</w:t>
            </w:r>
            <w:proofErr w:type="spellEnd"/>
            <w:r w:rsidRPr="00D21A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susceptible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pleural fluid</w:t>
            </w:r>
          </w:p>
        </w:tc>
      </w:tr>
      <w:tr w:rsidR="00D21A89" w:rsidRPr="00D21A89" w:rsidTr="007960AE">
        <w:trPr>
          <w:trHeight w:val="255"/>
        </w:trPr>
        <w:tc>
          <w:tcPr>
            <w:tcW w:w="98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>*Possible pathogens.</w:t>
            </w:r>
          </w:p>
        </w:tc>
      </w:tr>
      <w:tr w:rsidR="00D21A89" w:rsidRPr="00D21A89" w:rsidTr="007960AE">
        <w:trPr>
          <w:trHeight w:val="990"/>
        </w:trPr>
        <w:tc>
          <w:tcPr>
            <w:tcW w:w="9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1A89" w:rsidRPr="00D21A89" w:rsidRDefault="00D21A89" w:rsidP="00D21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During the 2003-06 Influenza seasons, bacterial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coinfection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was defined as growth of a bacterial pathogen from a normally sterile site.  During the 2006-08 Influenza seasons, the definition was expanded to include non-sterile sites such as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endotracheal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aspirates or sputum.  Thus, in addition to the cases of invasive bacterial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coinfection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listed in the table above, two cases of bacterial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coinfection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with S.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aureus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were identified from 2006-08 (both from </w:t>
            </w:r>
            <w:proofErr w:type="spellStart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>endotracheal</w:t>
            </w:r>
            <w:proofErr w:type="spellEnd"/>
            <w:r w:rsidRPr="00D21A89">
              <w:rPr>
                <w:rFonts w:ascii="Arial" w:eastAsia="Times New Roman" w:hAnsi="Arial" w:cs="Arial"/>
                <w:sz w:val="16"/>
                <w:szCs w:val="16"/>
              </w:rPr>
              <w:t xml:space="preserve"> tube aspirates). </w:t>
            </w:r>
          </w:p>
        </w:tc>
      </w:tr>
    </w:tbl>
    <w:p w:rsidR="00805B43" w:rsidRDefault="00805B43"/>
    <w:p w:rsidR="008F51E2" w:rsidRDefault="008F51E2"/>
    <w:sectPr w:rsidR="008F51E2" w:rsidSect="008F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5B43"/>
    <w:rsid w:val="007960AE"/>
    <w:rsid w:val="00805B43"/>
    <w:rsid w:val="008F51E2"/>
    <w:rsid w:val="00D2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C159-F796-4B06-9AEF-5C9A1DB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HGJ0</dc:creator>
  <cp:keywords/>
  <dc:description/>
  <cp:lastModifiedBy>HGJ0</cp:lastModifiedBy>
  <cp:revision>2</cp:revision>
  <dcterms:created xsi:type="dcterms:W3CDTF">2010-02-10T22:08:00Z</dcterms:created>
  <dcterms:modified xsi:type="dcterms:W3CDTF">2010-02-10T22:24:00Z</dcterms:modified>
</cp:coreProperties>
</file>