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56" w:rsidRDefault="00851D56" w:rsidP="00851D56">
      <w:pPr>
        <w:spacing w:line="240" w:lineRule="auto"/>
      </w:pPr>
      <w:r>
        <w:t xml:space="preserve">SDC 1: </w:t>
      </w:r>
      <w:r>
        <w:rPr>
          <w:noProof/>
        </w:rPr>
        <w:t>Tympanic membrane severity scoring (OS-8)  and characteristics of TM in 294 AOM episodes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2"/>
        <w:gridCol w:w="584"/>
        <w:gridCol w:w="608"/>
      </w:tblGrid>
      <w:tr w:rsidR="00851D56" w:rsidRPr="00593BC5" w:rsidTr="001C45F5">
        <w:trPr>
          <w:trHeight w:hRule="exact" w:val="330"/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B2504B" w:rsidRDefault="00851D56" w:rsidP="001C45F5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593BC5" w:rsidRDefault="00851D56" w:rsidP="001C45F5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Default="00851D56" w:rsidP="001C45F5">
            <w:r>
              <w:rPr>
                <w:b/>
              </w:rPr>
              <w:t>(</w:t>
            </w:r>
            <w:r w:rsidRPr="00593BC5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OS-8</w:t>
            </w:r>
            <w:r w:rsidRPr="0043214D">
              <w:rPr>
                <w:vertAlign w:val="superscript"/>
              </w:rPr>
              <w:t>a</w:t>
            </w:r>
            <w:r>
              <w:t xml:space="preserve"> score</w:t>
            </w:r>
            <w:r w:rsidRPr="0043214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2 (</w:t>
            </w:r>
            <w:proofErr w:type="spellStart"/>
            <w:r w:rsidRPr="0043214D">
              <w:t>erythema</w:t>
            </w:r>
            <w:proofErr w:type="spellEnd"/>
            <w:r w:rsidRPr="0043214D">
              <w:t>, air-fluid level, clear fluid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  <w:jc w:val="right"/>
              <w:rPr>
                <w:bCs/>
              </w:rPr>
            </w:pPr>
            <w:r w:rsidRPr="0043214D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(2)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3 (</w:t>
            </w:r>
            <w:proofErr w:type="spellStart"/>
            <w:r w:rsidRPr="0043214D">
              <w:t>erythema</w:t>
            </w:r>
            <w:proofErr w:type="spellEnd"/>
            <w:r w:rsidRPr="0043214D">
              <w:t xml:space="preserve">, complete effusion, no </w:t>
            </w:r>
            <w:proofErr w:type="spellStart"/>
            <w:r w:rsidRPr="0043214D">
              <w:t>opacification</w:t>
            </w:r>
            <w:proofErr w:type="spellEnd"/>
            <w:r w:rsidRPr="0043214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  <w:jc w:val="right"/>
              <w:rPr>
                <w:bCs/>
              </w:rPr>
            </w:pPr>
            <w:r w:rsidRPr="0043214D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(4)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4 (</w:t>
            </w:r>
            <w:proofErr w:type="spellStart"/>
            <w:r w:rsidRPr="0043214D">
              <w:t>erythema</w:t>
            </w:r>
            <w:proofErr w:type="spellEnd"/>
            <w:r w:rsidRPr="0043214D">
              <w:t xml:space="preserve">, </w:t>
            </w:r>
            <w:proofErr w:type="spellStart"/>
            <w:r w:rsidRPr="0043214D">
              <w:t>opacification</w:t>
            </w:r>
            <w:proofErr w:type="spellEnd"/>
            <w:r w:rsidRPr="0043214D">
              <w:t>, air-fluid level</w:t>
            </w:r>
            <w:r>
              <w:t xml:space="preserve"> </w:t>
            </w:r>
            <w:r w:rsidRPr="004C1DF4">
              <w:rPr>
                <w:vertAlign w:val="superscript"/>
              </w:rPr>
              <w:t>b</w:t>
            </w:r>
            <w:r w:rsidRPr="0043214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  <w:jc w:val="right"/>
              <w:rPr>
                <w:bCs/>
              </w:rPr>
            </w:pPr>
            <w:r w:rsidRPr="0043214D">
              <w:rPr>
                <w:bCs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(23)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5 (</w:t>
            </w:r>
            <w:proofErr w:type="spellStart"/>
            <w:r w:rsidRPr="0043214D">
              <w:t>erythema</w:t>
            </w:r>
            <w:proofErr w:type="spellEnd"/>
            <w:r w:rsidRPr="0043214D">
              <w:t>, complete effusion and</w:t>
            </w:r>
            <w:r>
              <w:t xml:space="preserve"> </w:t>
            </w:r>
            <w:proofErr w:type="spellStart"/>
            <w:r>
              <w:t>opacification</w:t>
            </w:r>
            <w:proofErr w:type="spellEnd"/>
            <w:r>
              <w:t xml:space="preserve"> </w:t>
            </w:r>
            <w:r w:rsidRPr="00C90449">
              <w:rPr>
                <w:vertAlign w:val="superscript"/>
              </w:rPr>
              <w:t>b</w:t>
            </w:r>
            <w:r w:rsidRPr="0043214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  <w:jc w:val="right"/>
              <w:rPr>
                <w:bCs/>
              </w:rPr>
            </w:pPr>
            <w:r w:rsidRPr="0043214D">
              <w:rPr>
                <w:bCs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(36)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6 (</w:t>
            </w:r>
            <w:proofErr w:type="spellStart"/>
            <w:r w:rsidRPr="0043214D">
              <w:t>erythema</w:t>
            </w:r>
            <w:proofErr w:type="spellEnd"/>
            <w:r w:rsidRPr="0043214D">
              <w:t xml:space="preserve"> , bulging</w:t>
            </w:r>
            <w:r>
              <w:t>, rounded donut appearance of TM</w:t>
            </w:r>
            <w:r w:rsidRPr="0043214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  <w:jc w:val="right"/>
              <w:rPr>
                <w:bCs/>
              </w:rPr>
            </w:pPr>
            <w:r w:rsidRPr="0043214D">
              <w:rPr>
                <w:bCs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43214D" w:rsidRDefault="00851D56" w:rsidP="001C45F5">
            <w:pPr>
              <w:spacing w:line="240" w:lineRule="auto"/>
            </w:pPr>
            <w:r w:rsidRPr="0043214D">
              <w:t>(26)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15525F" w:rsidRDefault="00851D56" w:rsidP="001C45F5">
            <w:pPr>
              <w:spacing w:line="240" w:lineRule="auto"/>
            </w:pPr>
            <w:r w:rsidRPr="0015525F">
              <w:t>7</w:t>
            </w:r>
            <w:r>
              <w:t xml:space="preserve"> </w:t>
            </w:r>
            <w:r w:rsidRPr="0015525F">
              <w:t>(</w:t>
            </w:r>
            <w:proofErr w:type="spellStart"/>
            <w:r w:rsidRPr="0015525F">
              <w:t>erythema</w:t>
            </w:r>
            <w:proofErr w:type="spellEnd"/>
            <w:r w:rsidRPr="0015525F">
              <w:t xml:space="preserve">, bulging, complete effusion, </w:t>
            </w:r>
            <w:proofErr w:type="spellStart"/>
            <w:r w:rsidRPr="0015525F">
              <w:t>opacification</w:t>
            </w:r>
            <w:proofErr w:type="spellEnd"/>
            <w:r w:rsidRPr="0015525F">
              <w:t>, bulla formation)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593BC5" w:rsidRDefault="00851D56" w:rsidP="001C45F5">
            <w:pPr>
              <w:spacing w:line="240" w:lineRule="auto"/>
              <w:jc w:val="right"/>
              <w:rPr>
                <w:bCs/>
              </w:rPr>
            </w:pPr>
            <w:r w:rsidRPr="00593BC5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593BC5" w:rsidRDefault="00851D56" w:rsidP="001C45F5">
            <w:pPr>
              <w:spacing w:line="240" w:lineRule="auto"/>
            </w:pPr>
            <w:r>
              <w:t>(</w:t>
            </w:r>
            <w:r w:rsidRPr="00593BC5">
              <w:t>3</w:t>
            </w:r>
            <w:r>
              <w:t>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15525F" w:rsidRDefault="00851D56" w:rsidP="001C45F5">
            <w:pPr>
              <w:spacing w:line="240" w:lineRule="auto"/>
            </w:pPr>
            <w:r w:rsidRPr="0015525F">
              <w:t>8 (perforation of TM</w:t>
            </w:r>
            <w:r>
              <w:t>/</w:t>
            </w:r>
            <w:proofErr w:type="spellStart"/>
            <w:r>
              <w:t>otorrhea</w:t>
            </w:r>
            <w:proofErr w:type="spellEnd"/>
            <w:r w:rsidRPr="0015525F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593BC5" w:rsidRDefault="00851D56" w:rsidP="001C45F5">
            <w:pPr>
              <w:spacing w:line="240" w:lineRule="auto"/>
              <w:jc w:val="right"/>
              <w:rPr>
                <w:bCs/>
              </w:rPr>
            </w:pPr>
            <w:r w:rsidRPr="00593BC5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593BC5" w:rsidRDefault="00851D56" w:rsidP="001C45F5">
            <w:pPr>
              <w:spacing w:line="240" w:lineRule="auto"/>
            </w:pPr>
            <w:r>
              <w:t>(</w:t>
            </w:r>
            <w:r w:rsidRPr="00593BC5">
              <w:t>6</w:t>
            </w:r>
            <w:r>
              <w:t>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 w:rsidRPr="00AA7759">
              <w:rPr>
                <w:color w:val="000000"/>
              </w:rPr>
              <w:t>Position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vertAlign w:val="superscript"/>
              </w:rPr>
              <w:t>c</w:t>
            </w:r>
            <w:r>
              <w:rPr>
                <w:color w:val="000000"/>
              </w:rPr>
              <w:t xml:space="preserve"> (n</w:t>
            </w:r>
            <w:r w:rsidRPr="00AA7759">
              <w:rPr>
                <w:color w:val="000000"/>
              </w:rPr>
              <w:t>=27</w:t>
            </w:r>
            <w:r>
              <w:rPr>
                <w:color w:val="000000"/>
              </w:rPr>
              <w:t>4</w:t>
            </w:r>
            <w:r w:rsidRPr="00AA775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AA7759">
              <w:rPr>
                <w:color w:val="000000"/>
              </w:rPr>
              <w:t>Bulging</w:t>
            </w:r>
            <w:r>
              <w:rPr>
                <w:color w:val="000000"/>
              </w:rPr>
              <w:t xml:space="preserve"> </w:t>
            </w:r>
            <w:r w:rsidRPr="00851971">
              <w:rPr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 w:rsidRPr="00AA7759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A7759">
              <w:rPr>
                <w:color w:val="000000"/>
              </w:rPr>
              <w:t>31</w:t>
            </w:r>
            <w:r>
              <w:rPr>
                <w:color w:val="000000"/>
              </w:rPr>
              <w:t>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AA7759">
              <w:rPr>
                <w:color w:val="000000"/>
              </w:rPr>
              <w:t>Full</w:t>
            </w:r>
            <w:r>
              <w:rPr>
                <w:color w:val="000000"/>
              </w:rPr>
              <w:t xml:space="preserve"> (mild bulging)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 w:rsidRPr="00AA7759">
              <w:rPr>
                <w:color w:val="000000"/>
              </w:rPr>
              <w:t>13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A7759">
              <w:rPr>
                <w:color w:val="000000"/>
              </w:rPr>
              <w:t>4</w:t>
            </w:r>
            <w:r>
              <w:rPr>
                <w:color w:val="000000"/>
              </w:rPr>
              <w:t>8)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Non-bulging</w:t>
            </w:r>
            <w:r w:rsidRPr="00AA7759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 w:rsidRPr="00AA7759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(21)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104D8F" w:rsidRDefault="00851D56" w:rsidP="001C45F5">
            <w:pPr>
              <w:spacing w:line="240" w:lineRule="auto"/>
              <w:rPr>
                <w:color w:val="000000"/>
                <w:highlight w:val="yellow"/>
              </w:rPr>
            </w:pPr>
            <w:r w:rsidRPr="00AA7759">
              <w:rPr>
                <w:color w:val="000000"/>
              </w:rPr>
              <w:t>Color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vertAlign w:val="superscript"/>
              </w:rPr>
              <w:t>c</w:t>
            </w:r>
            <w:r>
              <w:rPr>
                <w:color w:val="000000"/>
              </w:rPr>
              <w:t xml:space="preserve"> (n</w:t>
            </w:r>
            <w:r w:rsidRPr="00AA7759">
              <w:rPr>
                <w:color w:val="000000"/>
              </w:rPr>
              <w:t>=27</w:t>
            </w:r>
            <w:r>
              <w:rPr>
                <w:color w:val="000000"/>
              </w:rPr>
              <w:t>2</w:t>
            </w:r>
            <w:r w:rsidRPr="00AA775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AA7759">
              <w:rPr>
                <w:color w:val="000000"/>
              </w:rPr>
              <w:t xml:space="preserve">Red </w:t>
            </w:r>
            <w:r>
              <w:rPr>
                <w:color w:val="000000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(25)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AA7759">
              <w:rPr>
                <w:color w:val="000000"/>
              </w:rPr>
              <w:t>Dull/white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 w:rsidRPr="00AA7759">
              <w:rPr>
                <w:color w:val="000000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A7759">
              <w:rPr>
                <w:color w:val="000000"/>
              </w:rPr>
              <w:t>41</w:t>
            </w:r>
            <w:r>
              <w:rPr>
                <w:color w:val="000000"/>
              </w:rPr>
              <w:t>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AA7759">
              <w:rPr>
                <w:color w:val="000000"/>
              </w:rPr>
              <w:t>Blue/yellow/ fluid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 w:rsidRPr="00AA7759"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(34)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 w:rsidRPr="00AA7759">
              <w:rPr>
                <w:color w:val="000000"/>
              </w:rPr>
              <w:t>Translucency</w:t>
            </w:r>
            <w:r w:rsidRPr="004F1C58">
              <w:rPr>
                <w:b/>
                <w:bCs/>
                <w:color w:val="000000"/>
                <w:vertAlign w:val="superscript"/>
              </w:rPr>
              <w:t xml:space="preserve"> </w:t>
            </w:r>
            <w:r>
              <w:rPr>
                <w:b/>
                <w:bCs/>
                <w:color w:val="000000"/>
                <w:vertAlign w:val="superscript"/>
              </w:rPr>
              <w:t>c</w:t>
            </w:r>
            <w:r>
              <w:rPr>
                <w:color w:val="000000"/>
              </w:rPr>
              <w:t xml:space="preserve"> (n=272</w:t>
            </w:r>
            <w:r w:rsidRPr="00AA775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AA7759">
              <w:rPr>
                <w:color w:val="000000"/>
              </w:rPr>
              <w:t xml:space="preserve">Translucent </w:t>
            </w:r>
            <w:r>
              <w:rPr>
                <w:color w:val="000000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 w:rsidRPr="00AA775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A7759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</w:tr>
      <w:tr w:rsidR="00851D56" w:rsidRPr="00593BC5" w:rsidTr="001C45F5">
        <w:trPr>
          <w:trHeight w:val="255"/>
          <w:jc w:val="center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O</w:t>
            </w:r>
            <w:r w:rsidRPr="00AA7759">
              <w:rPr>
                <w:color w:val="000000"/>
              </w:rPr>
              <w:t>paque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51D56" w:rsidRPr="00AA7759" w:rsidRDefault="00851D56" w:rsidP="001C45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(95)</w:t>
            </w:r>
          </w:p>
        </w:tc>
      </w:tr>
    </w:tbl>
    <w:p w:rsidR="00851D56" w:rsidRDefault="00851D56" w:rsidP="00851D56">
      <w:pPr>
        <w:spacing w:line="240" w:lineRule="auto"/>
      </w:pPr>
    </w:p>
    <w:p w:rsidR="00851D56" w:rsidRDefault="00851D56" w:rsidP="00851D56">
      <w:pPr>
        <w:numPr>
          <w:ilvl w:val="0"/>
          <w:numId w:val="1"/>
        </w:numPr>
        <w:spacing w:line="240" w:lineRule="auto"/>
      </w:pPr>
      <w:r>
        <w:t>OS-8 (</w:t>
      </w:r>
      <w:proofErr w:type="spellStart"/>
      <w:r>
        <w:t>Otoscopic</w:t>
      </w:r>
      <w:proofErr w:type="spellEnd"/>
      <w:r>
        <w:t xml:space="preserve"> scoring</w:t>
      </w:r>
      <w:r w:rsidRPr="008819FE">
        <w:t xml:space="preserve"> of se</w:t>
      </w:r>
      <w:r>
        <w:t>verity of acute TM inflammation) score of the worse ear from 294 AOM episodes</w:t>
      </w:r>
      <w:r w:rsidRPr="008819FE">
        <w:t>. Acute perforation of TM</w:t>
      </w:r>
      <w:r>
        <w:t>/</w:t>
      </w:r>
      <w:proofErr w:type="spellStart"/>
      <w:r>
        <w:t>otorrhea</w:t>
      </w:r>
      <w:proofErr w:type="spellEnd"/>
      <w:r w:rsidRPr="008819FE">
        <w:t xml:space="preserve"> was given OS </w:t>
      </w:r>
      <w:r>
        <w:t>score</w:t>
      </w:r>
      <w:r w:rsidRPr="008819FE">
        <w:t xml:space="preserve"> 8</w:t>
      </w:r>
      <w:r>
        <w:t xml:space="preserve">. </w:t>
      </w:r>
      <w:proofErr w:type="spellStart"/>
      <w:r>
        <w:t>Otoscopic</w:t>
      </w:r>
      <w:proofErr w:type="spellEnd"/>
      <w:r>
        <w:t xml:space="preserve"> pictures are available at: </w:t>
      </w:r>
      <w:hyperlink r:id="rId5" w:history="1">
        <w:r w:rsidRPr="00297DE8">
          <w:rPr>
            <w:rStyle w:val="Hyperlink"/>
            <w:sz w:val="20"/>
            <w:szCs w:val="20"/>
          </w:rPr>
          <w:t>http://www.utmb.edu/pedi_ed/AO</w:t>
        </w:r>
        <w:r w:rsidRPr="00297DE8">
          <w:rPr>
            <w:rStyle w:val="Hyperlink"/>
            <w:sz w:val="20"/>
            <w:szCs w:val="20"/>
          </w:rPr>
          <w:t>M</w:t>
        </w:r>
        <w:r w:rsidRPr="00297DE8">
          <w:rPr>
            <w:rStyle w:val="Hyperlink"/>
            <w:sz w:val="20"/>
            <w:szCs w:val="20"/>
          </w:rPr>
          <w:t>-Otitis/grading.htm</w:t>
        </w:r>
      </w:hyperlink>
    </w:p>
    <w:p w:rsidR="00851D56" w:rsidRDefault="00851D56" w:rsidP="00851D56">
      <w:pPr>
        <w:numPr>
          <w:ilvl w:val="0"/>
          <w:numId w:val="1"/>
        </w:numPr>
        <w:spacing w:line="240" w:lineRule="auto"/>
      </w:pPr>
      <w:r>
        <w:t>No bulging or mild bulging</w:t>
      </w:r>
    </w:p>
    <w:p w:rsidR="00851D56" w:rsidRDefault="00851D56" w:rsidP="00851D56">
      <w:pPr>
        <w:numPr>
          <w:ilvl w:val="0"/>
          <w:numId w:val="1"/>
        </w:numPr>
        <w:spacing w:line="240" w:lineRule="auto"/>
      </w:pPr>
      <w:proofErr w:type="spellStart"/>
      <w:r>
        <w:t>Otoscopic</w:t>
      </w:r>
      <w:proofErr w:type="spellEnd"/>
      <w:r>
        <w:t xml:space="preserve"> findings of AOM ears with intact TM </w:t>
      </w:r>
      <w:r w:rsidRPr="000A5E00">
        <w:t>(n=27</w:t>
      </w:r>
      <w:r>
        <w:t>6</w:t>
      </w:r>
      <w:r w:rsidRPr="000A5E00">
        <w:t>)</w:t>
      </w:r>
      <w:r>
        <w:t>.</w:t>
      </w:r>
      <w:r w:rsidRPr="000A5E00">
        <w:t xml:space="preserve"> </w:t>
      </w:r>
      <w:r>
        <w:t xml:space="preserve">AOM episodes with TM perforation and acute </w:t>
      </w:r>
      <w:proofErr w:type="spellStart"/>
      <w:r>
        <w:t>otorrhea</w:t>
      </w:r>
      <w:proofErr w:type="spellEnd"/>
      <w:r>
        <w:t xml:space="preserve"> (18 episodes, 19 ears) are not included. In case of bilateral AOM, findings are from the worse ear. Number in parentheses is number of cases with available data. </w:t>
      </w:r>
      <w:proofErr w:type="spellStart"/>
      <w:r>
        <w:t>Bullous</w:t>
      </w:r>
      <w:proofErr w:type="spellEnd"/>
      <w:r>
        <w:t xml:space="preserve"> </w:t>
      </w:r>
      <w:proofErr w:type="spellStart"/>
      <w:r>
        <w:t>myringitis</w:t>
      </w:r>
      <w:proofErr w:type="spellEnd"/>
      <w:r>
        <w:t xml:space="preserve"> was found in 10 cases. Normal color=grey/ pearly.</w:t>
      </w:r>
    </w:p>
    <w:p w:rsidR="00851D56" w:rsidRDefault="00851D56" w:rsidP="00851D56">
      <w:pPr>
        <w:numPr>
          <w:ilvl w:val="0"/>
          <w:numId w:val="1"/>
        </w:numPr>
        <w:spacing w:line="240" w:lineRule="auto"/>
      </w:pPr>
      <w:r>
        <w:t xml:space="preserve">Bulging TM= donut appearance, no visible landmark. Non-bulging TM includes TM with normal (n=52) or retracted (n=5) positions; TM inflammation was evidenced by abnormal TM color (n=51), </w:t>
      </w:r>
      <w:proofErr w:type="spellStart"/>
      <w:r>
        <w:t>opacification</w:t>
      </w:r>
      <w:proofErr w:type="spellEnd"/>
      <w:r>
        <w:t xml:space="preserve"> (n=40) or both. </w:t>
      </w:r>
      <w:r w:rsidRPr="009E0270">
        <w:t xml:space="preserve">MEF was documented in all cases by </w:t>
      </w:r>
      <w:r>
        <w:t xml:space="preserve">abnormal mobility, </w:t>
      </w:r>
      <w:proofErr w:type="spellStart"/>
      <w:r w:rsidRPr="009E0270">
        <w:t>opacification</w:t>
      </w:r>
      <w:proofErr w:type="spellEnd"/>
      <w:r w:rsidRPr="009E0270">
        <w:t xml:space="preserve">, </w:t>
      </w:r>
      <w:r>
        <w:t xml:space="preserve">and by </w:t>
      </w:r>
      <w:proofErr w:type="spellStart"/>
      <w:r>
        <w:t>tympanometry</w:t>
      </w:r>
      <w:proofErr w:type="spellEnd"/>
      <w:r>
        <w:t>.</w:t>
      </w:r>
    </w:p>
    <w:p w:rsidR="00851D56" w:rsidRDefault="00851D56" w:rsidP="00851D56">
      <w:pPr>
        <w:numPr>
          <w:ilvl w:val="0"/>
          <w:numId w:val="1"/>
        </w:numPr>
        <w:spacing w:line="240" w:lineRule="auto"/>
      </w:pPr>
      <w:r w:rsidRPr="00A56D9E">
        <w:t xml:space="preserve">Significant </w:t>
      </w:r>
      <w:proofErr w:type="spellStart"/>
      <w:r w:rsidRPr="00A56D9E">
        <w:t>erythema</w:t>
      </w:r>
      <w:proofErr w:type="spellEnd"/>
    </w:p>
    <w:p w:rsidR="00851D56" w:rsidRDefault="00851D56" w:rsidP="00851D56">
      <w:pPr>
        <w:numPr>
          <w:ilvl w:val="0"/>
          <w:numId w:val="1"/>
        </w:numPr>
        <w:spacing w:line="240" w:lineRule="auto"/>
      </w:pPr>
      <w:r>
        <w:lastRenderedPageBreak/>
        <w:t>TM inflammation was based on abnormal TM color, s</w:t>
      </w:r>
      <w:r w:rsidRPr="00A56D9E">
        <w:t>ignificant</w:t>
      </w:r>
      <w:r>
        <w:t xml:space="preserve"> </w:t>
      </w:r>
      <w:proofErr w:type="spellStart"/>
      <w:r>
        <w:t>erythema</w:t>
      </w:r>
      <w:proofErr w:type="spellEnd"/>
      <w:r>
        <w:t xml:space="preserve"> in 13 and blue/yellow/fluid in 1.</w:t>
      </w:r>
    </w:p>
    <w:p w:rsidR="00F11337" w:rsidRDefault="00851D56"/>
    <w:sectPr w:rsidR="00F11337" w:rsidSect="000075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ABF"/>
    <w:multiLevelType w:val="hybridMultilevel"/>
    <w:tmpl w:val="1068B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1D56"/>
    <w:rsid w:val="000075D7"/>
    <w:rsid w:val="0034377D"/>
    <w:rsid w:val="00425E74"/>
    <w:rsid w:val="00515228"/>
    <w:rsid w:val="00851D56"/>
    <w:rsid w:val="008D5F65"/>
    <w:rsid w:val="008E4937"/>
    <w:rsid w:val="00A06360"/>
    <w:rsid w:val="00A07CAF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56"/>
    <w:pPr>
      <w:spacing w:after="12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mb.edu/pedi_ed/AOM-Otitis/grad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2010-07-14T14:48:00Z</dcterms:created>
  <dcterms:modified xsi:type="dcterms:W3CDTF">2010-07-14T14:48:00Z</dcterms:modified>
</cp:coreProperties>
</file>