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3" w:rsidRDefault="00F81977" w:rsidP="001467A3">
      <w:proofErr w:type="gramStart"/>
      <w:r>
        <w:rPr>
          <w:b/>
        </w:rPr>
        <w:t>SDC 5</w:t>
      </w:r>
      <w:r w:rsidR="001467A3" w:rsidRPr="00877C08">
        <w:rPr>
          <w:b/>
        </w:rPr>
        <w:t>.</w:t>
      </w:r>
      <w:proofErr w:type="gramEnd"/>
      <w:r w:rsidR="001467A3" w:rsidRPr="00877C08">
        <w:rPr>
          <w:b/>
        </w:rPr>
        <w:t xml:space="preserve"> </w:t>
      </w:r>
      <w:r w:rsidR="001467A3" w:rsidRPr="00F81977">
        <w:t xml:space="preserve">Antibiotic Susceptibilities for Erythromycin, Clindamycin and </w:t>
      </w:r>
      <w:proofErr w:type="spellStart"/>
      <w:r w:rsidR="001467A3" w:rsidRPr="00F81977">
        <w:t>Trimethoprim</w:t>
      </w:r>
      <w:proofErr w:type="spellEnd"/>
      <w:r w:rsidR="001467A3" w:rsidRPr="00F81977">
        <w:t>-</w:t>
      </w:r>
      <w:proofErr w:type="spellStart"/>
      <w:r w:rsidR="001467A3" w:rsidRPr="00F81977">
        <w:t>Sulfamethoxazole</w:t>
      </w:r>
      <w:proofErr w:type="spellEnd"/>
      <w:r w:rsidR="001467A3" w:rsidRPr="00F81977">
        <w:t xml:space="preserve"> for the Years 2008-2011</w:t>
      </w:r>
    </w:p>
    <w:p w:rsidR="00F81977" w:rsidRPr="00877C08" w:rsidRDefault="00F81977" w:rsidP="001467A3">
      <w:pPr>
        <w:rPr>
          <w:b/>
        </w:rPr>
      </w:pPr>
    </w:p>
    <w:p w:rsidR="001467A3" w:rsidRPr="00877C08" w:rsidRDefault="001467A3" w:rsidP="001467A3">
      <w:r>
        <w:rPr>
          <w:b/>
        </w:rPr>
        <w:t xml:space="preserve">                                         </w:t>
      </w:r>
      <w:r>
        <w:t xml:space="preserve">                   Percentage of Isolates </w:t>
      </w:r>
    </w:p>
    <w:tbl>
      <w:tblPr>
        <w:tblStyle w:val="TableGrid"/>
        <w:tblW w:w="7668" w:type="dxa"/>
        <w:tblLook w:val="04A0"/>
      </w:tblPr>
      <w:tblGrid>
        <w:gridCol w:w="2240"/>
        <w:gridCol w:w="1378"/>
        <w:gridCol w:w="1260"/>
        <w:gridCol w:w="1350"/>
        <w:gridCol w:w="90"/>
        <w:gridCol w:w="1350"/>
      </w:tblGrid>
      <w:tr w:rsidR="001467A3" w:rsidRPr="00877C08" w:rsidTr="009B3CC9">
        <w:trPr>
          <w:trHeight w:val="300"/>
        </w:trPr>
        <w:tc>
          <w:tcPr>
            <w:tcW w:w="2240" w:type="dxa"/>
            <w:noWrap/>
            <w:hideMark/>
          </w:tcPr>
          <w:p w:rsidR="001467A3" w:rsidRPr="00877C08" w:rsidRDefault="001467A3" w:rsidP="009B3CC9">
            <w:r w:rsidRPr="00877C08">
              <w:br w:type="page"/>
            </w:r>
            <w:bookmarkStart w:id="0" w:name="RANGE!A1:J19"/>
            <w:r w:rsidRPr="00877C08">
              <w:t>Eryth</w:t>
            </w:r>
            <w:bookmarkEnd w:id="0"/>
            <w:r w:rsidRPr="00877C08">
              <w:t>romycin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2008</w:t>
            </w: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2009</w:t>
            </w: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2010</w:t>
            </w: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2011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hideMark/>
          </w:tcPr>
          <w:p w:rsidR="001467A3" w:rsidRPr="00877C08" w:rsidRDefault="001467A3" w:rsidP="009B3CC9">
            <w:r w:rsidRPr="00877C08">
              <w:t>S</w:t>
            </w:r>
            <w:r>
              <w:t>#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61%</w:t>
            </w:r>
            <w:r>
              <w:t xml:space="preserve"> (118)</w:t>
            </w:r>
            <w:r w:rsidRPr="002A0130">
              <w:rPr>
                <w:vertAlign w:val="superscript"/>
              </w:rPr>
              <w:t>+</w:t>
            </w: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65%</w:t>
            </w:r>
            <w:r>
              <w:t xml:space="preserve"> (145)</w:t>
            </w: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59%</w:t>
            </w:r>
            <w:r>
              <w:t xml:space="preserve"> (96)</w:t>
            </w: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60%</w:t>
            </w:r>
            <w:r>
              <w:t xml:space="preserve"> (73)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hideMark/>
          </w:tcPr>
          <w:p w:rsidR="001467A3" w:rsidRPr="00877C08" w:rsidRDefault="001467A3" w:rsidP="009B3CC9">
            <w:r w:rsidRPr="00877C08">
              <w:t>I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3%</w:t>
            </w:r>
            <w:r>
              <w:t xml:space="preserve"> (6)</w:t>
            </w: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1%</w:t>
            </w:r>
            <w:r>
              <w:t xml:space="preserve"> (2)</w:t>
            </w: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5%</w:t>
            </w:r>
            <w:r>
              <w:t xml:space="preserve"> (8)</w:t>
            </w: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2%</w:t>
            </w:r>
            <w:r>
              <w:t xml:space="preserve"> (2)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hideMark/>
          </w:tcPr>
          <w:p w:rsidR="001467A3" w:rsidRPr="00877C08" w:rsidRDefault="001467A3" w:rsidP="009B3CC9">
            <w:r w:rsidRPr="00877C08">
              <w:t>R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36%</w:t>
            </w:r>
            <w:r>
              <w:t xml:space="preserve"> (71)</w:t>
            </w: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r w:rsidRPr="00877C08">
              <w:t>34%</w:t>
            </w:r>
            <w:r>
              <w:t xml:space="preserve">  (76)</w:t>
            </w: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36%</w:t>
            </w:r>
            <w:r>
              <w:t xml:space="preserve"> (58)</w:t>
            </w: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39%</w:t>
            </w:r>
            <w:r>
              <w:t xml:space="preserve"> (47)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noWrap/>
            <w:hideMark/>
          </w:tcPr>
          <w:p w:rsidR="001467A3" w:rsidRPr="00877C08" w:rsidRDefault="001467A3" w:rsidP="009B3CC9"/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noWrap/>
            <w:hideMark/>
          </w:tcPr>
          <w:p w:rsidR="001467A3" w:rsidRPr="00877C08" w:rsidRDefault="001467A3" w:rsidP="009B3CC9"/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noWrap/>
            <w:hideMark/>
          </w:tcPr>
          <w:p w:rsidR="001467A3" w:rsidRPr="00877C08" w:rsidRDefault="001467A3" w:rsidP="009B3CC9">
            <w:r w:rsidRPr="00877C08">
              <w:t>Clindamycin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hideMark/>
          </w:tcPr>
          <w:p w:rsidR="001467A3" w:rsidRPr="00877C08" w:rsidRDefault="001467A3" w:rsidP="009B3CC9">
            <w:r w:rsidRPr="00877C08">
              <w:t>S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70%</w:t>
            </w:r>
            <w:r>
              <w:t xml:space="preserve"> (137)</w:t>
            </w: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81%</w:t>
            </w:r>
            <w:r>
              <w:t xml:space="preserve"> (180)</w:t>
            </w: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76%</w:t>
            </w:r>
            <w:r>
              <w:t xml:space="preserve"> (123)</w:t>
            </w: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77%</w:t>
            </w:r>
            <w:r>
              <w:t xml:space="preserve"> (94)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hideMark/>
          </w:tcPr>
          <w:p w:rsidR="001467A3" w:rsidRPr="00877C08" w:rsidRDefault="001467A3" w:rsidP="009B3CC9">
            <w:r w:rsidRPr="00877C08">
              <w:t>I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1%</w:t>
            </w:r>
            <w:r>
              <w:t xml:space="preserve"> (1)</w:t>
            </w: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0%</w:t>
            </w:r>
            <w:r>
              <w:t xml:space="preserve"> (0)</w:t>
            </w: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0%</w:t>
            </w:r>
            <w:r>
              <w:t xml:space="preserve"> (0)</w:t>
            </w: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2%</w:t>
            </w:r>
            <w:r>
              <w:t xml:space="preserve"> (2)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hideMark/>
          </w:tcPr>
          <w:p w:rsidR="001467A3" w:rsidRPr="00877C08" w:rsidRDefault="001467A3" w:rsidP="009B3CC9">
            <w:r w:rsidRPr="00877C08">
              <w:t>R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29%</w:t>
            </w:r>
            <w:r>
              <w:t xml:space="preserve"> (57)</w:t>
            </w: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19%</w:t>
            </w:r>
            <w:r>
              <w:t xml:space="preserve"> (43)</w:t>
            </w: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24%</w:t>
            </w:r>
            <w:r>
              <w:t xml:space="preserve"> (39)</w:t>
            </w: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21%</w:t>
            </w:r>
            <w:r>
              <w:t xml:space="preserve"> (26)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noWrap/>
            <w:hideMark/>
          </w:tcPr>
          <w:p w:rsidR="001467A3" w:rsidRPr="00877C08" w:rsidRDefault="001467A3" w:rsidP="009B3CC9"/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noWrap/>
            <w:hideMark/>
          </w:tcPr>
          <w:p w:rsidR="001467A3" w:rsidRPr="00877C08" w:rsidRDefault="001467A3" w:rsidP="009B3CC9"/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noWrap/>
            <w:hideMark/>
          </w:tcPr>
          <w:p w:rsidR="001467A3" w:rsidRPr="00877C08" w:rsidRDefault="001467A3" w:rsidP="009B3CC9">
            <w:r>
              <w:t>TMP</w:t>
            </w:r>
            <w:r w:rsidRPr="00877C08">
              <w:t>/S</w:t>
            </w:r>
            <w:r>
              <w:t>MX*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noWrap/>
            <w:hideMark/>
          </w:tcPr>
          <w:p w:rsidR="001467A3" w:rsidRPr="00877C08" w:rsidRDefault="001467A3" w:rsidP="009B3CC9">
            <w:r w:rsidRPr="00877C08">
              <w:t>S</w:t>
            </w:r>
          </w:p>
        </w:tc>
        <w:tc>
          <w:tcPr>
            <w:tcW w:w="1378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54%</w:t>
            </w:r>
            <w:r>
              <w:t xml:space="preserve"> (106)</w:t>
            </w:r>
          </w:p>
        </w:tc>
        <w:tc>
          <w:tcPr>
            <w:tcW w:w="126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63%</w:t>
            </w:r>
            <w:r>
              <w:t xml:space="preserve"> (140)</w:t>
            </w:r>
          </w:p>
        </w:tc>
        <w:tc>
          <w:tcPr>
            <w:tcW w:w="1440" w:type="dxa"/>
            <w:gridSpan w:val="2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58%</w:t>
            </w:r>
            <w:r>
              <w:t xml:space="preserve"> (94)</w:t>
            </w:r>
          </w:p>
        </w:tc>
        <w:tc>
          <w:tcPr>
            <w:tcW w:w="1350" w:type="dxa"/>
            <w:noWrap/>
            <w:hideMark/>
          </w:tcPr>
          <w:p w:rsidR="001467A3" w:rsidRPr="00877C08" w:rsidRDefault="001467A3" w:rsidP="009B3CC9">
            <w:pPr>
              <w:jc w:val="center"/>
            </w:pPr>
            <w:r w:rsidRPr="00877C08">
              <w:t>60%</w:t>
            </w:r>
            <w:r>
              <w:t xml:space="preserve"> (73)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noWrap/>
            <w:hideMark/>
          </w:tcPr>
          <w:p w:rsidR="001467A3" w:rsidRPr="00877C08" w:rsidRDefault="001467A3" w:rsidP="009B3CC9">
            <w:r w:rsidRPr="00877C08">
              <w:t>I</w:t>
            </w:r>
          </w:p>
        </w:tc>
        <w:tc>
          <w:tcPr>
            <w:tcW w:w="1378" w:type="dxa"/>
            <w:noWrap/>
          </w:tcPr>
          <w:p w:rsidR="001467A3" w:rsidRPr="00877C08" w:rsidRDefault="001467A3" w:rsidP="009B3CC9">
            <w:pPr>
              <w:jc w:val="center"/>
            </w:pPr>
            <w:r w:rsidRPr="00877C08">
              <w:t>3%</w:t>
            </w:r>
            <w:r>
              <w:t xml:space="preserve"> (5)</w:t>
            </w:r>
          </w:p>
        </w:tc>
        <w:tc>
          <w:tcPr>
            <w:tcW w:w="1260" w:type="dxa"/>
            <w:noWrap/>
          </w:tcPr>
          <w:p w:rsidR="001467A3" w:rsidRPr="00877C08" w:rsidRDefault="001467A3" w:rsidP="009B3CC9">
            <w:pPr>
              <w:jc w:val="center"/>
            </w:pPr>
            <w:r w:rsidRPr="00877C08">
              <w:t>1%</w:t>
            </w:r>
            <w:r>
              <w:t xml:space="preserve"> (3)</w:t>
            </w:r>
          </w:p>
        </w:tc>
        <w:tc>
          <w:tcPr>
            <w:tcW w:w="1440" w:type="dxa"/>
            <w:gridSpan w:val="2"/>
            <w:noWrap/>
          </w:tcPr>
          <w:p w:rsidR="001467A3" w:rsidRPr="00877C08" w:rsidRDefault="001467A3" w:rsidP="009B3CC9">
            <w:pPr>
              <w:jc w:val="center"/>
            </w:pPr>
            <w:r w:rsidRPr="00877C08">
              <w:t>5%</w:t>
            </w:r>
            <w:r>
              <w:t xml:space="preserve"> (8)</w:t>
            </w:r>
          </w:p>
        </w:tc>
        <w:tc>
          <w:tcPr>
            <w:tcW w:w="1350" w:type="dxa"/>
            <w:noWrap/>
          </w:tcPr>
          <w:p w:rsidR="001467A3" w:rsidRPr="00877C08" w:rsidRDefault="001467A3" w:rsidP="009B3CC9">
            <w:pPr>
              <w:jc w:val="center"/>
            </w:pPr>
            <w:r w:rsidRPr="00877C08">
              <w:t>2%</w:t>
            </w:r>
            <w:r>
              <w:t xml:space="preserve"> (3)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hideMark/>
          </w:tcPr>
          <w:p w:rsidR="001467A3" w:rsidRPr="00877C08" w:rsidRDefault="001467A3" w:rsidP="009B3CC9">
            <w:r w:rsidRPr="00877C08">
              <w:t>R</w:t>
            </w:r>
          </w:p>
        </w:tc>
        <w:tc>
          <w:tcPr>
            <w:tcW w:w="1378" w:type="dxa"/>
            <w:noWrap/>
          </w:tcPr>
          <w:p w:rsidR="001467A3" w:rsidRPr="00877C08" w:rsidRDefault="001467A3" w:rsidP="009B3CC9">
            <w:pPr>
              <w:jc w:val="center"/>
            </w:pPr>
            <w:r w:rsidRPr="00877C08">
              <w:t>43%</w:t>
            </w:r>
            <w:r>
              <w:t xml:space="preserve"> (84)</w:t>
            </w:r>
          </w:p>
        </w:tc>
        <w:tc>
          <w:tcPr>
            <w:tcW w:w="1260" w:type="dxa"/>
            <w:noWrap/>
          </w:tcPr>
          <w:p w:rsidR="001467A3" w:rsidRPr="00877C08" w:rsidRDefault="001467A3" w:rsidP="009B3CC9">
            <w:pPr>
              <w:jc w:val="center"/>
            </w:pPr>
            <w:r w:rsidRPr="00877C08">
              <w:t>36%</w:t>
            </w:r>
            <w:r>
              <w:t xml:space="preserve"> (80)</w:t>
            </w:r>
          </w:p>
        </w:tc>
        <w:tc>
          <w:tcPr>
            <w:tcW w:w="1440" w:type="dxa"/>
            <w:gridSpan w:val="2"/>
            <w:noWrap/>
          </w:tcPr>
          <w:p w:rsidR="001467A3" w:rsidRPr="00877C08" w:rsidRDefault="001467A3" w:rsidP="009B3CC9">
            <w:pPr>
              <w:jc w:val="center"/>
            </w:pPr>
            <w:r w:rsidRPr="00877C08">
              <w:t>37%</w:t>
            </w:r>
            <w:r>
              <w:t xml:space="preserve"> (60)</w:t>
            </w:r>
          </w:p>
        </w:tc>
        <w:tc>
          <w:tcPr>
            <w:tcW w:w="1350" w:type="dxa"/>
            <w:noWrap/>
          </w:tcPr>
          <w:p w:rsidR="001467A3" w:rsidRPr="00877C08" w:rsidRDefault="001467A3" w:rsidP="009B3CC9">
            <w:pPr>
              <w:jc w:val="center"/>
            </w:pPr>
            <w:r w:rsidRPr="00877C08">
              <w:t>38%</w:t>
            </w:r>
            <w:r>
              <w:t xml:space="preserve"> (46)</w:t>
            </w: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  <w:hideMark/>
          </w:tcPr>
          <w:p w:rsidR="001467A3" w:rsidRPr="00877C08" w:rsidRDefault="001467A3" w:rsidP="009B3CC9">
            <w:r w:rsidRPr="00877C08">
              <w:t> </w:t>
            </w:r>
          </w:p>
        </w:tc>
        <w:tc>
          <w:tcPr>
            <w:tcW w:w="1378" w:type="dxa"/>
            <w:noWrap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260" w:type="dxa"/>
            <w:noWrap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440" w:type="dxa"/>
            <w:gridSpan w:val="2"/>
            <w:noWrap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350" w:type="dxa"/>
            <w:noWrap/>
          </w:tcPr>
          <w:p w:rsidR="001467A3" w:rsidRPr="00877C08" w:rsidRDefault="001467A3" w:rsidP="009B3CC9">
            <w:pPr>
              <w:jc w:val="center"/>
            </w:pPr>
          </w:p>
        </w:tc>
      </w:tr>
      <w:tr w:rsidR="001467A3" w:rsidRPr="00877C08" w:rsidTr="009B3CC9">
        <w:trPr>
          <w:trHeight w:val="300"/>
        </w:trPr>
        <w:tc>
          <w:tcPr>
            <w:tcW w:w="2240" w:type="dxa"/>
          </w:tcPr>
          <w:p w:rsidR="001467A3" w:rsidRPr="00877C08" w:rsidRDefault="001467A3" w:rsidP="009B3CC9"/>
        </w:tc>
        <w:tc>
          <w:tcPr>
            <w:tcW w:w="1378" w:type="dxa"/>
            <w:noWrap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260" w:type="dxa"/>
            <w:noWrap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440" w:type="dxa"/>
            <w:gridSpan w:val="2"/>
            <w:noWrap/>
          </w:tcPr>
          <w:p w:rsidR="001467A3" w:rsidRPr="00877C08" w:rsidRDefault="001467A3" w:rsidP="009B3CC9">
            <w:pPr>
              <w:jc w:val="center"/>
            </w:pPr>
          </w:p>
        </w:tc>
        <w:tc>
          <w:tcPr>
            <w:tcW w:w="1350" w:type="dxa"/>
            <w:noWrap/>
          </w:tcPr>
          <w:p w:rsidR="001467A3" w:rsidRPr="00877C08" w:rsidRDefault="001467A3" w:rsidP="009B3CC9">
            <w:pPr>
              <w:jc w:val="center"/>
            </w:pPr>
          </w:p>
        </w:tc>
      </w:tr>
      <w:tr w:rsidR="001467A3" w:rsidRPr="004A0B1D" w:rsidTr="009B3CC9">
        <w:trPr>
          <w:trHeight w:val="300"/>
        </w:trPr>
        <w:tc>
          <w:tcPr>
            <w:tcW w:w="2240" w:type="dxa"/>
          </w:tcPr>
          <w:p w:rsidR="001467A3" w:rsidRPr="004A0B1D" w:rsidRDefault="001467A3" w:rsidP="009B3CC9"/>
        </w:tc>
        <w:tc>
          <w:tcPr>
            <w:tcW w:w="1378" w:type="dxa"/>
            <w:noWrap/>
          </w:tcPr>
          <w:p w:rsidR="001467A3" w:rsidRPr="004A0B1D" w:rsidRDefault="001467A3" w:rsidP="009B3CC9"/>
        </w:tc>
        <w:tc>
          <w:tcPr>
            <w:tcW w:w="1260" w:type="dxa"/>
            <w:noWrap/>
          </w:tcPr>
          <w:p w:rsidR="001467A3" w:rsidRPr="004A0B1D" w:rsidRDefault="001467A3" w:rsidP="009B3CC9"/>
        </w:tc>
        <w:tc>
          <w:tcPr>
            <w:tcW w:w="1350" w:type="dxa"/>
            <w:noWrap/>
          </w:tcPr>
          <w:p w:rsidR="001467A3" w:rsidRPr="004A0B1D" w:rsidRDefault="001467A3" w:rsidP="009B3CC9"/>
        </w:tc>
        <w:tc>
          <w:tcPr>
            <w:tcW w:w="1440" w:type="dxa"/>
            <w:gridSpan w:val="2"/>
            <w:noWrap/>
          </w:tcPr>
          <w:p w:rsidR="001467A3" w:rsidRPr="004A0B1D" w:rsidRDefault="001467A3" w:rsidP="009B3CC9"/>
        </w:tc>
      </w:tr>
    </w:tbl>
    <w:p w:rsidR="001467A3" w:rsidRDefault="001467A3" w:rsidP="001467A3">
      <w:pPr>
        <w:rPr>
          <w:b/>
        </w:rPr>
      </w:pPr>
    </w:p>
    <w:p w:rsidR="001467A3" w:rsidRDefault="001467A3" w:rsidP="001467A3">
      <w:r>
        <w:t>*Trimethoprim-sulfamethoxazole</w:t>
      </w:r>
    </w:p>
    <w:p w:rsidR="001467A3" w:rsidRDefault="001467A3" w:rsidP="001467A3">
      <w:r>
        <w:t>#S-susceptible, I-intermediate, R-resistant</w:t>
      </w:r>
    </w:p>
    <w:p w:rsidR="001467A3" w:rsidRDefault="001467A3" w:rsidP="001467A3"/>
    <w:p w:rsidR="00CB3139" w:rsidRDefault="001467A3">
      <w:r w:rsidRPr="002A0130">
        <w:rPr>
          <w:vertAlign w:val="superscript"/>
        </w:rPr>
        <w:t>+</w:t>
      </w:r>
      <w:r>
        <w:rPr>
          <w:vertAlign w:val="superscript"/>
        </w:rPr>
        <w:t xml:space="preserve"> </w:t>
      </w:r>
      <w:r>
        <w:t>Number of Isolates</w:t>
      </w:r>
    </w:p>
    <w:p w:rsidR="001467A3" w:rsidRDefault="001467A3"/>
    <w:sectPr w:rsidR="001467A3" w:rsidSect="00CB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4D" w:rsidRDefault="00FE7F4D" w:rsidP="001467A3">
      <w:r>
        <w:separator/>
      </w:r>
    </w:p>
  </w:endnote>
  <w:endnote w:type="continuationSeparator" w:id="0">
    <w:p w:rsidR="00FE7F4D" w:rsidRDefault="00FE7F4D" w:rsidP="00146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4D" w:rsidRDefault="00FE7F4D" w:rsidP="001467A3">
      <w:r>
        <w:separator/>
      </w:r>
    </w:p>
  </w:footnote>
  <w:footnote w:type="continuationSeparator" w:id="0">
    <w:p w:rsidR="00FE7F4D" w:rsidRDefault="00FE7F4D" w:rsidP="00146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7A3"/>
    <w:rsid w:val="00052B3D"/>
    <w:rsid w:val="00074A36"/>
    <w:rsid w:val="000C4550"/>
    <w:rsid w:val="001467A3"/>
    <w:rsid w:val="001773CC"/>
    <w:rsid w:val="001C313D"/>
    <w:rsid w:val="003C7361"/>
    <w:rsid w:val="003D5284"/>
    <w:rsid w:val="006D110A"/>
    <w:rsid w:val="007F4B85"/>
    <w:rsid w:val="00C55157"/>
    <w:rsid w:val="00CA3F69"/>
    <w:rsid w:val="00CB3139"/>
    <w:rsid w:val="00D96C0D"/>
    <w:rsid w:val="00DE2AE8"/>
    <w:rsid w:val="00E17396"/>
    <w:rsid w:val="00ED6DCF"/>
    <w:rsid w:val="00F047B7"/>
    <w:rsid w:val="00F35205"/>
    <w:rsid w:val="00F81977"/>
    <w:rsid w:val="00FE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A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A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467A3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Texas Childrens Hospital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slkaplan</dc:creator>
  <cp:lastModifiedBy>AmyNewman</cp:lastModifiedBy>
  <cp:revision>2</cp:revision>
  <dcterms:created xsi:type="dcterms:W3CDTF">2012-09-07T15:10:00Z</dcterms:created>
  <dcterms:modified xsi:type="dcterms:W3CDTF">2012-09-07T15:10:00Z</dcterms:modified>
</cp:coreProperties>
</file>