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5C" w:rsidRPr="00BB5795" w:rsidRDefault="00CB635C" w:rsidP="00CB635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Online supplementary table</w:t>
      </w:r>
      <w:r w:rsidRPr="00BB5795">
        <w:rPr>
          <w:rFonts w:ascii="Arial" w:hAnsi="Arial" w:cs="Arial"/>
          <w:sz w:val="22"/>
          <w:szCs w:val="22"/>
          <w:lang w:val="en-GB"/>
        </w:rPr>
        <w:t xml:space="preserve">: Most commonly used biological agents in paediatric patients </w:t>
      </w:r>
    </w:p>
    <w:tbl>
      <w:tblPr>
        <w:tblW w:w="875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/>
      </w:tblPr>
      <w:tblGrid>
        <w:gridCol w:w="1384"/>
        <w:gridCol w:w="1985"/>
        <w:gridCol w:w="850"/>
        <w:gridCol w:w="2410"/>
        <w:gridCol w:w="851"/>
        <w:gridCol w:w="1276"/>
      </w:tblGrid>
      <w:tr w:rsidR="00CB635C" w:rsidRPr="00ED0C4F" w:rsidTr="00164A9D">
        <w:trPr>
          <w:trHeight w:val="573"/>
        </w:trPr>
        <w:tc>
          <w:tcPr>
            <w:tcW w:w="138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Generic name</w:t>
            </w: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br/>
              <w:t>(Abbreviation)</w:t>
            </w:r>
          </w:p>
        </w:tc>
        <w:tc>
          <w:tcPr>
            <w:tcW w:w="1985" w:type="dxa"/>
            <w:vMerge w:val="restart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Mechanism of action</w:t>
            </w:r>
          </w:p>
        </w:tc>
        <w:tc>
          <w:tcPr>
            <w:tcW w:w="850" w:type="dxa"/>
            <w:vMerge w:val="restart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Route </w:t>
            </w:r>
          </w:p>
        </w:tc>
        <w:tc>
          <w:tcPr>
            <w:tcW w:w="2410" w:type="dxa"/>
            <w:vMerge w:val="restart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Standard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osage</w:t>
            </w:r>
          </w:p>
        </w:tc>
        <w:tc>
          <w:tcPr>
            <w:tcW w:w="2127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Approval for paediatric patients</w:t>
            </w:r>
          </w:p>
        </w:tc>
      </w:tr>
      <w:tr w:rsidR="00CB635C" w:rsidRPr="00ED0C4F" w:rsidTr="00164A9D">
        <w:trPr>
          <w:trHeight w:val="379"/>
        </w:trPr>
        <w:tc>
          <w:tcPr>
            <w:tcW w:w="1384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vAlign w:val="center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vAlign w:val="center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vAlign w:val="center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vAlign w:val="center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EMA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pct75" w:color="auto" w:fill="auto"/>
          </w:tcPr>
          <w:p w:rsidR="00CB635C" w:rsidRPr="00ED0C4F" w:rsidRDefault="00CB635C" w:rsidP="00164A9D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FDA</w:t>
            </w:r>
          </w:p>
        </w:tc>
      </w:tr>
      <w:tr w:rsidR="00CB635C" w:rsidRPr="00ED0C4F" w:rsidTr="00164A9D">
        <w:trPr>
          <w:trHeight w:val="1301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Etanercept</w:t>
            </w: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>(ETA)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Fusion protein TNF receptor linked to FcIgG1</w:t>
            </w: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SC 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0.4 mg/kg twice weekly</w:t>
            </w:r>
          </w:p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Maximum 50 mg/dose</w:t>
            </w: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B635C" w:rsidRPr="00ED0C4F" w:rsidTr="00164A9D">
        <w:trPr>
          <w:trHeight w:val="1053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Infliximab</w:t>
            </w: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>(INF)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Chimeric</w:t>
            </w:r>
            <w:proofErr w:type="spellEnd"/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 monoclonal 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anti-TNF antibody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(mouse-human)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IV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5 mg/kg, induction phase at 0, 2, 6 weeks, then every 8 weeks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</w:tr>
      <w:tr w:rsidR="00CB635C" w:rsidRPr="00ED0C4F" w:rsidTr="00164A9D">
        <w:trPr>
          <w:trHeight w:val="1053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FFFFFF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Adalimumab</w:t>
            </w:r>
          </w:p>
          <w:p w:rsidR="00CB635C" w:rsidRPr="00ED0C4F" w:rsidRDefault="00CB635C" w:rsidP="00164A9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>ADA</w:t>
                </w:r>
              </w:smartTag>
            </w:smartTag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Human monoclonal 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anti-TNF antibody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SC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weight &lt;30 kg: 20 mg every 2 weeks</w:t>
            </w:r>
          </w:p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weight &gt;30 kg: 40 mg every 2 weeks</w:t>
            </w: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B635C" w:rsidRPr="00ED0C4F" w:rsidTr="00164A9D">
        <w:trPr>
          <w:trHeight w:val="613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CCCCC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Anakinra</w:t>
            </w:r>
          </w:p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(ANK)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CCCCC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IL-1 receptor antagonist</w:t>
            </w: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CCCCC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SC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CCCCC"/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1 mg/kg every day</w:t>
            </w:r>
          </w:p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Maximum 100 mg/dose</w:t>
            </w: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CCCCC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CCCCC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</w:tr>
      <w:tr w:rsidR="00CB635C" w:rsidRPr="00ED0C4F" w:rsidTr="00164A9D">
        <w:trPr>
          <w:trHeight w:val="689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Tocilizumab</w:t>
            </w:r>
            <w:proofErr w:type="spellEnd"/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(TCZ)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Anti-IL-6 receptor antibody</w:t>
            </w: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IV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weight &lt;20 kg: 12 mg/kg every 2 weeks</w:t>
            </w:r>
          </w:p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weight &gt;20 kg: 8 mg/kg every 2 weeks</w:t>
            </w: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635C" w:rsidRPr="00ED0C4F" w:rsidTr="00164A9D">
        <w:trPr>
          <w:trHeight w:val="689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Abatacept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>ABA</w:t>
                </w:r>
              </w:smartTag>
            </w:smartTag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Modulator of T-cell 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co-stimulation </w:t>
            </w: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IV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10 mg/kg, induction phase at 0, 2, 4 weeks, then every 4 weeks</w:t>
            </w:r>
          </w:p>
          <w:p w:rsidR="00CB635C" w:rsidRPr="00ED0C4F" w:rsidRDefault="00CB635C" w:rsidP="00164A9D">
            <w:pPr>
              <w:ind w:left="16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CB635C" w:rsidRPr="00ED0C4F" w:rsidTr="00164A9D">
        <w:trPr>
          <w:trHeight w:val="689"/>
        </w:trPr>
        <w:tc>
          <w:tcPr>
            <w:tcW w:w="13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CB635C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Rituximab</w:t>
            </w:r>
          </w:p>
          <w:p w:rsidR="00CB635C" w:rsidRPr="00ED0C4F" w:rsidRDefault="00CB635C" w:rsidP="00164A9D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(R)</w:t>
            </w:r>
          </w:p>
        </w:tc>
        <w:tc>
          <w:tcPr>
            <w:tcW w:w="198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Anti-CD20 antibody </w:t>
            </w:r>
          </w:p>
        </w:tc>
        <w:tc>
          <w:tcPr>
            <w:tcW w:w="85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IV</w:t>
            </w:r>
          </w:p>
        </w:tc>
        <w:tc>
          <w:tcPr>
            <w:tcW w:w="24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Two doses of 750 mg/m</w:t>
            </w:r>
            <w:r w:rsidRPr="00ED0C4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 at week 0 and 2</w:t>
            </w:r>
          </w:p>
          <w:p w:rsidR="00CB635C" w:rsidRPr="00ED0C4F" w:rsidRDefault="00CB635C" w:rsidP="00CB635C">
            <w:pPr>
              <w:numPr>
                <w:ilvl w:val="0"/>
                <w:numId w:val="1"/>
              </w:numPr>
              <w:ind w:left="168" w:hanging="1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Maximum 1000 mg/dose</w:t>
            </w:r>
          </w:p>
          <w:p w:rsidR="00CB635C" w:rsidRPr="00ED0C4F" w:rsidRDefault="00CB635C" w:rsidP="00164A9D">
            <w:pPr>
              <w:ind w:left="-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276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CB635C" w:rsidRPr="00ED0C4F" w:rsidRDefault="00CB635C" w:rsidP="00164A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C4F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</w:p>
        </w:tc>
      </w:tr>
    </w:tbl>
    <w:p w:rsidR="00CB635C" w:rsidRPr="00BB5795" w:rsidRDefault="00CB635C" w:rsidP="00CB635C">
      <w:pPr>
        <w:spacing w:line="480" w:lineRule="auto"/>
        <w:rPr>
          <w:rFonts w:ascii="Arial" w:hAnsi="Arial" w:cs="Arial"/>
          <w:color w:val="141314"/>
          <w:sz w:val="22"/>
          <w:szCs w:val="22"/>
          <w:lang w:val="fr-CH" w:eastAsia="de-DE"/>
        </w:rPr>
      </w:pPr>
      <w:r w:rsidRPr="00ED0C4F">
        <w:rPr>
          <w:rFonts w:ascii="Arial" w:hAnsi="Arial" w:cs="Arial"/>
          <w:sz w:val="22"/>
          <w:szCs w:val="22"/>
          <w:lang w:val="fr-CH"/>
        </w:rPr>
        <w:t xml:space="preserve">IV = </w:t>
      </w:r>
      <w:proofErr w:type="spellStart"/>
      <w:r w:rsidRPr="00ED0C4F">
        <w:rPr>
          <w:rFonts w:ascii="Arial" w:hAnsi="Arial" w:cs="Arial"/>
          <w:sz w:val="22"/>
          <w:szCs w:val="22"/>
          <w:lang w:val="fr-CH"/>
        </w:rPr>
        <w:t>intravenous</w:t>
      </w:r>
      <w:proofErr w:type="spellEnd"/>
      <w:r w:rsidRPr="00ED0C4F">
        <w:rPr>
          <w:rFonts w:ascii="Arial" w:hAnsi="Arial" w:cs="Arial"/>
          <w:sz w:val="22"/>
          <w:szCs w:val="22"/>
          <w:lang w:val="fr-CH"/>
        </w:rPr>
        <w:t xml:space="preserve">, SC = </w:t>
      </w:r>
      <w:proofErr w:type="spellStart"/>
      <w:r w:rsidRPr="00ED0C4F">
        <w:rPr>
          <w:rFonts w:ascii="Arial" w:hAnsi="Arial" w:cs="Arial"/>
          <w:sz w:val="22"/>
          <w:szCs w:val="22"/>
          <w:lang w:val="fr-CH"/>
        </w:rPr>
        <w:t>subcutanous</w:t>
      </w:r>
      <w:proofErr w:type="spellEnd"/>
      <w:r w:rsidRPr="00ED0C4F">
        <w:rPr>
          <w:rFonts w:ascii="Arial" w:hAnsi="Arial" w:cs="Arial"/>
          <w:sz w:val="22"/>
          <w:szCs w:val="22"/>
          <w:lang w:val="fr-CH"/>
        </w:rPr>
        <w:t xml:space="preserve">, TNF = </w:t>
      </w:r>
      <w:proofErr w:type="spellStart"/>
      <w:r w:rsidRPr="00ED0C4F">
        <w:rPr>
          <w:rFonts w:ascii="Arial" w:hAnsi="Arial" w:cs="Arial"/>
          <w:sz w:val="22"/>
          <w:szCs w:val="22"/>
          <w:lang w:val="fr-CH"/>
        </w:rPr>
        <w:t>tumour</w:t>
      </w:r>
      <w:proofErr w:type="spellEnd"/>
      <w:r w:rsidRPr="00ED0C4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ED0C4F">
        <w:rPr>
          <w:rFonts w:ascii="Arial" w:hAnsi="Arial" w:cs="Arial"/>
          <w:sz w:val="22"/>
          <w:szCs w:val="22"/>
          <w:lang w:val="fr-CH"/>
        </w:rPr>
        <w:t>necrosis</w:t>
      </w:r>
      <w:proofErr w:type="spellEnd"/>
      <w:r w:rsidRPr="00ED0C4F">
        <w:rPr>
          <w:rFonts w:ascii="Arial" w:hAnsi="Arial" w:cs="Arial"/>
          <w:sz w:val="22"/>
          <w:szCs w:val="22"/>
          <w:lang w:val="fr-CH"/>
        </w:rPr>
        <w:t xml:space="preserve"> factor, IL = </w:t>
      </w:r>
      <w:proofErr w:type="spellStart"/>
      <w:r w:rsidRPr="00ED0C4F">
        <w:rPr>
          <w:rFonts w:ascii="Arial" w:hAnsi="Arial" w:cs="Arial"/>
          <w:sz w:val="22"/>
          <w:szCs w:val="22"/>
          <w:lang w:val="fr-CH"/>
        </w:rPr>
        <w:t>interleuk</w:t>
      </w:r>
      <w:r>
        <w:rPr>
          <w:rFonts w:ascii="Arial" w:hAnsi="Arial" w:cs="Arial"/>
          <w:sz w:val="22"/>
          <w:szCs w:val="22"/>
          <w:lang w:val="fr-CH"/>
        </w:rPr>
        <w:t>in</w:t>
      </w:r>
      <w:proofErr w:type="spellEnd"/>
    </w:p>
    <w:p w:rsidR="00980956" w:rsidRDefault="00980956"/>
    <w:sectPr w:rsidR="00980956" w:rsidSect="00BB5795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97"/>
    <w:multiLevelType w:val="hybridMultilevel"/>
    <w:tmpl w:val="FDF07FB0"/>
    <w:lvl w:ilvl="0" w:tplc="0C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635C"/>
    <w:rsid w:val="001B4609"/>
    <w:rsid w:val="00685574"/>
    <w:rsid w:val="006B293A"/>
    <w:rsid w:val="00943908"/>
    <w:rsid w:val="00980956"/>
    <w:rsid w:val="00CB635C"/>
    <w:rsid w:val="00D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Wolters Kluwer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2012-12-14T21:28:00Z</dcterms:created>
  <dcterms:modified xsi:type="dcterms:W3CDTF">2012-12-14T21:29:00Z</dcterms:modified>
</cp:coreProperties>
</file>