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1D68" w14:textId="725D91F0" w:rsidR="009C4CFD" w:rsidRPr="009C4CFD" w:rsidRDefault="009C4CFD" w:rsidP="009C4CFD">
      <w:pPr>
        <w:contextualSpacing/>
        <w:rPr>
          <w:rFonts w:ascii="Times New Roman" w:hAnsi="Times New Roman" w:cs="Times New Roman"/>
        </w:rPr>
      </w:pPr>
      <w:r w:rsidRPr="009C4CFD">
        <w:rPr>
          <w:rFonts w:ascii="Times New Roman" w:hAnsi="Times New Roman" w:cs="Times New Roman"/>
          <w:b/>
        </w:rPr>
        <w:t xml:space="preserve">    </w:t>
      </w:r>
      <w:r w:rsidRPr="009C4CFD">
        <w:rPr>
          <w:rFonts w:ascii="Times New Roman" w:hAnsi="Times New Roman" w:cs="Times New Roman"/>
          <w:b/>
        </w:rPr>
        <w:t>Supplemental Digital Content 2</w:t>
      </w:r>
      <w:r w:rsidRPr="009C4CFD">
        <w:rPr>
          <w:rFonts w:ascii="Times New Roman" w:hAnsi="Times New Roman" w:cs="Times New Roman"/>
        </w:rPr>
        <w:t>: C</w:t>
      </w:r>
      <w:bookmarkStart w:id="0" w:name="_GoBack"/>
      <w:bookmarkEnd w:id="0"/>
      <w:r w:rsidRPr="009C4CFD">
        <w:rPr>
          <w:rFonts w:ascii="Times New Roman" w:hAnsi="Times New Roman" w:cs="Times New Roman"/>
        </w:rPr>
        <w:t>linical characteristics and outcome by racial/ethnicity</w:t>
      </w:r>
    </w:p>
    <w:p w14:paraId="1D7F75CB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3DD6B162" w14:textId="77777777" w:rsidR="00F77D8C" w:rsidRDefault="00F77D8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009" w:tblpY="2341"/>
        <w:tblW w:w="9738" w:type="dxa"/>
        <w:tblLayout w:type="fixed"/>
        <w:tblLook w:val="04A0" w:firstRow="1" w:lastRow="0" w:firstColumn="1" w:lastColumn="0" w:noHBand="0" w:noVBand="1"/>
      </w:tblPr>
      <w:tblGrid>
        <w:gridCol w:w="3078"/>
        <w:gridCol w:w="1350"/>
        <w:gridCol w:w="1350"/>
        <w:gridCol w:w="1620"/>
        <w:gridCol w:w="1710"/>
        <w:gridCol w:w="630"/>
      </w:tblGrid>
      <w:tr w:rsidR="00F77D8C" w14:paraId="23A25D74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79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34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Caucasian</w:t>
            </w:r>
          </w:p>
          <w:p w14:paraId="608A737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(n=13)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32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Hispanic </w:t>
            </w:r>
          </w:p>
          <w:p w14:paraId="61BC819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(n=51)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73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African American </w:t>
            </w:r>
          </w:p>
          <w:p w14:paraId="5FECB5C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(n=7)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1B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Asian/Pacific Islander</w:t>
            </w:r>
          </w:p>
          <w:p w14:paraId="7BA7157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(n=7)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FD7" w14:textId="77777777" w:rsidR="00F77D8C" w:rsidRDefault="00F77D8C" w:rsidP="00D42A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</w:tc>
      </w:tr>
      <w:tr w:rsidR="00F77D8C" w14:paraId="4C4996F2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F68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Disease status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BD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00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5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E6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46F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162B8184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ACD6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Stable or resolved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F4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(76.9)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37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(92.2)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CA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(71.4)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E44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(57.1)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33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F77D8C" w14:paraId="0BD59491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D14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resolved*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D9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(15.4)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67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(7.8)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25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B6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F0A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00EAFE08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41AA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91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7D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85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6E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0BF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67E8A99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6B0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Type of therapy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71B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B97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651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1EE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5D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58C3F7D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5D8" w14:textId="77777777" w:rsidR="00F77D8C" w:rsidRPr="003235CB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Single drug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6F2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5D6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15 (29.4)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00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3 (42.9)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70C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1 (14.3)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E8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F77D8C" w14:paraId="6FD65CC6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0DA" w14:textId="77777777" w:rsidR="00F77D8C" w:rsidRPr="003235CB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Two or more drugs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24B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13 (100)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50D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36 (70.6)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C96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4 (57.1)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0AA" w14:textId="77777777" w:rsidR="00F77D8C" w:rsidRPr="003235CB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3235CB">
              <w:rPr>
                <w:rFonts w:ascii="Arial" w:hAnsi="Arial" w:cs="Arial"/>
                <w:sz w:val="18"/>
                <w:szCs w:val="18"/>
              </w:rPr>
              <w:t>6 (85.7)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25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5C869803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17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90A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60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80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8E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0A479A12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05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Extrapulmonary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site involvement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80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66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7E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57F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C0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427C5F57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29E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7F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01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(64.7)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33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(71.4)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F7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(57.1)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AB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F77D8C" w14:paraId="49BD4C7F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86F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D4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CD4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(35.3)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5E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DC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(42.9)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50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5899DD41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722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drug days (median, IQR)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85E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 (128 - 563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AD7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 (218</w:t>
            </w:r>
            <w:r w:rsidRPr="00043E5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741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817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 (227 - 3015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D18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 (129 - 848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23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F77D8C" w14:paraId="4BFA91B1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EF1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Hospitalization duration (days, median, IQR)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1A9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41(26 - 112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14A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(37 - 122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556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(50 - 173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7465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(20 - 130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72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F77D8C" w14:paraId="78B3AD2E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AE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Inlet duration (days, median, IQR)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D7F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(21 - 62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8E0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(15</w:t>
            </w:r>
            <w:r w:rsidRPr="00043E54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429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(29 - 95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50F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(11 - 39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61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F77D8C" w14:paraId="7A2BAF2F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73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Illness duration (days, median, IQR)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92D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 (476 - 1553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16BA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 (484 - 1049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D3B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 (940 - 2218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980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 (650 - 2253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DD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F77D8C" w14:paraId="3ABABF41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C1A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ESR (mm/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median, IQR)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964C" w14:textId="77777777" w:rsidR="00F77D8C" w:rsidRPr="00BB5DF1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 (31 - 69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B9708" w14:textId="77777777" w:rsidR="00F77D8C" w:rsidRPr="00BB5DF1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 (24 - 74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DFB4E" w14:textId="77777777" w:rsidR="00F77D8C" w:rsidRPr="00BB5DF1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 w:rsidRPr="00043E54">
              <w:rPr>
                <w:rFonts w:ascii="Arial" w:hAnsi="Arial" w:cs="Arial"/>
                <w:sz w:val="18"/>
                <w:szCs w:val="18"/>
              </w:rPr>
              <w:t xml:space="preserve">91.0 </w:t>
            </w:r>
            <w:r>
              <w:rPr>
                <w:rFonts w:ascii="Arial" w:hAnsi="Arial" w:cs="Arial"/>
                <w:sz w:val="18"/>
                <w:szCs w:val="18"/>
              </w:rPr>
              <w:t>(74 - 118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E9A4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 (46 - 112</w:t>
            </w:r>
            <w:r w:rsidRPr="00043E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A4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F77D8C" w14:paraId="719A9C3A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E04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 CF titer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B4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C1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E3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C2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6E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67A5CCD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601E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34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E8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(45.1)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F9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71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CA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F77D8C" w14:paraId="508B866D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D961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6B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FB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(54.9)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14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(71.4)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B8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(71.4)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FF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6B09ED96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E01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CF titer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ED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3F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5E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90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B6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664D6F0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8BE6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≤1:16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2D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8F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(27.5)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2D4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(0)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C9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BF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F77D8C" w14:paraId="2C8A8062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36F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≥1:32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C6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(84.6)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40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(72.6)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B6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(100)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45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(85.7)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46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068FBC7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A5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involved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B6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AFA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EA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8D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F7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4DFF60B7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C05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Meningitis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4A5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(30.8)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5D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(13.7)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FE9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083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68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F77D8C" w14:paraId="085DA303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4BF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C2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D8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(72.6)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6F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AE6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(85.7)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9E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F77D8C" w14:paraId="3E8222F2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0C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Comorbidity (n, 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43E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4B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B5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78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84B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D8C" w14:paraId="383A66AB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59E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0D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(15.4)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63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(15.7)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FE1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(14.3)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D8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860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F77D8C" w14:paraId="79307F08" w14:textId="77777777" w:rsidTr="00D42A7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603" w14:textId="77777777" w:rsidR="00F77D8C" w:rsidRDefault="00F77D8C" w:rsidP="00D42A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D68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(84.6)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9DD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(84.3)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E22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(85.7)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917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(85.7)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FEC" w14:textId="77777777" w:rsidR="00F77D8C" w:rsidRDefault="00F77D8C" w:rsidP="00D42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69E818" w14:textId="60F19B35" w:rsidR="00D42A75" w:rsidRDefault="00D42A75" w:rsidP="00D42A75">
      <w:pPr>
        <w:ind w:left="-900"/>
        <w:contextualSpacing/>
        <w:rPr>
          <w:rFonts w:ascii="Arial" w:hAnsi="Arial" w:cs="Arial"/>
          <w:b/>
          <w:sz w:val="18"/>
          <w:szCs w:val="18"/>
        </w:rPr>
      </w:pPr>
    </w:p>
    <w:p w14:paraId="1963B797" w14:textId="77777777" w:rsidR="00D42A75" w:rsidRDefault="00D42A75" w:rsidP="00D42A75">
      <w:pPr>
        <w:ind w:left="-900"/>
        <w:contextualSpacing/>
        <w:rPr>
          <w:rFonts w:ascii="Arial" w:hAnsi="Arial" w:cs="Arial"/>
          <w:b/>
          <w:sz w:val="18"/>
          <w:szCs w:val="18"/>
        </w:rPr>
      </w:pPr>
    </w:p>
    <w:p w14:paraId="2186D361" w14:textId="77777777" w:rsidR="00D42A75" w:rsidRDefault="00D42A75" w:rsidP="00D42A75">
      <w:pPr>
        <w:ind w:left="-900"/>
        <w:contextualSpacing/>
        <w:rPr>
          <w:rFonts w:ascii="Arial" w:hAnsi="Arial" w:cs="Arial"/>
          <w:b/>
          <w:sz w:val="18"/>
          <w:szCs w:val="18"/>
        </w:rPr>
      </w:pPr>
    </w:p>
    <w:p w14:paraId="705FBEC3" w14:textId="231C2368" w:rsidR="00F77D8C" w:rsidRDefault="0063672F" w:rsidP="009C4CFD">
      <w:pPr>
        <w:ind w:left="-9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</w:p>
    <w:p w14:paraId="757F0614" w14:textId="77777777" w:rsidR="003B2564" w:rsidRDefault="003B2564" w:rsidP="003B2564">
      <w:pPr>
        <w:rPr>
          <w:rFonts w:ascii="Arial" w:hAnsi="Arial" w:cs="Arial"/>
          <w:sz w:val="18"/>
          <w:szCs w:val="18"/>
        </w:rPr>
      </w:pPr>
      <w:proofErr w:type="gramStart"/>
      <w:r w:rsidRPr="00066837">
        <w:rPr>
          <w:rFonts w:ascii="Arial" w:hAnsi="Arial" w:cs="Arial"/>
          <w:sz w:val="18"/>
          <w:szCs w:val="18"/>
        </w:rPr>
        <w:t>p-values</w:t>
      </w:r>
      <w:proofErr w:type="gramEnd"/>
      <w:r w:rsidRPr="00066837">
        <w:rPr>
          <w:rFonts w:ascii="Arial" w:hAnsi="Arial" w:cs="Arial"/>
          <w:sz w:val="18"/>
          <w:szCs w:val="18"/>
        </w:rPr>
        <w:t xml:space="preserve"> are obtained from Mann–Whitney U test for continuous variable and Fisher’s exact test for categorical variables.</w:t>
      </w:r>
      <w:r>
        <w:rPr>
          <w:rFonts w:ascii="Arial" w:hAnsi="Arial" w:cs="Arial"/>
          <w:sz w:val="18"/>
          <w:szCs w:val="18"/>
        </w:rPr>
        <w:t xml:space="preserve"> Inlet duration defined as </w:t>
      </w:r>
      <w:r w:rsidRPr="009026D0">
        <w:rPr>
          <w:rFonts w:ascii="Arial" w:hAnsi="Arial" w:cs="Arial"/>
          <w:sz w:val="18"/>
          <w:szCs w:val="18"/>
        </w:rPr>
        <w:t>interval between onset o</w:t>
      </w:r>
      <w:r>
        <w:rPr>
          <w:rFonts w:ascii="Arial" w:hAnsi="Arial" w:cs="Arial"/>
          <w:sz w:val="18"/>
          <w:szCs w:val="18"/>
        </w:rPr>
        <w:t xml:space="preserve">f symptom and diagnosis in days, illness duration as </w:t>
      </w:r>
      <w:r w:rsidRPr="009026D0">
        <w:rPr>
          <w:rFonts w:ascii="Arial" w:hAnsi="Arial" w:cs="Arial"/>
          <w:sz w:val="18"/>
          <w:szCs w:val="18"/>
        </w:rPr>
        <w:t>interval betwee</w:t>
      </w:r>
      <w:r>
        <w:rPr>
          <w:rFonts w:ascii="Arial" w:hAnsi="Arial" w:cs="Arial"/>
          <w:sz w:val="18"/>
          <w:szCs w:val="18"/>
        </w:rPr>
        <w:t>n diagnosis and resolve in days</w:t>
      </w:r>
    </w:p>
    <w:p w14:paraId="251931BE" w14:textId="77777777" w:rsidR="003B2564" w:rsidRPr="00066837" w:rsidRDefault="003B2564" w:rsidP="003B25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*Non resolved disease status include cases with relapsed/progressive/fatal disease</w:t>
      </w:r>
    </w:p>
    <w:p w14:paraId="5295FEE5" w14:textId="77777777" w:rsidR="003B2564" w:rsidRDefault="003B2564" w:rsidP="003B2564">
      <w:pPr>
        <w:rPr>
          <w:rFonts w:ascii="Arial" w:hAnsi="Arial" w:cs="Arial"/>
          <w:sz w:val="18"/>
          <w:szCs w:val="18"/>
        </w:rPr>
      </w:pPr>
      <w:r w:rsidRPr="00066837">
        <w:rPr>
          <w:rFonts w:ascii="Arial" w:hAnsi="Arial" w:cs="Arial"/>
          <w:sz w:val="18"/>
          <w:szCs w:val="18"/>
        </w:rPr>
        <w:t>Abbreviations: CF, complement fixa</w:t>
      </w:r>
      <w:r>
        <w:rPr>
          <w:rFonts w:ascii="Arial" w:hAnsi="Arial" w:cs="Arial"/>
          <w:sz w:val="18"/>
          <w:szCs w:val="18"/>
        </w:rPr>
        <w:t xml:space="preserve">tion; </w:t>
      </w:r>
      <w:r w:rsidRPr="00066837">
        <w:rPr>
          <w:rFonts w:ascii="Arial" w:hAnsi="Arial" w:cs="Arial"/>
          <w:sz w:val="18"/>
          <w:szCs w:val="18"/>
        </w:rPr>
        <w:t>ESR, erythrocyte sedimentation rate; IQR, interquartile range</w:t>
      </w:r>
    </w:p>
    <w:p w14:paraId="5F606BDC" w14:textId="77777777" w:rsidR="003B2564" w:rsidRPr="00066837" w:rsidRDefault="003B2564" w:rsidP="003B2564">
      <w:pPr>
        <w:rPr>
          <w:rFonts w:ascii="Arial" w:hAnsi="Arial" w:cs="Arial"/>
          <w:sz w:val="18"/>
          <w:szCs w:val="18"/>
        </w:rPr>
      </w:pPr>
    </w:p>
    <w:p w14:paraId="6926184C" w14:textId="77777777" w:rsidR="003B2564" w:rsidRPr="00543652" w:rsidRDefault="003B2564" w:rsidP="0063672F">
      <w:pPr>
        <w:ind w:left="-180" w:hanging="720"/>
        <w:contextualSpacing/>
        <w:rPr>
          <w:rFonts w:ascii="Arial" w:hAnsi="Arial" w:cs="Arial"/>
          <w:sz w:val="18"/>
          <w:szCs w:val="18"/>
        </w:rPr>
      </w:pPr>
    </w:p>
    <w:sectPr w:rsidR="003B2564" w:rsidRPr="00543652" w:rsidSect="009C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0"/>
    <w:rsid w:val="00103C20"/>
    <w:rsid w:val="001B616C"/>
    <w:rsid w:val="00292A64"/>
    <w:rsid w:val="003B2564"/>
    <w:rsid w:val="00543652"/>
    <w:rsid w:val="0063672F"/>
    <w:rsid w:val="00761068"/>
    <w:rsid w:val="0083249D"/>
    <w:rsid w:val="009C4CFD"/>
    <w:rsid w:val="00B05D95"/>
    <w:rsid w:val="00C845E7"/>
    <w:rsid w:val="00D42A75"/>
    <w:rsid w:val="00EF39D1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4D7B"/>
  <w14:defaultImageDpi w14:val="300"/>
  <w15:docId w15:val="{7D6B2F34-7A37-4FB3-B9BA-E3FF563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7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Fouzia Naeem</dc:creator>
  <cp:keywords/>
  <dc:description/>
  <cp:lastModifiedBy>Amy Sue Manley</cp:lastModifiedBy>
  <cp:revision>2</cp:revision>
  <dcterms:created xsi:type="dcterms:W3CDTF">2019-08-27T15:26:00Z</dcterms:created>
  <dcterms:modified xsi:type="dcterms:W3CDTF">2019-08-27T15:26:00Z</dcterms:modified>
</cp:coreProperties>
</file>