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F5" w:rsidRPr="00CD0A4D" w:rsidRDefault="000277F5" w:rsidP="000277F5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Supplemental Digital Content 5</w:t>
      </w:r>
      <w:r w:rsidRPr="00CD0A4D">
        <w:rPr>
          <w:rFonts w:asciiTheme="minorHAnsi" w:hAnsiTheme="minorHAnsi" w:cstheme="minorHAnsi"/>
          <w:b/>
          <w:sz w:val="22"/>
          <w:szCs w:val="20"/>
        </w:rPr>
        <w:t xml:space="preserve">: </w:t>
      </w:r>
      <w:r w:rsidRPr="00CD0A4D">
        <w:rPr>
          <w:rFonts w:asciiTheme="minorHAnsi" w:hAnsiTheme="minorHAnsi" w:cstheme="minorHAnsi"/>
          <w:sz w:val="22"/>
          <w:szCs w:val="20"/>
        </w:rPr>
        <w:t>Timing of rotavirus vaccination, serological testing and stool collection</w:t>
      </w:r>
    </w:p>
    <w:p w:rsidR="000277F5" w:rsidRDefault="000277F5" w:rsidP="000277F5">
      <w:pPr>
        <w:spacing w:line="276" w:lineRule="auto"/>
        <w:jc w:val="both"/>
        <w:rPr>
          <w:b/>
          <w:sz w:val="20"/>
          <w:szCs w:val="20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548"/>
        <w:gridCol w:w="1780"/>
        <w:gridCol w:w="1713"/>
        <w:gridCol w:w="1068"/>
        <w:gridCol w:w="992"/>
      </w:tblGrid>
      <w:tr w:rsidR="000277F5" w:rsidRPr="00B1464F" w:rsidTr="00BB299E">
        <w:trPr>
          <w:trHeight w:val="762"/>
        </w:trPr>
        <w:tc>
          <w:tcPr>
            <w:tcW w:w="354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80" w:type="dxa"/>
            <w:vAlign w:val="center"/>
          </w:tcPr>
          <w:p w:rsidR="000277F5" w:rsidRPr="00B1464F" w:rsidRDefault="000277F5" w:rsidP="00BB29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RV s</w:t>
            </w:r>
            <w:r w:rsidRPr="00B1464F">
              <w:rPr>
                <w:rFonts w:asciiTheme="majorHAnsi" w:hAnsiTheme="majorHAnsi" w:cstheme="majorHAnsi"/>
                <w:b/>
                <w:sz w:val="16"/>
                <w:szCs w:val="16"/>
              </w:rPr>
              <w:t>eronegative infants</w:t>
            </w:r>
          </w:p>
          <w:p w:rsidR="000277F5" w:rsidRPr="00B1464F" w:rsidRDefault="000277F5" w:rsidP="00BB299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164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713" w:type="dxa"/>
            <w:vAlign w:val="center"/>
          </w:tcPr>
          <w:p w:rsidR="000277F5" w:rsidRPr="00B1464F" w:rsidRDefault="000277F5" w:rsidP="00BB29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RV s</w:t>
            </w:r>
            <w:r w:rsidRPr="00B1464F">
              <w:rPr>
                <w:rFonts w:asciiTheme="majorHAnsi" w:hAnsiTheme="majorHAnsi" w:cstheme="majorHAnsi"/>
                <w:b/>
                <w:sz w:val="16"/>
                <w:szCs w:val="16"/>
              </w:rPr>
              <w:t>eropositive infants</w:t>
            </w:r>
          </w:p>
          <w:p w:rsidR="000277F5" w:rsidRPr="00B1464F" w:rsidRDefault="000277F5" w:rsidP="00BB299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60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068" w:type="dxa"/>
            <w:vAlign w:val="center"/>
          </w:tcPr>
          <w:p w:rsidR="000277F5" w:rsidRPr="00B1464F" w:rsidRDefault="000277F5" w:rsidP="00BB29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b/>
                <w:sz w:val="16"/>
                <w:szCs w:val="16"/>
              </w:rPr>
              <w:t>All</w:t>
            </w:r>
          </w:p>
          <w:p w:rsidR="000277F5" w:rsidRPr="00B1464F" w:rsidRDefault="000277F5" w:rsidP="00BB29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(N=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224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0277F5" w:rsidRPr="00795D53" w:rsidRDefault="000277F5" w:rsidP="00BB299E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95D53">
              <w:rPr>
                <w:rFonts w:asciiTheme="majorHAnsi" w:hAnsiTheme="majorHAnsi" w:cstheme="majorHAnsi"/>
                <w:b/>
                <w:sz w:val="16"/>
                <w:szCs w:val="16"/>
              </w:rPr>
              <w:t>P value</w:t>
            </w:r>
            <w:r w:rsidRPr="00795D53">
              <w:rPr>
                <w:rStyle w:val="FootnoteReference"/>
                <w:rFonts w:asciiTheme="majorHAnsi" w:hAnsiTheme="majorHAnsi" w:cstheme="majorHAnsi"/>
                <w:b/>
                <w:sz w:val="16"/>
                <w:szCs w:val="16"/>
              </w:rPr>
              <w:footnoteReference w:id="1"/>
            </w:r>
          </w:p>
        </w:tc>
      </w:tr>
      <w:tr w:rsidR="000277F5" w:rsidRPr="00B1464F" w:rsidTr="00BB299E">
        <w:trPr>
          <w:trHeight w:val="545"/>
        </w:trPr>
        <w:tc>
          <w:tcPr>
            <w:tcW w:w="354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Receipt of two doses of </w:t>
            </w:r>
            <w:proofErr w:type="spellStart"/>
            <w:r w:rsidRPr="00B1464F">
              <w:rPr>
                <w:rFonts w:asciiTheme="majorHAnsi" w:hAnsiTheme="majorHAnsi" w:cstheme="majorHAnsi"/>
                <w:i/>
                <w:sz w:val="16"/>
                <w:szCs w:val="16"/>
              </w:rPr>
              <w:t>Rotarix</w:t>
            </w:r>
            <w:proofErr w:type="spellEnd"/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, %</w:t>
            </w:r>
          </w:p>
        </w:tc>
        <w:tc>
          <w:tcPr>
            <w:tcW w:w="1780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97.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1713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98.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06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97.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0277F5" w:rsidRPr="00795D53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95D53">
              <w:rPr>
                <w:rFonts w:asciiTheme="majorHAnsi" w:hAnsiTheme="majorHAnsi" w:cstheme="majorHAnsi"/>
                <w:sz w:val="16"/>
                <w:szCs w:val="16"/>
              </w:rPr>
              <w:t>0.494</w:t>
            </w:r>
          </w:p>
        </w:tc>
      </w:tr>
      <w:tr w:rsidR="000277F5" w:rsidRPr="00B1464F" w:rsidTr="00BB299E">
        <w:trPr>
          <w:trHeight w:val="516"/>
        </w:trPr>
        <w:tc>
          <w:tcPr>
            <w:tcW w:w="3548" w:type="dxa"/>
            <w:vAlign w:val="center"/>
          </w:tcPr>
          <w:p w:rsidR="000277F5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Age at </w:t>
            </w:r>
            <w:proofErr w:type="spellStart"/>
            <w:r w:rsidRPr="00B1464F">
              <w:rPr>
                <w:rFonts w:asciiTheme="majorHAnsi" w:hAnsiTheme="majorHAnsi" w:cstheme="majorHAnsi"/>
                <w:i/>
                <w:sz w:val="16"/>
                <w:szCs w:val="16"/>
              </w:rPr>
              <w:t>Rotarix</w:t>
            </w:r>
            <w:proofErr w:type="spellEnd"/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 dose 1 in weeks, </w:t>
            </w:r>
          </w:p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median (IQR)</w:t>
            </w:r>
          </w:p>
        </w:tc>
        <w:tc>
          <w:tcPr>
            <w:tcW w:w="1780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3 (6, 6.9)</w:t>
            </w:r>
          </w:p>
        </w:tc>
        <w:tc>
          <w:tcPr>
            <w:tcW w:w="1713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6.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 (6, 6.4)</w:t>
            </w:r>
          </w:p>
        </w:tc>
        <w:tc>
          <w:tcPr>
            <w:tcW w:w="106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6.3 </w:t>
            </w:r>
          </w:p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(6.0, 6.7)</w:t>
            </w:r>
          </w:p>
        </w:tc>
        <w:tc>
          <w:tcPr>
            <w:tcW w:w="992" w:type="dxa"/>
            <w:vAlign w:val="center"/>
          </w:tcPr>
          <w:p w:rsidR="000277F5" w:rsidRPr="00795D53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95D53">
              <w:rPr>
                <w:rFonts w:asciiTheme="majorHAnsi" w:hAnsiTheme="majorHAnsi" w:cstheme="majorHAnsi"/>
                <w:sz w:val="16"/>
                <w:szCs w:val="16"/>
              </w:rPr>
              <w:t>0.040</w:t>
            </w:r>
          </w:p>
        </w:tc>
      </w:tr>
      <w:tr w:rsidR="000277F5" w:rsidRPr="00B1464F" w:rsidTr="00BB299E">
        <w:trPr>
          <w:trHeight w:val="535"/>
        </w:trPr>
        <w:tc>
          <w:tcPr>
            <w:tcW w:w="3548" w:type="dxa"/>
            <w:vAlign w:val="center"/>
          </w:tcPr>
          <w:p w:rsidR="000277F5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Age at </w:t>
            </w:r>
            <w:proofErr w:type="spellStart"/>
            <w:r w:rsidRPr="00B1464F">
              <w:rPr>
                <w:rFonts w:asciiTheme="majorHAnsi" w:hAnsiTheme="majorHAnsi" w:cstheme="majorHAnsi"/>
                <w:i/>
                <w:sz w:val="16"/>
                <w:szCs w:val="16"/>
              </w:rPr>
              <w:t>Rotarix</w:t>
            </w:r>
            <w:proofErr w:type="spellEnd"/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 dose 2 in weeks, </w:t>
            </w:r>
          </w:p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median (IQR)</w:t>
            </w:r>
          </w:p>
        </w:tc>
        <w:tc>
          <w:tcPr>
            <w:tcW w:w="1780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0.9 (10.1, 12.4)</w:t>
            </w:r>
          </w:p>
        </w:tc>
        <w:tc>
          <w:tcPr>
            <w:tcW w:w="1713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9 (10.1, 11.3)</w:t>
            </w:r>
          </w:p>
        </w:tc>
        <w:tc>
          <w:tcPr>
            <w:tcW w:w="106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0.9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(10.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, 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1.7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0277F5" w:rsidRPr="00795D53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95D53">
              <w:rPr>
                <w:rFonts w:asciiTheme="majorHAnsi" w:hAnsiTheme="majorHAnsi" w:cstheme="majorHAnsi"/>
                <w:sz w:val="16"/>
                <w:szCs w:val="16"/>
              </w:rPr>
              <w:t>0.106</w:t>
            </w:r>
          </w:p>
        </w:tc>
      </w:tr>
      <w:tr w:rsidR="000277F5" w:rsidRPr="00B1464F" w:rsidTr="00BB299E">
        <w:trPr>
          <w:trHeight w:val="535"/>
        </w:trPr>
        <w:tc>
          <w:tcPr>
            <w:tcW w:w="354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Timing of pre-dose titre measurement; days prior to first vaccine dose, median (IQR)</w:t>
            </w:r>
            <w:r w:rsidRPr="00B1464F">
              <w:rPr>
                <w:rStyle w:val="FootnoteReference"/>
                <w:rFonts w:asciiTheme="majorHAnsi" w:hAnsiTheme="majorHAnsi" w:cstheme="majorHAnsi"/>
                <w:sz w:val="16"/>
                <w:szCs w:val="16"/>
              </w:rPr>
              <w:footnoteReference w:id="2"/>
            </w:r>
          </w:p>
        </w:tc>
        <w:tc>
          <w:tcPr>
            <w:tcW w:w="1780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10.0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(6, 15)</w:t>
            </w:r>
          </w:p>
        </w:tc>
        <w:tc>
          <w:tcPr>
            <w:tcW w:w="1713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8.0  (7, 11)</w:t>
            </w:r>
          </w:p>
        </w:tc>
        <w:tc>
          <w:tcPr>
            <w:tcW w:w="106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9.0</w:t>
            </w:r>
          </w:p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, 1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0.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020</w:t>
            </w:r>
          </w:p>
        </w:tc>
      </w:tr>
      <w:tr w:rsidR="000277F5" w:rsidRPr="00B1464F" w:rsidTr="00BB299E">
        <w:trPr>
          <w:trHeight w:val="535"/>
        </w:trPr>
        <w:tc>
          <w:tcPr>
            <w:tcW w:w="354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Timing of post-dose titre, days after last vaccine dose, median (IQR)</w:t>
            </w:r>
            <w:r w:rsidRPr="00B1464F">
              <w:rPr>
                <w:rStyle w:val="FootnoteReference"/>
                <w:rFonts w:asciiTheme="majorHAnsi" w:hAnsiTheme="majorHAnsi" w:cstheme="majorHAnsi"/>
                <w:sz w:val="16"/>
                <w:szCs w:val="16"/>
              </w:rPr>
              <w:footnoteReference w:id="3"/>
            </w:r>
          </w:p>
        </w:tc>
        <w:tc>
          <w:tcPr>
            <w:tcW w:w="1780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7</w:t>
            </w: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(18.5, 37.5)</w:t>
            </w:r>
          </w:p>
        </w:tc>
        <w:tc>
          <w:tcPr>
            <w:tcW w:w="1713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29</w:t>
            </w:r>
            <w:r w:rsidRPr="00B1464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(20.5, 48)</w:t>
            </w:r>
          </w:p>
        </w:tc>
        <w:tc>
          <w:tcPr>
            <w:tcW w:w="106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.0 </w:t>
            </w:r>
          </w:p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(19, 4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0.5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0.0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33</w:t>
            </w:r>
          </w:p>
        </w:tc>
      </w:tr>
      <w:tr w:rsidR="000277F5" w:rsidRPr="00B1464F" w:rsidTr="00BB299E">
        <w:trPr>
          <w:trHeight w:val="535"/>
        </w:trPr>
        <w:tc>
          <w:tcPr>
            <w:tcW w:w="354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Timing of </w:t>
            </w:r>
            <w:proofErr w:type="spellStart"/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peri</w:t>
            </w:r>
            <w:proofErr w:type="spellEnd"/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-vaccination stool; days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prior to/after first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 vaccine dose, median (IQR)</w:t>
            </w:r>
          </w:p>
        </w:tc>
        <w:tc>
          <w:tcPr>
            <w:tcW w:w="1780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-3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-10, 7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713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-5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-8, 8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068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-3.5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-10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0277F5" w:rsidRPr="00B1464F" w:rsidRDefault="000277F5" w:rsidP="00BB299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1464F">
              <w:rPr>
                <w:rFonts w:asciiTheme="majorHAnsi" w:hAnsiTheme="majorHAnsi" w:cstheme="majorHAnsi"/>
                <w:sz w:val="16"/>
                <w:szCs w:val="16"/>
              </w:rPr>
              <w:t>0.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563</w:t>
            </w:r>
          </w:p>
        </w:tc>
      </w:tr>
    </w:tbl>
    <w:p w:rsidR="000277F5" w:rsidRDefault="000277F5" w:rsidP="000277F5">
      <w:pPr>
        <w:spacing w:line="276" w:lineRule="auto"/>
        <w:jc w:val="both"/>
        <w:rPr>
          <w:sz w:val="20"/>
          <w:szCs w:val="20"/>
        </w:rPr>
      </w:pPr>
    </w:p>
    <w:p w:rsidR="0031459F" w:rsidRPr="000277F5" w:rsidRDefault="0031459F" w:rsidP="000277F5">
      <w:pPr>
        <w:spacing w:before="200" w:after="200" w:line="276" w:lineRule="auto"/>
        <w:rPr>
          <w:sz w:val="20"/>
          <w:szCs w:val="20"/>
        </w:rPr>
      </w:pPr>
      <w:bookmarkStart w:id="0" w:name="_GoBack"/>
      <w:bookmarkEnd w:id="0"/>
    </w:p>
    <w:sectPr w:rsidR="0031459F" w:rsidRPr="000277F5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46" w:rsidRDefault="00C50546" w:rsidP="000277F5">
      <w:r>
        <w:separator/>
      </w:r>
    </w:p>
  </w:endnote>
  <w:endnote w:type="continuationSeparator" w:id="0">
    <w:p w:rsidR="00C50546" w:rsidRDefault="00C50546" w:rsidP="0002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46" w:rsidRDefault="00C50546" w:rsidP="000277F5">
      <w:r>
        <w:separator/>
      </w:r>
    </w:p>
  </w:footnote>
  <w:footnote w:type="continuationSeparator" w:id="0">
    <w:p w:rsidR="00C50546" w:rsidRDefault="00C50546" w:rsidP="000277F5">
      <w:r>
        <w:continuationSeparator/>
      </w:r>
    </w:p>
  </w:footnote>
  <w:footnote w:id="1">
    <w:p w:rsidR="000277F5" w:rsidRPr="00372AA9" w:rsidRDefault="000277F5" w:rsidP="000277F5">
      <w:pPr>
        <w:pStyle w:val="FootnoteText"/>
        <w:spacing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372AA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372AA9">
        <w:rPr>
          <w:rFonts w:asciiTheme="majorHAnsi" w:hAnsiTheme="majorHAnsi" w:cstheme="majorHAnsi"/>
          <w:sz w:val="16"/>
          <w:szCs w:val="16"/>
        </w:rPr>
        <w:t xml:space="preserve"> </w:t>
      </w:r>
      <w:r w:rsidRPr="00372AA9">
        <w:rPr>
          <w:rFonts w:asciiTheme="majorHAnsi" w:hAnsiTheme="majorHAnsi" w:cstheme="majorHAnsi"/>
          <w:sz w:val="16"/>
          <w:szCs w:val="16"/>
          <w:lang w:val="en-GB"/>
        </w:rPr>
        <w:t>P-values</w:t>
      </w:r>
      <w:r>
        <w:rPr>
          <w:rFonts w:asciiTheme="majorHAnsi" w:hAnsiTheme="majorHAnsi" w:cstheme="majorHAnsi"/>
          <w:sz w:val="16"/>
          <w:szCs w:val="16"/>
          <w:lang w:val="en-GB"/>
        </w:rPr>
        <w:t xml:space="preserve"> compare RV-seropositive and RV-seronegative infants</w:t>
      </w:r>
      <w:r w:rsidRPr="00372AA9">
        <w:rPr>
          <w:rFonts w:asciiTheme="majorHAnsi" w:hAnsiTheme="majorHAnsi" w:cstheme="majorHAnsi"/>
          <w:sz w:val="16"/>
          <w:szCs w:val="16"/>
          <w:lang w:val="en-GB"/>
        </w:rPr>
        <w:t xml:space="preserve"> adjusted for clustering effect. Depending on the analysis, other methods for comparing arms while handling within-cluster correlation included multinomial and ordinal regression models with robust variance estimation, and Somers’ D for medians, all implemented in Stata version 14.  </w:t>
      </w:r>
    </w:p>
  </w:footnote>
  <w:footnote w:id="2">
    <w:p w:rsidR="000277F5" w:rsidRPr="00372AA9" w:rsidRDefault="000277F5" w:rsidP="000277F5">
      <w:pPr>
        <w:pStyle w:val="FootnoteText"/>
        <w:spacing w:line="240" w:lineRule="auto"/>
        <w:jc w:val="both"/>
        <w:rPr>
          <w:rFonts w:asciiTheme="majorHAnsi" w:hAnsiTheme="majorHAnsi" w:cstheme="majorHAnsi"/>
          <w:sz w:val="16"/>
          <w:szCs w:val="16"/>
          <w:lang w:val="en-GB"/>
        </w:rPr>
      </w:pPr>
      <w:r w:rsidRPr="00372AA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372AA9">
        <w:rPr>
          <w:rFonts w:asciiTheme="majorHAnsi" w:hAnsiTheme="majorHAnsi" w:cstheme="majorHAnsi"/>
          <w:sz w:val="16"/>
          <w:szCs w:val="16"/>
        </w:rPr>
        <w:t xml:space="preserve"> </w:t>
      </w:r>
      <w:r w:rsidRPr="00372AA9">
        <w:rPr>
          <w:rFonts w:asciiTheme="majorHAnsi" w:hAnsiTheme="majorHAnsi" w:cstheme="majorHAnsi"/>
          <w:sz w:val="16"/>
          <w:szCs w:val="16"/>
          <w:lang w:val="en-GB"/>
        </w:rPr>
        <w:t xml:space="preserve">Pre-dose titre only available in </w:t>
      </w:r>
      <w:r>
        <w:rPr>
          <w:rFonts w:asciiTheme="majorHAnsi" w:hAnsiTheme="majorHAnsi" w:cstheme="majorHAnsi"/>
          <w:sz w:val="16"/>
          <w:szCs w:val="16"/>
          <w:lang w:val="en-GB"/>
        </w:rPr>
        <w:t>45</w:t>
      </w:r>
      <w:r w:rsidRPr="00372AA9">
        <w:rPr>
          <w:rFonts w:asciiTheme="majorHAnsi" w:hAnsiTheme="majorHAnsi" w:cstheme="majorHAnsi"/>
          <w:sz w:val="16"/>
          <w:szCs w:val="16"/>
          <w:lang w:val="en-GB"/>
        </w:rPr>
        <w:t xml:space="preserve"> WASH infants and </w:t>
      </w:r>
      <w:r>
        <w:rPr>
          <w:rFonts w:asciiTheme="majorHAnsi" w:hAnsiTheme="majorHAnsi" w:cstheme="majorHAnsi"/>
          <w:sz w:val="16"/>
          <w:szCs w:val="16"/>
          <w:lang w:val="en-GB"/>
        </w:rPr>
        <w:t>94</w:t>
      </w:r>
      <w:r w:rsidRPr="00372AA9">
        <w:rPr>
          <w:rFonts w:asciiTheme="majorHAnsi" w:hAnsiTheme="majorHAnsi" w:cstheme="majorHAnsi"/>
          <w:sz w:val="16"/>
          <w:szCs w:val="16"/>
          <w:lang w:val="en-GB"/>
        </w:rPr>
        <w:t xml:space="preserve"> non-WASH infants</w:t>
      </w:r>
    </w:p>
  </w:footnote>
  <w:footnote w:id="3">
    <w:p w:rsidR="000277F5" w:rsidRPr="004209DF" w:rsidRDefault="000277F5" w:rsidP="000277F5">
      <w:pPr>
        <w:pStyle w:val="FootnoteText"/>
        <w:spacing w:line="240" w:lineRule="auto"/>
        <w:jc w:val="both"/>
        <w:rPr>
          <w:sz w:val="16"/>
          <w:szCs w:val="16"/>
          <w:lang w:val="en-GB"/>
        </w:rPr>
      </w:pPr>
      <w:r w:rsidRPr="00372AA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372AA9">
        <w:rPr>
          <w:rFonts w:asciiTheme="majorHAnsi" w:hAnsiTheme="majorHAnsi" w:cstheme="majorHAnsi"/>
          <w:sz w:val="16"/>
          <w:szCs w:val="16"/>
        </w:rPr>
        <w:t xml:space="preserve"> </w:t>
      </w:r>
      <w:r w:rsidRPr="00372AA9">
        <w:rPr>
          <w:rFonts w:asciiTheme="majorHAnsi" w:hAnsiTheme="majorHAnsi" w:cstheme="majorHAnsi"/>
          <w:sz w:val="16"/>
          <w:szCs w:val="16"/>
          <w:lang w:val="en-GB"/>
        </w:rPr>
        <w:t>After the last dose of rotavirus vaccine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F5"/>
    <w:rsid w:val="000277F5"/>
    <w:rsid w:val="002D58D7"/>
    <w:rsid w:val="0031459F"/>
    <w:rsid w:val="003E1059"/>
    <w:rsid w:val="00AE0127"/>
    <w:rsid w:val="00C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84916-ABB6-4CB8-8960-3C16AF1E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3E1059"/>
    <w:rPr>
      <w:rFonts w:ascii="Book Antiqua" w:eastAsiaTheme="majorEastAsia" w:hAnsi="Book Antiqua" w:cstheme="majorBidi"/>
      <w:szCs w:val="20"/>
      <w:lang w:val="en-US"/>
    </w:rPr>
  </w:style>
  <w:style w:type="table" w:styleId="TableGrid">
    <w:name w:val="Table Grid"/>
    <w:basedOn w:val="TableNormal"/>
    <w:rsid w:val="000277F5"/>
    <w:pPr>
      <w:spacing w:before="200" w:after="200" w:line="276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277F5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77F5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27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2019-08-27T21:18:00Z</dcterms:created>
  <dcterms:modified xsi:type="dcterms:W3CDTF">2019-08-27T21:19:00Z</dcterms:modified>
</cp:coreProperties>
</file>