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80"/>
        <w:gridCol w:w="1867"/>
        <w:gridCol w:w="1701"/>
        <w:gridCol w:w="1701"/>
        <w:gridCol w:w="1701"/>
        <w:gridCol w:w="1701"/>
      </w:tblGrid>
      <w:tr w:rsidR="00534F9D" w:rsidRPr="008C4E48" w14:paraId="31CD866C" w14:textId="77777777" w:rsidTr="00534F9D">
        <w:tc>
          <w:tcPr>
            <w:tcW w:w="9351" w:type="dxa"/>
            <w:gridSpan w:val="6"/>
          </w:tcPr>
          <w:p w14:paraId="5A3EAF07" w14:textId="77777777" w:rsidR="00534F9D" w:rsidRPr="00056365" w:rsidRDefault="00534F9D" w:rsidP="00056365">
            <w:pPr>
              <w:contextualSpacing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Table 2. Pre- and post-vaccination antibody concentrations</w:t>
            </w:r>
          </w:p>
        </w:tc>
      </w:tr>
      <w:tr w:rsidR="00534F9D" w:rsidRPr="00056365" w14:paraId="5FE62E23" w14:textId="77777777" w:rsidTr="00534F9D">
        <w:tc>
          <w:tcPr>
            <w:tcW w:w="2547" w:type="dxa"/>
            <w:gridSpan w:val="2"/>
            <w:vAlign w:val="center"/>
          </w:tcPr>
          <w:p w14:paraId="34AA9FC6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Antibody concentration</w:t>
            </w:r>
          </w:p>
        </w:tc>
        <w:tc>
          <w:tcPr>
            <w:tcW w:w="1701" w:type="dxa"/>
            <w:vAlign w:val="center"/>
          </w:tcPr>
          <w:p w14:paraId="10C02DCC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IBD</w:t>
            </w:r>
          </w:p>
          <w:p w14:paraId="37A9ADCC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(n=46)</w:t>
            </w:r>
          </w:p>
        </w:tc>
        <w:tc>
          <w:tcPr>
            <w:tcW w:w="1701" w:type="dxa"/>
            <w:vAlign w:val="center"/>
          </w:tcPr>
          <w:p w14:paraId="037D37EA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IBD on immunosuppression</w:t>
            </w:r>
          </w:p>
          <w:p w14:paraId="75D6C673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(n=32)</w:t>
            </w:r>
          </w:p>
        </w:tc>
        <w:tc>
          <w:tcPr>
            <w:tcW w:w="1701" w:type="dxa"/>
            <w:vAlign w:val="center"/>
          </w:tcPr>
          <w:p w14:paraId="4B881DB1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IBD without immunosuppression</w:t>
            </w:r>
          </w:p>
          <w:p w14:paraId="3FE7E924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(n=14)</w:t>
            </w:r>
          </w:p>
        </w:tc>
        <w:tc>
          <w:tcPr>
            <w:tcW w:w="1701" w:type="dxa"/>
            <w:vAlign w:val="center"/>
          </w:tcPr>
          <w:p w14:paraId="3EE7DBC0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p</w:t>
            </w:r>
          </w:p>
        </w:tc>
      </w:tr>
      <w:tr w:rsidR="00534F9D" w:rsidRPr="00056365" w14:paraId="669AF524" w14:textId="77777777" w:rsidTr="008C4E48">
        <w:trPr>
          <w:trHeight w:val="879"/>
        </w:trPr>
        <w:tc>
          <w:tcPr>
            <w:tcW w:w="680" w:type="dxa"/>
            <w:vMerge w:val="restart"/>
            <w:textDirection w:val="btLr"/>
            <w:vAlign w:val="center"/>
          </w:tcPr>
          <w:p w14:paraId="1C84E94E" w14:textId="77777777" w:rsidR="00534F9D" w:rsidRPr="00056365" w:rsidRDefault="00534F9D" w:rsidP="00056365">
            <w:pPr>
              <w:ind w:left="113" w:right="113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Pre-vaccination</w:t>
            </w:r>
          </w:p>
        </w:tc>
        <w:tc>
          <w:tcPr>
            <w:tcW w:w="1867" w:type="dxa"/>
            <w:vAlign w:val="center"/>
          </w:tcPr>
          <w:p w14:paraId="31F72117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 xml:space="preserve">≥0.1 IU/ml </w:t>
            </w:r>
            <w:r w:rsidRPr="00056365">
              <w:rPr>
                <w:noProof/>
                <w:sz w:val="24"/>
                <w:szCs w:val="24"/>
                <w:lang w:val="en-US"/>
              </w:rPr>
              <w:t>(%)</w:t>
            </w:r>
          </w:p>
        </w:tc>
        <w:tc>
          <w:tcPr>
            <w:tcW w:w="1701" w:type="dxa"/>
            <w:vAlign w:val="center"/>
          </w:tcPr>
          <w:p w14:paraId="70BD3B55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32 (69.6%)</w:t>
            </w:r>
          </w:p>
        </w:tc>
        <w:tc>
          <w:tcPr>
            <w:tcW w:w="1701" w:type="dxa"/>
            <w:vAlign w:val="center"/>
          </w:tcPr>
          <w:p w14:paraId="269A0CC3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21 (65.6%)</w:t>
            </w:r>
          </w:p>
        </w:tc>
        <w:tc>
          <w:tcPr>
            <w:tcW w:w="1701" w:type="dxa"/>
            <w:vAlign w:val="center"/>
          </w:tcPr>
          <w:p w14:paraId="7EE8696E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56365">
              <w:rPr>
                <w:sz w:val="24"/>
                <w:szCs w:val="24"/>
                <w:lang w:val="en-US"/>
              </w:rPr>
              <w:t>11 (78.6%)</w:t>
            </w:r>
          </w:p>
        </w:tc>
        <w:tc>
          <w:tcPr>
            <w:tcW w:w="1701" w:type="dxa"/>
            <w:vAlign w:val="center"/>
          </w:tcPr>
          <w:p w14:paraId="3521A3F0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</w:rPr>
            </w:pPr>
            <w:r w:rsidRPr="00056365">
              <w:rPr>
                <w:sz w:val="24"/>
                <w:szCs w:val="24"/>
              </w:rPr>
              <w:t>0.38</w:t>
            </w:r>
          </w:p>
        </w:tc>
      </w:tr>
      <w:tr w:rsidR="00534F9D" w:rsidRPr="00056365" w14:paraId="48DA578E" w14:textId="77777777" w:rsidTr="008C4E48">
        <w:trPr>
          <w:trHeight w:val="879"/>
        </w:trPr>
        <w:tc>
          <w:tcPr>
            <w:tcW w:w="680" w:type="dxa"/>
            <w:vMerge/>
          </w:tcPr>
          <w:p w14:paraId="61BB66CE" w14:textId="77777777" w:rsidR="00534F9D" w:rsidRPr="00056365" w:rsidRDefault="00534F9D" w:rsidP="00056365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14:paraId="6D63C8EC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≥1.0 IU/ml</w:t>
            </w:r>
          </w:p>
          <w:p w14:paraId="281FE8A4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long-term protection (%)</w:t>
            </w:r>
          </w:p>
        </w:tc>
        <w:tc>
          <w:tcPr>
            <w:tcW w:w="1701" w:type="dxa"/>
            <w:vAlign w:val="center"/>
          </w:tcPr>
          <w:p w14:paraId="6B2CAC6C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4 (8.7%)</w:t>
            </w:r>
          </w:p>
        </w:tc>
        <w:tc>
          <w:tcPr>
            <w:tcW w:w="1701" w:type="dxa"/>
            <w:vAlign w:val="center"/>
          </w:tcPr>
          <w:p w14:paraId="2BDFAB10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3 (9.4%)</w:t>
            </w:r>
          </w:p>
        </w:tc>
        <w:tc>
          <w:tcPr>
            <w:tcW w:w="1701" w:type="dxa"/>
            <w:vAlign w:val="center"/>
          </w:tcPr>
          <w:p w14:paraId="3EB25A28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1 (7.1%)</w:t>
            </w:r>
          </w:p>
        </w:tc>
        <w:tc>
          <w:tcPr>
            <w:tcW w:w="1701" w:type="dxa"/>
            <w:vAlign w:val="center"/>
          </w:tcPr>
          <w:p w14:paraId="5B398619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</w:rPr>
            </w:pPr>
            <w:r w:rsidRPr="00056365">
              <w:rPr>
                <w:sz w:val="24"/>
                <w:szCs w:val="24"/>
              </w:rPr>
              <w:t>0.75</w:t>
            </w:r>
          </w:p>
        </w:tc>
      </w:tr>
      <w:tr w:rsidR="00534F9D" w:rsidRPr="00056365" w14:paraId="0FF39F11" w14:textId="77777777" w:rsidTr="008C4E48">
        <w:trPr>
          <w:trHeight w:val="879"/>
        </w:trPr>
        <w:tc>
          <w:tcPr>
            <w:tcW w:w="680" w:type="dxa"/>
            <w:vMerge/>
          </w:tcPr>
          <w:p w14:paraId="7B5DC0B1" w14:textId="77777777" w:rsidR="00534F9D" w:rsidRPr="00056365" w:rsidRDefault="00534F9D" w:rsidP="00056365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14:paraId="56B64BE6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GMC IU/ml</w:t>
            </w:r>
          </w:p>
        </w:tc>
        <w:tc>
          <w:tcPr>
            <w:tcW w:w="1701" w:type="dxa"/>
            <w:vAlign w:val="center"/>
          </w:tcPr>
          <w:p w14:paraId="2A8A8B4D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0.20</w:t>
            </w:r>
          </w:p>
        </w:tc>
        <w:tc>
          <w:tcPr>
            <w:tcW w:w="1701" w:type="dxa"/>
            <w:vAlign w:val="center"/>
          </w:tcPr>
          <w:p w14:paraId="200ECD29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0.19</w:t>
            </w:r>
          </w:p>
        </w:tc>
        <w:tc>
          <w:tcPr>
            <w:tcW w:w="1701" w:type="dxa"/>
            <w:vAlign w:val="center"/>
          </w:tcPr>
          <w:p w14:paraId="72E15C9B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0.22</w:t>
            </w:r>
          </w:p>
        </w:tc>
        <w:tc>
          <w:tcPr>
            <w:tcW w:w="1701" w:type="dxa"/>
            <w:vAlign w:val="center"/>
          </w:tcPr>
          <w:p w14:paraId="4AAAA7C9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</w:rPr>
            </w:pPr>
            <w:r w:rsidRPr="00056365">
              <w:rPr>
                <w:sz w:val="24"/>
                <w:szCs w:val="24"/>
              </w:rPr>
              <w:t>0.56</w:t>
            </w:r>
          </w:p>
        </w:tc>
      </w:tr>
      <w:tr w:rsidR="00534F9D" w:rsidRPr="00056365" w14:paraId="0CC8FEBA" w14:textId="77777777" w:rsidTr="008C4E48">
        <w:trPr>
          <w:trHeight w:val="879"/>
        </w:trPr>
        <w:tc>
          <w:tcPr>
            <w:tcW w:w="680" w:type="dxa"/>
            <w:vMerge w:val="restart"/>
            <w:textDirection w:val="btLr"/>
            <w:vAlign w:val="center"/>
          </w:tcPr>
          <w:p w14:paraId="102A08E0" w14:textId="77777777" w:rsidR="00534F9D" w:rsidRPr="00056365" w:rsidRDefault="00534F9D" w:rsidP="00056365">
            <w:pPr>
              <w:ind w:left="113" w:right="113"/>
              <w:contextualSpacing/>
              <w:jc w:val="center"/>
              <w:rPr>
                <w:noProof/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Post-vaccination</w:t>
            </w:r>
          </w:p>
        </w:tc>
        <w:tc>
          <w:tcPr>
            <w:tcW w:w="1867" w:type="dxa"/>
            <w:vAlign w:val="center"/>
          </w:tcPr>
          <w:p w14:paraId="37A3279B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≥0.1 IU/ml</w:t>
            </w:r>
          </w:p>
          <w:p w14:paraId="093341EC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noProof/>
                <w:sz w:val="24"/>
                <w:szCs w:val="24"/>
                <w:lang w:val="en-US"/>
              </w:rPr>
              <w:t>(%)</w:t>
            </w:r>
          </w:p>
        </w:tc>
        <w:tc>
          <w:tcPr>
            <w:tcW w:w="1701" w:type="dxa"/>
            <w:vAlign w:val="center"/>
          </w:tcPr>
          <w:p w14:paraId="0E74C1B2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43 (93.5%)</w:t>
            </w:r>
          </w:p>
        </w:tc>
        <w:tc>
          <w:tcPr>
            <w:tcW w:w="1701" w:type="dxa"/>
            <w:vAlign w:val="center"/>
          </w:tcPr>
          <w:p w14:paraId="30377DAA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30 (93.8%)</w:t>
            </w:r>
          </w:p>
        </w:tc>
        <w:tc>
          <w:tcPr>
            <w:tcW w:w="1701" w:type="dxa"/>
            <w:vAlign w:val="center"/>
          </w:tcPr>
          <w:p w14:paraId="5BDCBED8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13 (92.9%)</w:t>
            </w:r>
          </w:p>
        </w:tc>
        <w:tc>
          <w:tcPr>
            <w:tcW w:w="1701" w:type="dxa"/>
            <w:vAlign w:val="center"/>
          </w:tcPr>
          <w:p w14:paraId="3E924760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</w:rPr>
            </w:pPr>
            <w:r w:rsidRPr="00056365">
              <w:rPr>
                <w:sz w:val="24"/>
                <w:szCs w:val="24"/>
              </w:rPr>
              <w:t>0.59</w:t>
            </w:r>
          </w:p>
        </w:tc>
      </w:tr>
      <w:tr w:rsidR="00534F9D" w:rsidRPr="00056365" w14:paraId="030E4EC7" w14:textId="77777777" w:rsidTr="008C4E48">
        <w:trPr>
          <w:trHeight w:val="879"/>
        </w:trPr>
        <w:tc>
          <w:tcPr>
            <w:tcW w:w="680" w:type="dxa"/>
            <w:vMerge/>
          </w:tcPr>
          <w:p w14:paraId="15E0D8AD" w14:textId="77777777" w:rsidR="00534F9D" w:rsidRPr="00056365" w:rsidRDefault="00534F9D" w:rsidP="00056365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14:paraId="6DE513AD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≥1.0 IU/ml</w:t>
            </w:r>
          </w:p>
          <w:p w14:paraId="0830C1D9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long-term protection (%)</w:t>
            </w:r>
          </w:p>
        </w:tc>
        <w:tc>
          <w:tcPr>
            <w:tcW w:w="1701" w:type="dxa"/>
            <w:vAlign w:val="center"/>
          </w:tcPr>
          <w:p w14:paraId="518947D2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26 (56.5%)</w:t>
            </w:r>
          </w:p>
        </w:tc>
        <w:tc>
          <w:tcPr>
            <w:tcW w:w="1701" w:type="dxa"/>
            <w:vAlign w:val="center"/>
          </w:tcPr>
          <w:p w14:paraId="1A9520A7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18 (56.3%)</w:t>
            </w:r>
          </w:p>
        </w:tc>
        <w:tc>
          <w:tcPr>
            <w:tcW w:w="1701" w:type="dxa"/>
            <w:vAlign w:val="center"/>
          </w:tcPr>
          <w:p w14:paraId="66126694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8 (57.1%)</w:t>
            </w:r>
          </w:p>
        </w:tc>
        <w:tc>
          <w:tcPr>
            <w:tcW w:w="1701" w:type="dxa"/>
            <w:vAlign w:val="center"/>
          </w:tcPr>
          <w:p w14:paraId="6AF639A5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</w:rPr>
            </w:pPr>
            <w:r w:rsidRPr="00056365">
              <w:rPr>
                <w:sz w:val="24"/>
                <w:szCs w:val="24"/>
              </w:rPr>
              <w:t>0.79</w:t>
            </w:r>
          </w:p>
        </w:tc>
      </w:tr>
      <w:tr w:rsidR="00534F9D" w:rsidRPr="00056365" w14:paraId="516EEE19" w14:textId="77777777" w:rsidTr="008C4E48">
        <w:trPr>
          <w:trHeight w:val="879"/>
        </w:trPr>
        <w:tc>
          <w:tcPr>
            <w:tcW w:w="680" w:type="dxa"/>
            <w:vMerge/>
          </w:tcPr>
          <w:p w14:paraId="56F0E80E" w14:textId="77777777" w:rsidR="00534F9D" w:rsidRPr="00056365" w:rsidRDefault="00534F9D" w:rsidP="00056365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14:paraId="73035107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GMC IU/ml</w:t>
            </w:r>
          </w:p>
        </w:tc>
        <w:tc>
          <w:tcPr>
            <w:tcW w:w="1701" w:type="dxa"/>
            <w:vAlign w:val="center"/>
          </w:tcPr>
          <w:p w14:paraId="6148789F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0.90</w:t>
            </w:r>
          </w:p>
        </w:tc>
        <w:tc>
          <w:tcPr>
            <w:tcW w:w="1701" w:type="dxa"/>
            <w:vAlign w:val="center"/>
          </w:tcPr>
          <w:p w14:paraId="34484800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0.89</w:t>
            </w:r>
          </w:p>
        </w:tc>
        <w:tc>
          <w:tcPr>
            <w:tcW w:w="1701" w:type="dxa"/>
            <w:vAlign w:val="center"/>
          </w:tcPr>
          <w:p w14:paraId="53FEF27A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0.91</w:t>
            </w:r>
          </w:p>
        </w:tc>
        <w:tc>
          <w:tcPr>
            <w:tcW w:w="1701" w:type="dxa"/>
            <w:vAlign w:val="center"/>
          </w:tcPr>
          <w:p w14:paraId="76A92149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</w:rPr>
            </w:pPr>
            <w:r w:rsidRPr="00056365">
              <w:rPr>
                <w:sz w:val="24"/>
                <w:szCs w:val="24"/>
              </w:rPr>
              <w:t>1.00</w:t>
            </w:r>
          </w:p>
        </w:tc>
      </w:tr>
      <w:tr w:rsidR="00534F9D" w:rsidRPr="00056365" w14:paraId="38342533" w14:textId="77777777" w:rsidTr="008C4E48">
        <w:trPr>
          <w:trHeight w:val="879"/>
        </w:trPr>
        <w:tc>
          <w:tcPr>
            <w:tcW w:w="680" w:type="dxa"/>
            <w:vMerge/>
          </w:tcPr>
          <w:p w14:paraId="27B1033C" w14:textId="77777777" w:rsidR="00534F9D" w:rsidRPr="00056365" w:rsidRDefault="00534F9D" w:rsidP="00056365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vAlign w:val="center"/>
          </w:tcPr>
          <w:p w14:paraId="4CD5D995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Booster response</w:t>
            </w:r>
          </w:p>
        </w:tc>
        <w:tc>
          <w:tcPr>
            <w:tcW w:w="1701" w:type="dxa"/>
            <w:vAlign w:val="center"/>
          </w:tcPr>
          <w:p w14:paraId="4308F93A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56.5%</w:t>
            </w:r>
          </w:p>
        </w:tc>
        <w:tc>
          <w:tcPr>
            <w:tcW w:w="1701" w:type="dxa"/>
            <w:vAlign w:val="center"/>
          </w:tcPr>
          <w:p w14:paraId="4A4E0694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56.3%</w:t>
            </w:r>
          </w:p>
        </w:tc>
        <w:tc>
          <w:tcPr>
            <w:tcW w:w="1701" w:type="dxa"/>
            <w:vAlign w:val="center"/>
          </w:tcPr>
          <w:p w14:paraId="2E5F33CF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056365">
              <w:rPr>
                <w:sz w:val="24"/>
                <w:szCs w:val="24"/>
                <w:lang w:val="en-US"/>
              </w:rPr>
              <w:t>57.1%</w:t>
            </w:r>
          </w:p>
        </w:tc>
        <w:tc>
          <w:tcPr>
            <w:tcW w:w="1701" w:type="dxa"/>
            <w:vAlign w:val="center"/>
          </w:tcPr>
          <w:p w14:paraId="15535016" w14:textId="77777777" w:rsidR="00534F9D" w:rsidRPr="00056365" w:rsidRDefault="00534F9D" w:rsidP="00056365">
            <w:pPr>
              <w:contextualSpacing/>
              <w:jc w:val="center"/>
              <w:rPr>
                <w:sz w:val="24"/>
                <w:szCs w:val="24"/>
              </w:rPr>
            </w:pPr>
            <w:r w:rsidRPr="00056365">
              <w:rPr>
                <w:sz w:val="24"/>
                <w:szCs w:val="24"/>
              </w:rPr>
              <w:t>0.79</w:t>
            </w:r>
          </w:p>
        </w:tc>
      </w:tr>
    </w:tbl>
    <w:p w14:paraId="4383DAC3" w14:textId="77777777" w:rsidR="008D0105" w:rsidRDefault="008D0105"/>
    <w:p w14:paraId="346C3E63" w14:textId="77777777" w:rsidR="00534F9D" w:rsidRDefault="00534F9D"/>
    <w:sectPr w:rsidR="0053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wNLE0NDAxNLc0NjdT0lEKTi0uzszPAykwqgUAoTCemSwAAAA="/>
  </w:docVars>
  <w:rsids>
    <w:rsidRoot w:val="00534F9D"/>
    <w:rsid w:val="00056365"/>
    <w:rsid w:val="00534F9D"/>
    <w:rsid w:val="008C4E48"/>
    <w:rsid w:val="008D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30AC"/>
  <w15:chartTrackingRefBased/>
  <w15:docId w15:val="{1EAA444D-71EA-48F3-BA15-4B835E5F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4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Dembiński</dc:creator>
  <cp:keywords/>
  <dc:description/>
  <cp:lastModifiedBy>Łukasz Dembiński</cp:lastModifiedBy>
  <cp:revision>3</cp:revision>
  <dcterms:created xsi:type="dcterms:W3CDTF">2019-10-17T19:41:00Z</dcterms:created>
  <dcterms:modified xsi:type="dcterms:W3CDTF">2019-10-17T19:50:00Z</dcterms:modified>
</cp:coreProperties>
</file>