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833"/>
        <w:gridCol w:w="1775"/>
        <w:gridCol w:w="5325"/>
        <w:gridCol w:w="6241"/>
      </w:tblGrid>
      <w:tr w:rsidR="002F22D7" w:rsidTr="002D5CFE">
        <w:trPr>
          <w:tblHeader/>
        </w:trPr>
        <w:tc>
          <w:tcPr>
            <w:tcW w:w="833" w:type="dxa"/>
            <w:vAlign w:val="bottom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jc w:val="both"/>
              <w:rPr>
                <w:rFonts w:eastAsia="AGaramond"/>
                <w:b/>
                <w:sz w:val="18"/>
                <w:szCs w:val="18"/>
              </w:rPr>
            </w:pPr>
            <w:bookmarkStart w:id="0" w:name="_GoBack" w:colFirst="1" w:colLast="1"/>
            <w:r>
              <w:rPr>
                <w:rFonts w:eastAsia="AGaramond"/>
                <w:b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D415B" wp14:editId="13E1021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-474345</wp:posOffset>
                      </wp:positionV>
                      <wp:extent cx="6365240" cy="327025"/>
                      <wp:effectExtent l="0" t="0" r="0" b="0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5240" cy="327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F22D7" w:rsidRDefault="00C114FF" w:rsidP="00C114FF">
                                  <w:r>
                                    <w:rPr>
                                      <w:rFonts w:eastAsia="AGaramond" w:cs="Times New Roman"/>
                                      <w:b/>
                                      <w:sz w:val="24"/>
                                    </w:rPr>
                                    <w:t xml:space="preserve">Supplemental Digital Content 2. </w:t>
                                  </w:r>
                                  <w:r w:rsidR="002F22D7" w:rsidRPr="00BB6C42">
                                    <w:rPr>
                                      <w:rFonts w:eastAsia="AGaramond" w:cs="Times New Roman"/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="002F22D7" w:rsidRPr="0092428E">
                                    <w:rPr>
                                      <w:rFonts w:eastAsia="AGaramond" w:cs="Times New Roman"/>
                                      <w:sz w:val="24"/>
                                    </w:rPr>
                                    <w:t>Full text studies excluded (n=55), with reasons</w:t>
                                  </w:r>
                                </w:p>
                                <w:p w:rsidR="002F22D7" w:rsidRPr="00632BCB" w:rsidRDefault="002F22D7" w:rsidP="002F22D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9D41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6" o:spid="_x0000_s1026" type="#_x0000_t202" style="position:absolute;left:0;text-align:left;margin-left:1.7pt;margin-top:-37.35pt;width:501.2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" filled="f" stroked="f" strokeweight=".5pt">
                      <v:textbox>
                        <w:txbxContent>
                          <w:p w:rsidR="002F22D7" w:rsidRDefault="00C114FF" w:rsidP="00C114FF">
                            <w:r>
                              <w:rPr>
                                <w:rFonts w:eastAsia="AGaramond" w:cs="Times New Roman"/>
                                <w:b/>
                                <w:sz w:val="24"/>
                              </w:rPr>
                              <w:t xml:space="preserve">Supplemental Digital Content 2. </w:t>
                            </w:r>
                            <w:r w:rsidR="002F22D7" w:rsidRPr="00BB6C42">
                              <w:rPr>
                                <w:rFonts w:eastAsia="AGaramond" w:cs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2F22D7" w:rsidRPr="0092428E">
                              <w:rPr>
                                <w:rFonts w:eastAsia="AGaramond" w:cs="Times New Roman"/>
                                <w:sz w:val="24"/>
                              </w:rPr>
                              <w:t>Full text studies excluded (n=55), with reasons</w:t>
                            </w:r>
                          </w:p>
                          <w:p w:rsidR="002F22D7" w:rsidRPr="00632BCB" w:rsidRDefault="002F22D7" w:rsidP="002F22D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AGaramond"/>
                <w:b/>
                <w:sz w:val="18"/>
                <w:szCs w:val="18"/>
              </w:rPr>
              <w:t>No.</w:t>
            </w:r>
          </w:p>
        </w:tc>
        <w:tc>
          <w:tcPr>
            <w:tcW w:w="1775" w:type="dxa"/>
            <w:vAlign w:val="bottom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jc w:val="both"/>
              <w:rPr>
                <w:rFonts w:eastAsia="AGaramond"/>
                <w:b/>
                <w:sz w:val="18"/>
                <w:szCs w:val="18"/>
              </w:rPr>
            </w:pPr>
            <w:r>
              <w:rPr>
                <w:rFonts w:eastAsia="AGaramond"/>
                <w:b/>
                <w:sz w:val="18"/>
                <w:szCs w:val="18"/>
              </w:rPr>
              <w:t>Author year</w:t>
            </w:r>
          </w:p>
        </w:tc>
        <w:tc>
          <w:tcPr>
            <w:tcW w:w="5325" w:type="dxa"/>
            <w:vAlign w:val="bottom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jc w:val="both"/>
              <w:rPr>
                <w:rFonts w:eastAsia="AGaramond"/>
                <w:b/>
                <w:sz w:val="18"/>
                <w:szCs w:val="18"/>
              </w:rPr>
            </w:pPr>
            <w:r>
              <w:rPr>
                <w:rFonts w:eastAsia="AGaramond"/>
                <w:b/>
                <w:sz w:val="18"/>
                <w:szCs w:val="18"/>
              </w:rPr>
              <w:t>Title</w:t>
            </w:r>
          </w:p>
        </w:tc>
        <w:tc>
          <w:tcPr>
            <w:tcW w:w="6241" w:type="dxa"/>
            <w:vAlign w:val="bottom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jc w:val="both"/>
              <w:rPr>
                <w:rFonts w:eastAsia="AGaramond"/>
                <w:b/>
                <w:sz w:val="18"/>
                <w:szCs w:val="18"/>
              </w:rPr>
            </w:pPr>
            <w:r>
              <w:rPr>
                <w:rFonts w:eastAsia="AGaramond"/>
                <w:b/>
                <w:sz w:val="18"/>
                <w:szCs w:val="18"/>
              </w:rPr>
              <w:t>Reason for exclusion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Sutkin 2005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Antibiotic prophylaxis and non-group B streptococcal neonatal sepsis. 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Lin 2011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The changing face of early-onset neonatal sepsis after the implementation of a maternal group B streptococcus screening and intrapartum prophylaxis policy</w:t>
            </w:r>
            <w:r w:rsidR="00CE6D64">
              <w:rPr>
                <w:rFonts w:cs="Times New Roman"/>
                <w:sz w:val="18"/>
                <w:szCs w:val="18"/>
              </w:rPr>
              <w:t xml:space="preserve"> </w:t>
            </w:r>
            <w:r w:rsidR="00CE6D64">
              <w:rPr>
                <w:rFonts w:cs="Times New Roman" w:hint="eastAsia"/>
                <w:sz w:val="18"/>
                <w:szCs w:val="18"/>
              </w:rPr>
              <w:t>-</w:t>
            </w:r>
            <w:r w:rsidR="00CE6D64">
              <w:rPr>
                <w:rFonts w:cs="Times New Roman"/>
                <w:sz w:val="18"/>
                <w:szCs w:val="18"/>
              </w:rPr>
              <w:t xml:space="preserve">- </w:t>
            </w:r>
            <w:r>
              <w:rPr>
                <w:rFonts w:cs="Times New Roman"/>
                <w:sz w:val="18"/>
                <w:szCs w:val="18"/>
              </w:rPr>
              <w:t xml:space="preserve">a study in one medical center.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Not containing two prophylaxis strategies (risk-based and screening-based strategies) 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Chen 2017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Changing of bloodstream infections in a medical center neonatal intensive care unit.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 xml:space="preserve">Not containing two prophylaxis strategies (risk-based and screening-based strategies) 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Williams 2013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The changing profile of infant mortality from bacterial, viral and fungal infection over two decades. </w:t>
            </w:r>
          </w:p>
        </w:tc>
        <w:tc>
          <w:tcPr>
            <w:tcW w:w="6241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color w:val="0D0D0D" w:themeColor="text1" w:themeTint="F2"/>
                <w:sz w:val="18"/>
                <w:szCs w:val="18"/>
              </w:rPr>
              <w:t xml:space="preserve">Not containing two prophylaxis strategies (risk-based and screening-based strategies) 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rFonts w:eastAsia="RealpageBBO3"/>
                <w:bCs/>
                <w:sz w:val="18"/>
                <w:szCs w:val="18"/>
              </w:rPr>
              <w:t>Gilbert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2003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Compliance with protocols for prevention of neonatal group B streptococcal sepsis: Practicalities and limitations.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Hassan 2016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Correlation of blood culture results with the sepsis score and sepsis screen in the diagnosis of early-onset neonatal septicemia</w:t>
            </w:r>
            <w:r w:rsidR="00CE6D64">
              <w:rPr>
                <w:rFonts w:cs="Times New Roman"/>
                <w:sz w:val="18"/>
                <w:szCs w:val="18"/>
              </w:rPr>
              <w:t xml:space="preserve">.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#9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Hehir 2012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Early and late preterm delivery rates – a comparison of d</w:t>
            </w:r>
            <w:r w:rsidR="00CE6D64">
              <w:rPr>
                <w:sz w:val="18"/>
                <w:szCs w:val="18"/>
              </w:rPr>
              <w:t>iff</w:t>
            </w:r>
            <w:r>
              <w:rPr>
                <w:sz w:val="18"/>
                <w:szCs w:val="18"/>
              </w:rPr>
              <w:t xml:space="preserve">ering. Tocolytic policies in a single urban population. </w:t>
            </w:r>
          </w:p>
        </w:tc>
        <w:tc>
          <w:tcPr>
            <w:tcW w:w="6241" w:type="dxa"/>
          </w:tcPr>
          <w:p w:rsidR="002F22D7" w:rsidRPr="00BB6C42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 w:rsidRPr="00BB6C42">
              <w:rPr>
                <w:rFonts w:hint="eastAsia"/>
                <w:color w:val="0D0D0D" w:themeColor="text1" w:themeTint="F2"/>
                <w:sz w:val="18"/>
                <w:szCs w:val="18"/>
              </w:rPr>
              <w:t>No</w:t>
            </w:r>
            <w:r w:rsidRPr="00BB6C42">
              <w:rPr>
                <w:color w:val="0D0D0D" w:themeColor="text1" w:themeTint="F2"/>
                <w:sz w:val="18"/>
                <w:szCs w:val="18"/>
              </w:rPr>
              <w:t>t about neonatal sepsis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Stoll 2011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Early onset neonatal sepsis: The burden of group B streptococcal and e. Coli disease continues.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Puopolo 2005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Early-onset group B streptococcal disease in the era of maternal screening. </w:t>
            </w:r>
          </w:p>
        </w:tc>
        <w:tc>
          <w:tcPr>
            <w:tcW w:w="6241" w:type="dxa"/>
          </w:tcPr>
          <w:p w:rsidR="002F22D7" w:rsidRPr="00BB6C42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Another study based on the same population with larger sample size was included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#13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Renner 2006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Efficacy of a strategy to prevent neonatal early-onset group B streptococcal (</w:t>
            </w:r>
            <w:r w:rsidR="00CE6D64">
              <w:rPr>
                <w:rFonts w:cs="Times New Roman"/>
                <w:sz w:val="18"/>
                <w:szCs w:val="18"/>
              </w:rPr>
              <w:t>GBS</w:t>
            </w:r>
            <w:r>
              <w:rPr>
                <w:rFonts w:cs="Times New Roman"/>
                <w:sz w:val="18"/>
                <w:szCs w:val="18"/>
              </w:rPr>
              <w:t xml:space="preserve">) sepsis.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#14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Cordero 2004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Enteric gram-negative bacilli bloodstream infections: 17 years’ experience in a neonatal intensive care unit.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#15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Konrad 2007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Epidemiology of early-onset neonatal group B streptococcal infection implications for screening.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#16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Schrag 2016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Epidemiology of invasive early-onset neonatal sepsis, 2005 to 2014.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Riskin 2017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Evaluation and management of newborns with suspected early-onset sepsis: Comparison of two approaches and suggestion for guidelines.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Van Dyke 2009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Evaluation of universal antenatal screening for group B streptococcus.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#19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Bauserman 2013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group B streptococcus and </w:t>
            </w:r>
            <w:r w:rsidR="00CE6D6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scherichia coli infections in the intensive care nursery in the era of intrapartum antibiotic prophylaxis.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Cs/>
                <w:sz w:val="18"/>
                <w:szCs w:val="18"/>
              </w:rPr>
            </w:pPr>
            <w:r>
              <w:rPr>
                <w:rFonts w:eastAsia="AGaramond"/>
                <w:bCs/>
                <w:sz w:val="18"/>
                <w:szCs w:val="18"/>
              </w:rPr>
              <w:t>Incomplete data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#20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Platt 2003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group B streptococcus: Prevention of early-onset neonatal sepsis.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#22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Berardi 2013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Impact of perinatal practices for early-onset group B streptococcal disease prevention.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#25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Sinha 2003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Intrapartum antibiotics and neonatal invasive infections caused by organisms other than group B streptococcus.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#26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Daniels 2005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Intrapartum tests for group B streptococcus: Accuracy and acceptability of screening.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#27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David Cromwell 2008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The local adaptation of national recommendations for preventing early-onset neonatal group B streptococcal disease in </w:t>
            </w:r>
            <w:r w:rsidR="00CE6D64">
              <w:rPr>
                <w:rFonts w:cs="Times New Roman"/>
                <w:sz w:val="18"/>
                <w:szCs w:val="18"/>
              </w:rPr>
              <w:t>UK</w:t>
            </w:r>
            <w:r>
              <w:rPr>
                <w:rFonts w:cs="Times New Roman"/>
                <w:sz w:val="18"/>
                <w:szCs w:val="18"/>
              </w:rPr>
              <w:t xml:space="preserve"> maternity units.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D0D0D" w:themeColor="text1" w:themeTint="F2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#28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Hoogen 2010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Long-term trends in the epidemiology of neonatal sepsis and antibiotic susceptibility of causative agents.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jc w:val="both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Varga 2005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Morbidity and mortality trends in very–very low birth weight premature infants in light of recent changes in obstetric care.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Alarcon 2004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Neonatal early onset </w:t>
            </w:r>
            <w:r w:rsidR="00CE6D64">
              <w:rPr>
                <w:rFonts w:cs="Times New Roman"/>
                <w:sz w:val="18"/>
                <w:szCs w:val="18"/>
              </w:rPr>
              <w:t>E</w:t>
            </w:r>
            <w:r>
              <w:rPr>
                <w:rFonts w:cs="Times New Roman"/>
                <w:sz w:val="18"/>
                <w:szCs w:val="18"/>
              </w:rPr>
              <w:t xml:space="preserve">scherichia coli sepsis: Trends in incidence and antimicrobial resistance in the era of intrapartum antimicrobial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prophylaxis.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#34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Rao 2017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Outcome of a screening programme for the prevention of neonatal invasive early-onset group B streptococcus infection in a </w:t>
            </w:r>
            <w:r w:rsidR="00CE6D64">
              <w:rPr>
                <w:rFonts w:cs="Times New Roman"/>
                <w:sz w:val="18"/>
                <w:szCs w:val="18"/>
              </w:rPr>
              <w:t>UK</w:t>
            </w:r>
            <w:r>
              <w:rPr>
                <w:rFonts w:cs="Times New Roman"/>
                <w:sz w:val="18"/>
                <w:szCs w:val="18"/>
              </w:rPr>
              <w:t xml:space="preserve"> maternity unit: An observational study.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#35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Cantoni 2013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Physical examination instead of laboratory tests for most infants born to mothers colonized with group B streptococcus: Support for the centers for disease control and prevention's 2010 recommendations. </w:t>
            </w:r>
          </w:p>
        </w:tc>
        <w:tc>
          <w:tcPr>
            <w:tcW w:w="6241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 xml:space="preserve">Not containing two prophylaxis strategies (risk-based and screening-based strategies) 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Matsubara 2007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Procedures for prevention of perinatal group B streptococcal diseases: A multicenter questionnaire survey of hospitals in the </w:t>
            </w:r>
            <w:r w:rsidR="00CE6D64">
              <w:rPr>
                <w:rFonts w:cs="Times New Roman"/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 xml:space="preserve">yoto neonatal disease study group, japan.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Kuzniewicz 2017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A quantitative, risk-based approach to the management of neonatal early-onset sepsis.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including pregnant woman with IAP under prophylaxis strategies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Riley 2003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“Real world” compliance with strategies to prevent early-onset group B streptococcal disease.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#39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Skoog 2016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Repeated nationwide point-prevalence surveys of antimicrobial use in </w:t>
            </w:r>
            <w:r w:rsidR="00CE6D64">
              <w:rPr>
                <w:rFonts w:cs="Times New Roman"/>
                <w:sz w:val="18"/>
                <w:szCs w:val="18"/>
              </w:rPr>
              <w:t>S</w:t>
            </w:r>
            <w:r>
              <w:rPr>
                <w:rFonts w:cs="Times New Roman"/>
                <w:sz w:val="18"/>
                <w:szCs w:val="18"/>
              </w:rPr>
              <w:t xml:space="preserve">wedish hospitals: Data for actions 2003–2010.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Bjorklund 2017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Replacing risk-based early-onset-disease prevention with intrapartum group B streptococcus </w:t>
            </w:r>
            <w:r w:rsidR="00CE6D64">
              <w:rPr>
                <w:rFonts w:cs="Times New Roman"/>
                <w:sz w:val="18"/>
                <w:szCs w:val="18"/>
              </w:rPr>
              <w:t>PCR</w:t>
            </w:r>
            <w:r>
              <w:rPr>
                <w:rFonts w:cs="Times New Roman"/>
                <w:sz w:val="18"/>
                <w:szCs w:val="18"/>
              </w:rPr>
              <w:t xml:space="preserve"> testing.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Cs/>
                <w:sz w:val="18"/>
                <w:szCs w:val="18"/>
              </w:rPr>
            </w:pPr>
            <w:r>
              <w:rPr>
                <w:rFonts w:eastAsia="AGaramond"/>
                <w:bCs/>
                <w:sz w:val="18"/>
                <w:szCs w:val="18"/>
              </w:rPr>
              <w:t>Incomplete data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Rentz 2004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Risk factors associated with ampicillin-resistant infection in newborns in the era of group B streptococcal prophylaxis.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#42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Daley 2004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Ten-year study on the effect of intrapartum antibiotic prophylaxis on early onset group B streptococcal and </w:t>
            </w:r>
            <w:r w:rsidR="00CE6D64">
              <w:rPr>
                <w:rFonts w:cs="Times New Roman"/>
                <w:sz w:val="18"/>
                <w:szCs w:val="18"/>
              </w:rPr>
              <w:t>E</w:t>
            </w:r>
            <w:r>
              <w:rPr>
                <w:rFonts w:cs="Times New Roman"/>
                <w:sz w:val="18"/>
                <w:szCs w:val="18"/>
              </w:rPr>
              <w:t xml:space="preserve">scherichia coli neonatal sepsis in </w:t>
            </w:r>
            <w:r w:rsidR="00CE6D64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 xml:space="preserve">ustralasia.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  <w:p w:rsidR="002F22D7" w:rsidRDefault="002F22D7" w:rsidP="00AD35EB">
            <w:pPr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#43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McLaughlin 2000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Universal antenatal group B streptococcus screening? The opinions of obstetricians and neonatologists within </w:t>
            </w:r>
            <w:r w:rsidR="00CE6D64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 xml:space="preserve">ustralia.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#45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Clifford 2011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Variation in erythromycin and clindamycin resistance patterns between </w:t>
            </w:r>
            <w:r w:rsidR="00CE6D64">
              <w:rPr>
                <w:rFonts w:cs="Times New Roman"/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 xml:space="preserve">ew </w:t>
            </w:r>
            <w:r w:rsidR="00CE6D64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 xml:space="preserve">ealand and </w:t>
            </w:r>
            <w:r w:rsidR="00CE6D64">
              <w:rPr>
                <w:rFonts w:cs="Times New Roman"/>
                <w:sz w:val="18"/>
                <w:szCs w:val="18"/>
              </w:rPr>
              <w:t>A</w:t>
            </w:r>
            <w:r>
              <w:rPr>
                <w:rFonts w:cs="Times New Roman"/>
                <w:sz w:val="18"/>
                <w:szCs w:val="18"/>
              </w:rPr>
              <w:t>ustralian group B streptococcus isolates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Cordero 1999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Bloodstream infections in a neonatal intensive‐care unit: 12 years’ experience with an antibiotic control program.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Uy 2002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Changes in early-onset group b beta hemolytic streptococcus disease with changing recommendations for prophylaxis.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Stan 2001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Choosing a strategy to prevent neonatal early-onset group B streptococcal sepsis: Economic evaluation.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#49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Coco 2005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Comparison of two prevention strategies for neonatal group B streptococcal disease.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Gosling 2002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Early-onset group B streptococcus prevention protocols in </w:t>
            </w:r>
            <w:r w:rsidR="00CE6D64">
              <w:rPr>
                <w:rFonts w:cs="Times New Roman"/>
                <w:sz w:val="18"/>
                <w:szCs w:val="18"/>
              </w:rPr>
              <w:t>N</w:t>
            </w:r>
            <w:r>
              <w:rPr>
                <w:rFonts w:cs="Times New Roman"/>
                <w:sz w:val="18"/>
                <w:szCs w:val="18"/>
              </w:rPr>
              <w:t xml:space="preserve">ew </w:t>
            </w:r>
            <w:r w:rsidR="00CE6D64">
              <w:rPr>
                <w:rFonts w:cs="Times New Roman"/>
                <w:sz w:val="18"/>
                <w:szCs w:val="18"/>
              </w:rPr>
              <w:t>Z</w:t>
            </w:r>
            <w:r>
              <w:rPr>
                <w:rFonts w:cs="Times New Roman"/>
                <w:sz w:val="18"/>
                <w:szCs w:val="18"/>
              </w:rPr>
              <w:t xml:space="preserve">ealand public hospitals.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Brozanski 2000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Effect of a screening–based prevention policy on prevalence of early-onset group B streptococcal sepsis.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#52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Jeffery 1998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Eight-year outcome of universal screening and intrapartum antibiotics for maternal group B streptococcal carriers.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#54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Katz 1999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group B streptococcus: To culture or not to culture?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Peralta-Carcelen 1996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Impact of maternal group B streptococcal screening on pediatric management in full-term newborns.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Shah 1999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Increasing incidence of gram-negative rod bacteremia in a newborn intensive care unit.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#58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Levine 1999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Intrapartum antibiotic prophylaxis increases the incidence of gram-negative neonatal sepsis.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#60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Volumenie 2001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Neonatal group B streptococcal infection results of 33 months of </w:t>
            </w:r>
            <w:r>
              <w:rPr>
                <w:rFonts w:cs="Times New Roman"/>
                <w:sz w:val="18"/>
                <w:szCs w:val="18"/>
              </w:rPr>
              <w:lastRenderedPageBreak/>
              <w:t xml:space="preserve">universal maternal screening and antibioprophylaxis.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Not containing two prophylaxis strategies (risk-based and screening-based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lastRenderedPageBreak/>
              <w:t>#61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Rosenstein 1997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Opportunities for prevention of perinatal group B streptococcal disease: A multistate surveillance analysis.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Incomplete data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#66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Wendel 2002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Prevention of neonatal group B streptococcal disease: A combined intrapartum and neonatal protocol.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Incomplete data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#67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Connellan 2000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Prevention of perinatal group B streptococcal disease: Screening practice in public hospitals in </w:t>
            </w:r>
            <w:r w:rsidR="00CE6D64">
              <w:rPr>
                <w:rFonts w:cs="Times New Roman"/>
                <w:sz w:val="18"/>
                <w:szCs w:val="18"/>
              </w:rPr>
              <w:t>V</w:t>
            </w:r>
            <w:r>
              <w:rPr>
                <w:rFonts w:cs="Times New Roman"/>
                <w:sz w:val="18"/>
                <w:szCs w:val="18"/>
              </w:rPr>
              <w:t xml:space="preserve">ictoria.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#68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Poulain 1997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Selective intrapartum anti-bioprophylaxy of group B streptococci infection of neonates: A prospective study in 2454 subsequent deliveries.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#69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Chen 2018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Early-onset group B streptococcal disease in a risk factor-based prevention setting/ a 15-year population-based study.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#70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 2017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Prevention of early onset group B streptococcal disease by universal antenatal culture-based screening in all public hospitals in </w:t>
            </w:r>
            <w:r w:rsidR="00CE6D64">
              <w:rPr>
                <w:rFonts w:cs="Times New Roman"/>
                <w:sz w:val="18"/>
                <w:szCs w:val="18"/>
              </w:rPr>
              <w:t>H</w:t>
            </w:r>
            <w:r>
              <w:rPr>
                <w:rFonts w:cs="Times New Roman"/>
                <w:sz w:val="18"/>
                <w:szCs w:val="18"/>
              </w:rPr>
              <w:t xml:space="preserve">ong </w:t>
            </w:r>
            <w:r w:rsidR="00CE6D64">
              <w:rPr>
                <w:rFonts w:cs="Times New Roman"/>
                <w:sz w:val="18"/>
                <w:szCs w:val="18"/>
              </w:rPr>
              <w:t>K</w:t>
            </w:r>
            <w:r>
              <w:rPr>
                <w:rFonts w:cs="Times New Roman"/>
                <w:sz w:val="18"/>
                <w:szCs w:val="18"/>
              </w:rPr>
              <w:t xml:space="preserve">ong.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rPr>
          <w:trHeight w:val="90"/>
        </w:trPr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#71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Khalil 2018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Risk-based approach versus culture-based screening for identification of group B streptococci among women in labor.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 outcomes of interest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#72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Hakim 2018</w:t>
            </w:r>
          </w:p>
        </w:tc>
        <w:tc>
          <w:tcPr>
            <w:tcW w:w="532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Screening </w:t>
            </w:r>
            <w:r w:rsidR="00CE6D64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rab </w:t>
            </w:r>
            <w:r w:rsidR="00CE6D64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sraeli pregnant women for group B streptococcus by the </w:t>
            </w:r>
            <w:r w:rsidR="007A0BF7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mpli</w:t>
            </w:r>
            <w:r w:rsidR="007A0BF7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ue </w:t>
            </w:r>
            <w:r w:rsidR="00CE6D64">
              <w:rPr>
                <w:sz w:val="18"/>
                <w:szCs w:val="18"/>
              </w:rPr>
              <w:t>GBS</w:t>
            </w:r>
            <w:r>
              <w:rPr>
                <w:sz w:val="18"/>
                <w:szCs w:val="18"/>
              </w:rPr>
              <w:t xml:space="preserve"> assay: Are the rates higher than the national average?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tr w:rsidR="002F22D7" w:rsidTr="002D5CFE">
        <w:tc>
          <w:tcPr>
            <w:tcW w:w="833" w:type="dxa"/>
          </w:tcPr>
          <w:p w:rsidR="002F22D7" w:rsidRDefault="002F22D7" w:rsidP="00AD35EB">
            <w:pPr>
              <w:widowControl/>
              <w:spacing w:line="240" w:lineRule="auto"/>
              <w:textAlignment w:val="center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eastAsia="SimSun" w:cs="Times New Roman"/>
                <w:color w:val="000000"/>
                <w:kern w:val="0"/>
                <w:sz w:val="18"/>
                <w:szCs w:val="18"/>
                <w:lang w:bidi="ar"/>
              </w:rPr>
              <w:t>#73</w:t>
            </w:r>
          </w:p>
        </w:tc>
        <w:tc>
          <w:tcPr>
            <w:tcW w:w="1775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Berardi 2018</w:t>
            </w:r>
          </w:p>
        </w:tc>
        <w:tc>
          <w:tcPr>
            <w:tcW w:w="5325" w:type="dxa"/>
          </w:tcPr>
          <w:p w:rsidR="002F22D7" w:rsidRDefault="002F22D7" w:rsidP="00AD35EB">
            <w:pPr>
              <w:spacing w:line="240" w:lineRule="auto"/>
              <w:rPr>
                <w:rFonts w:eastAsia="AGaramond" w:cs="Times New Roman"/>
                <w:b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Strategies for preventing early-onset sepsis and for managing neonates at-risk: Wide variability across six western countries. </w:t>
            </w:r>
          </w:p>
        </w:tc>
        <w:tc>
          <w:tcPr>
            <w:tcW w:w="6241" w:type="dxa"/>
          </w:tcPr>
          <w:p w:rsidR="002F22D7" w:rsidRDefault="002F22D7" w:rsidP="00AD35EB">
            <w:pPr>
              <w:pStyle w:val="NormalWeb"/>
              <w:widowControl/>
              <w:spacing w:beforeAutospacing="0" w:afterAutospacing="0" w:line="240" w:lineRule="auto"/>
              <w:rPr>
                <w:rFonts w:eastAsia="AGaramond"/>
                <w:b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Not containing two prophylaxis strategies (risk-based and screening-based strategies)</w:t>
            </w:r>
          </w:p>
        </w:tc>
      </w:tr>
      <w:bookmarkEnd w:id="0"/>
    </w:tbl>
    <w:p w:rsidR="00EC0A01" w:rsidRPr="002F22D7" w:rsidRDefault="00EC0A01" w:rsidP="00AD35EB">
      <w:pPr>
        <w:spacing w:line="240" w:lineRule="auto"/>
        <w:rPr>
          <w:rFonts w:eastAsia="AGaramond" w:cs="Times New Roman"/>
          <w:b/>
          <w:sz w:val="18"/>
          <w:szCs w:val="18"/>
        </w:rPr>
      </w:pPr>
    </w:p>
    <w:sectPr w:rsidR="00EC0A01" w:rsidRPr="002F22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简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altName w:val="Calibri"/>
    <w:charset w:val="00"/>
    <w:family w:val="auto"/>
    <w:pitch w:val="default"/>
  </w:font>
  <w:font w:name="RealpageBBO3">
    <w:altName w:val="苹方-简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BF670211"/>
    <w:rsid w:val="BFFB1B27"/>
    <w:rsid w:val="DFF7C612"/>
    <w:rsid w:val="E5DF021C"/>
    <w:rsid w:val="EF7FACC5"/>
    <w:rsid w:val="FF7FE673"/>
    <w:rsid w:val="FF971A67"/>
    <w:rsid w:val="FF9B465A"/>
    <w:rsid w:val="00172A27"/>
    <w:rsid w:val="002F22D7"/>
    <w:rsid w:val="004507E6"/>
    <w:rsid w:val="00451388"/>
    <w:rsid w:val="007A0BF7"/>
    <w:rsid w:val="0091713D"/>
    <w:rsid w:val="00AD35EB"/>
    <w:rsid w:val="00BB6C42"/>
    <w:rsid w:val="00C114FF"/>
    <w:rsid w:val="00CE6D64"/>
    <w:rsid w:val="00EC0A01"/>
    <w:rsid w:val="1ADD5728"/>
    <w:rsid w:val="23FFDBEB"/>
    <w:rsid w:val="562D715F"/>
    <w:rsid w:val="677D2E1F"/>
    <w:rsid w:val="67F97588"/>
    <w:rsid w:val="77310248"/>
    <w:rsid w:val="7A74ABF5"/>
    <w:rsid w:val="7D7739B0"/>
    <w:rsid w:val="7D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C61BB59-7633-2946-AABE-490C9E1F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line="360" w:lineRule="auto"/>
      <w:jc w:val="both"/>
    </w:pPr>
    <w:rPr>
      <w:rFonts w:eastAsia="宋体-简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</w:pPr>
    <w:rPr>
      <w:rFonts w:eastAsia="SimSun" w:cs="Times New Roman"/>
    </w:rPr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PageNumber">
    <w:name w:val="page number"/>
    <w:basedOn w:val="DefaultParagraphFont"/>
    <w:qFormat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表段落1"/>
    <w:basedOn w:val="Normal"/>
    <w:uiPriority w:val="34"/>
    <w:unhideWhenUsed/>
    <w:qFormat/>
    <w:pPr>
      <w:ind w:firstLineChars="200" w:firstLine="420"/>
    </w:pPr>
    <w:rPr>
      <w:sz w:val="24"/>
    </w:rPr>
  </w:style>
  <w:style w:type="paragraph" w:styleId="BalloonText">
    <w:name w:val="Balloon Text"/>
    <w:basedOn w:val="Normal"/>
    <w:link w:val="BalloonTextChar"/>
    <w:rsid w:val="00451388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1388"/>
    <w:rPr>
      <w:rFonts w:eastAsia="宋体-简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sherrylee0429</dc:creator>
  <cp:lastModifiedBy>Amy Sue Manley</cp:lastModifiedBy>
  <cp:revision>2</cp:revision>
  <cp:lastPrinted>2019-06-02T16:44:00Z</cp:lastPrinted>
  <dcterms:created xsi:type="dcterms:W3CDTF">2020-03-11T15:52:00Z</dcterms:created>
  <dcterms:modified xsi:type="dcterms:W3CDTF">2020-03-11T15:52:00Z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2052-1.0.0.1113</vt:lpwstr>
  </property>
</Properties>
</file>