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54" w:rsidRDefault="00FB6C54" w:rsidP="00FB6C54">
      <w:pPr>
        <w:spacing w:line="480" w:lineRule="auto"/>
        <w:jc w:val="both"/>
        <w:rPr>
          <w:b/>
        </w:rPr>
      </w:pPr>
      <w:bookmarkStart w:id="0" w:name="_GoBack"/>
      <w:bookmarkEnd w:id="0"/>
    </w:p>
    <w:p w:rsidR="00FB6C54" w:rsidRPr="00B70872" w:rsidRDefault="00BC3DC4" w:rsidP="00FB6C54">
      <w:pPr>
        <w:spacing w:line="480" w:lineRule="auto"/>
        <w:jc w:val="both"/>
        <w:rPr>
          <w:b/>
        </w:rPr>
      </w:pPr>
      <w:r w:rsidRPr="00BC3DC4">
        <w:rPr>
          <w:b/>
        </w:rPr>
        <w:t xml:space="preserve">Supplemental Digital Content </w:t>
      </w:r>
      <w:r>
        <w:rPr>
          <w:b/>
        </w:rPr>
        <w:t>11</w:t>
      </w:r>
      <w:r w:rsidR="00FB6C54">
        <w:rPr>
          <w:b/>
        </w:rPr>
        <w:t xml:space="preserve">. Association of stunting and underweight at 6 and 12 months with duration and type of ART exposure and maternal disease progression.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1207"/>
        <w:gridCol w:w="1146"/>
        <w:gridCol w:w="1588"/>
        <w:gridCol w:w="1297"/>
        <w:gridCol w:w="1283"/>
        <w:gridCol w:w="1708"/>
        <w:gridCol w:w="1588"/>
        <w:gridCol w:w="1300"/>
      </w:tblGrid>
      <w:tr w:rsidR="00FB6C54" w:rsidRPr="006230AC" w:rsidTr="008318EA">
        <w:tc>
          <w:tcPr>
            <w:tcW w:w="1031" w:type="pct"/>
            <w:vMerge w:val="restar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>Exposures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 xml:space="preserve">Stunting </w:t>
            </w:r>
            <w:r>
              <w:rPr>
                <w:b/>
                <w:bCs/>
                <w:sz w:val="22"/>
                <w:szCs w:val="22"/>
              </w:rPr>
              <w:t xml:space="preserve">at 6 month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>Stunting</w:t>
            </w:r>
            <w:r>
              <w:rPr>
                <w:b/>
                <w:bCs/>
                <w:sz w:val="22"/>
                <w:szCs w:val="22"/>
              </w:rPr>
              <w:t xml:space="preserve"> at 12 month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>Underweight</w:t>
            </w:r>
            <w:r>
              <w:rPr>
                <w:b/>
                <w:bCs/>
                <w:sz w:val="22"/>
                <w:szCs w:val="22"/>
              </w:rPr>
              <w:t xml:space="preserve"> at 6 months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>Underweight</w:t>
            </w:r>
            <w:r>
              <w:rPr>
                <w:b/>
                <w:bCs/>
                <w:sz w:val="22"/>
                <w:szCs w:val="22"/>
              </w:rPr>
              <w:t xml:space="preserve"> at 12 months</w:t>
            </w:r>
          </w:p>
        </w:tc>
      </w:tr>
      <w:tr w:rsidR="00FB6C54" w:rsidRPr="006230AC" w:rsidTr="008318EA">
        <w:tc>
          <w:tcPr>
            <w:tcW w:w="1031" w:type="pct"/>
            <w:vMerge/>
            <w:tcBorders>
              <w:bottom w:val="single" w:sz="4" w:space="0" w:color="auto"/>
            </w:tcBorders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Unadjusted 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Adjusted 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Unadjusted 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 w:rsidRPr="006230AC">
              <w:rPr>
                <w:b/>
                <w:sz w:val="20"/>
                <w:szCs w:val="22"/>
              </w:rPr>
              <w:t xml:space="preserve">Adjusted </w:t>
            </w:r>
            <w:r>
              <w:rPr>
                <w:b/>
                <w:sz w:val="20"/>
                <w:szCs w:val="22"/>
              </w:rPr>
              <w:t>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7F7035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 w:rsidRPr="007F7035">
              <w:rPr>
                <w:b/>
                <w:sz w:val="20"/>
                <w:szCs w:val="22"/>
              </w:rPr>
              <w:t>Unadjusted OR (95%CI)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8C351A" w:rsidRDefault="00115A1F" w:rsidP="00AB776E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>
              <w:rPr>
                <w:b/>
                <w:sz w:val="20"/>
                <w:szCs w:val="22"/>
              </w:rPr>
              <w:t>A</w:t>
            </w:r>
            <w:r w:rsidR="00FB6C54" w:rsidRPr="00737867">
              <w:rPr>
                <w:b/>
                <w:sz w:val="20"/>
                <w:szCs w:val="22"/>
              </w:rPr>
              <w:t xml:space="preserve">djusted OR (95%CI) 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Unadjusted 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Adjusted O</w:t>
            </w:r>
            <w:r w:rsidRPr="006230AC">
              <w:rPr>
                <w:b/>
                <w:sz w:val="20"/>
                <w:szCs w:val="22"/>
              </w:rPr>
              <w:t>R (95%CI)</w:t>
            </w:r>
          </w:p>
        </w:tc>
      </w:tr>
      <w:tr w:rsidR="00FB6C54" w:rsidRPr="006230AC" w:rsidTr="008318EA">
        <w:tc>
          <w:tcPr>
            <w:tcW w:w="1031" w:type="pct"/>
            <w:tcBorders>
              <w:top w:val="single" w:sz="4" w:space="0" w:color="auto"/>
            </w:tcBorders>
          </w:tcPr>
          <w:p w:rsidR="00FB6C54" w:rsidRPr="006230AC" w:rsidRDefault="00F641C4" w:rsidP="00AB7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Timing</w:t>
            </w:r>
            <w:r w:rsidR="00FB6C54" w:rsidRPr="006230AC">
              <w:rPr>
                <w:b/>
                <w:bCs/>
                <w:sz w:val="22"/>
                <w:szCs w:val="22"/>
              </w:rPr>
              <w:t xml:space="preserve"> of ART exposure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FB6C54" w:rsidRPr="007F7035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22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22"/>
              </w:rPr>
            </w:pPr>
          </w:p>
        </w:tc>
      </w:tr>
      <w:tr w:rsidR="00FB6C54" w:rsidRPr="006230AC" w:rsidTr="008318EA">
        <w:tc>
          <w:tcPr>
            <w:tcW w:w="1031" w:type="pct"/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  <w:r w:rsidRPr="006230AC">
              <w:rPr>
                <w:bCs/>
                <w:sz w:val="22"/>
                <w:szCs w:val="22"/>
              </w:rPr>
              <w:t xml:space="preserve">From conception </w:t>
            </w:r>
          </w:p>
        </w:tc>
        <w:tc>
          <w:tcPr>
            <w:tcW w:w="431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22"/>
              </w:rPr>
              <w:t>1.12(0.65, 1.94)</w:t>
            </w:r>
          </w:p>
        </w:tc>
        <w:tc>
          <w:tcPr>
            <w:tcW w:w="409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1.79(0.86, 3.75)</w:t>
            </w:r>
          </w:p>
        </w:tc>
        <w:tc>
          <w:tcPr>
            <w:tcW w:w="567" w:type="pct"/>
          </w:tcPr>
          <w:p w:rsidR="00FB6C54" w:rsidRPr="008C351A" w:rsidRDefault="00FB6C54" w:rsidP="00AB776E">
            <w:pPr>
              <w:rPr>
                <w:sz w:val="20"/>
              </w:rPr>
            </w:pPr>
            <w:r w:rsidRPr="008C351A">
              <w:rPr>
                <w:sz w:val="20"/>
              </w:rPr>
              <w:t>1.59(0.89, 2.86)</w:t>
            </w:r>
          </w:p>
        </w:tc>
        <w:tc>
          <w:tcPr>
            <w:tcW w:w="463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1.44 (0.64, 3.23)</w:t>
            </w:r>
          </w:p>
        </w:tc>
        <w:tc>
          <w:tcPr>
            <w:tcW w:w="458" w:type="pct"/>
          </w:tcPr>
          <w:p w:rsidR="00FB6C54" w:rsidRPr="007F7035" w:rsidRDefault="00FB6C54" w:rsidP="00AB7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>1.34(0.63, 2.84</w:t>
            </w:r>
            <w:r w:rsidRPr="007F7035">
              <w:rPr>
                <w:sz w:val="16"/>
                <w:szCs w:val="22"/>
              </w:rPr>
              <w:t>)</w:t>
            </w:r>
          </w:p>
        </w:tc>
        <w:tc>
          <w:tcPr>
            <w:tcW w:w="610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2.08(0.84, 5.11)</w:t>
            </w:r>
          </w:p>
        </w:tc>
        <w:tc>
          <w:tcPr>
            <w:tcW w:w="567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1.15(0.39, 3.41)</w:t>
            </w:r>
          </w:p>
        </w:tc>
        <w:tc>
          <w:tcPr>
            <w:tcW w:w="464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1.05(0.19, 5.88)</w:t>
            </w:r>
          </w:p>
        </w:tc>
      </w:tr>
      <w:tr w:rsidR="00FB6C54" w:rsidRPr="006230AC" w:rsidTr="008318EA">
        <w:tc>
          <w:tcPr>
            <w:tcW w:w="1031" w:type="pct"/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  <w:r w:rsidRPr="006230AC">
              <w:rPr>
                <w:bCs/>
                <w:sz w:val="22"/>
                <w:szCs w:val="22"/>
              </w:rPr>
              <w:t xml:space="preserve">From early pregnancy </w:t>
            </w:r>
          </w:p>
        </w:tc>
        <w:tc>
          <w:tcPr>
            <w:tcW w:w="431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0.63(0.28, 1.40)</w:t>
            </w:r>
          </w:p>
        </w:tc>
        <w:tc>
          <w:tcPr>
            <w:tcW w:w="409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0.44(0.18, 1.12)</w:t>
            </w:r>
          </w:p>
        </w:tc>
        <w:tc>
          <w:tcPr>
            <w:tcW w:w="567" w:type="pct"/>
          </w:tcPr>
          <w:p w:rsidR="00FB6C54" w:rsidRPr="008C351A" w:rsidRDefault="00FB6C54" w:rsidP="00AB776E">
            <w:pPr>
              <w:rPr>
                <w:sz w:val="20"/>
              </w:rPr>
            </w:pPr>
            <w:r w:rsidRPr="008C351A">
              <w:rPr>
                <w:sz w:val="20"/>
              </w:rPr>
              <w:t>1.59(0.79, 3.21)</w:t>
            </w:r>
          </w:p>
        </w:tc>
        <w:tc>
          <w:tcPr>
            <w:tcW w:w="463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1.83 (0.81,  4.13)</w:t>
            </w:r>
          </w:p>
        </w:tc>
        <w:tc>
          <w:tcPr>
            <w:tcW w:w="458" w:type="pct"/>
          </w:tcPr>
          <w:p w:rsidR="00FB6C54" w:rsidRPr="007F7035" w:rsidRDefault="00FB6C54" w:rsidP="00AB776E">
            <w:pPr>
              <w:jc w:val="center"/>
              <w:rPr>
                <w:sz w:val="16"/>
                <w:szCs w:val="16"/>
              </w:rPr>
            </w:pPr>
            <w:r w:rsidRPr="007F7035">
              <w:rPr>
                <w:sz w:val="16"/>
                <w:szCs w:val="16"/>
              </w:rPr>
              <w:t>0.32(0.07, 1.44)</w:t>
            </w:r>
          </w:p>
        </w:tc>
        <w:tc>
          <w:tcPr>
            <w:tcW w:w="610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0.37(0.08, 1.73)</w:t>
            </w:r>
          </w:p>
        </w:tc>
        <w:tc>
          <w:tcPr>
            <w:tcW w:w="567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0.65(0.13, 3.14)</w:t>
            </w:r>
          </w:p>
        </w:tc>
        <w:tc>
          <w:tcPr>
            <w:tcW w:w="464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0.25(0.02, 3.16)</w:t>
            </w:r>
          </w:p>
        </w:tc>
      </w:tr>
      <w:tr w:rsidR="00FB6C54" w:rsidRPr="006230AC" w:rsidTr="008318EA">
        <w:tc>
          <w:tcPr>
            <w:tcW w:w="1031" w:type="pct"/>
            <w:tcBorders>
              <w:bottom w:val="single" w:sz="4" w:space="0" w:color="auto"/>
            </w:tcBorders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  <w:r w:rsidRPr="006230AC">
              <w:rPr>
                <w:bCs/>
                <w:sz w:val="22"/>
                <w:szCs w:val="22"/>
              </w:rPr>
              <w:t xml:space="preserve">From late pregnancy 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B6C54" w:rsidRPr="007F7035" w:rsidRDefault="00FB6C54" w:rsidP="00AB776E">
            <w:pPr>
              <w:rPr>
                <w:sz w:val="16"/>
                <w:szCs w:val="16"/>
              </w:rPr>
            </w:pPr>
            <w:r w:rsidRPr="007F7035">
              <w:rPr>
                <w:sz w:val="16"/>
                <w:szCs w:val="16"/>
              </w:rPr>
              <w:t>1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</w:tr>
      <w:tr w:rsidR="00FB6C54" w:rsidRPr="006230AC" w:rsidTr="008318EA">
        <w:tc>
          <w:tcPr>
            <w:tcW w:w="1031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rPr>
                <w:b/>
                <w:bCs/>
                <w:sz w:val="22"/>
                <w:szCs w:val="22"/>
              </w:rPr>
            </w:pPr>
            <w:r w:rsidRPr="006230AC">
              <w:rPr>
                <w:b/>
                <w:bCs/>
                <w:sz w:val="22"/>
                <w:szCs w:val="22"/>
              </w:rPr>
              <w:t xml:space="preserve">Type of ART 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</w:tr>
      <w:tr w:rsidR="00FB6C54" w:rsidRPr="006230AC" w:rsidTr="008318EA">
        <w:tc>
          <w:tcPr>
            <w:tcW w:w="1031" w:type="pct"/>
          </w:tcPr>
          <w:p w:rsidR="00FB6C54" w:rsidRPr="00187DA3" w:rsidRDefault="00FB6C54" w:rsidP="00AB776E">
            <w:pPr>
              <w:rPr>
                <w:rFonts w:eastAsia="Calibri"/>
                <w:bCs/>
                <w:sz w:val="20"/>
                <w:szCs w:val="20"/>
              </w:rPr>
            </w:pPr>
            <w:r w:rsidRPr="00187DA3">
              <w:rPr>
                <w:rFonts w:eastAsia="Calibri"/>
                <w:bCs/>
                <w:sz w:val="20"/>
                <w:szCs w:val="20"/>
              </w:rPr>
              <w:t>TDF-3TC-EFV/NVP</w:t>
            </w:r>
          </w:p>
        </w:tc>
        <w:tc>
          <w:tcPr>
            <w:tcW w:w="431" w:type="pct"/>
            <w:shd w:val="clear" w:color="auto" w:fill="auto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63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</w:t>
            </w:r>
          </w:p>
        </w:tc>
        <w:tc>
          <w:tcPr>
            <w:tcW w:w="610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  <w:tc>
          <w:tcPr>
            <w:tcW w:w="464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</w:tr>
      <w:tr w:rsidR="00FB6C54" w:rsidRPr="006230AC" w:rsidTr="008318EA">
        <w:tc>
          <w:tcPr>
            <w:tcW w:w="1031" w:type="pct"/>
          </w:tcPr>
          <w:p w:rsidR="00FB6C54" w:rsidRPr="00373791" w:rsidRDefault="00FB6C54" w:rsidP="00AB776E">
            <w:pPr>
              <w:rPr>
                <w:rFonts w:eastAsia="Calibri"/>
                <w:bCs/>
                <w:sz w:val="18"/>
                <w:szCs w:val="18"/>
              </w:rPr>
            </w:pPr>
            <w:r w:rsidRPr="00373791">
              <w:rPr>
                <w:rFonts w:eastAsia="Calibri"/>
                <w:bCs/>
                <w:sz w:val="18"/>
                <w:szCs w:val="18"/>
              </w:rPr>
              <w:t>ZDV-3TC-EFV/NVP</w:t>
            </w:r>
          </w:p>
        </w:tc>
        <w:tc>
          <w:tcPr>
            <w:tcW w:w="431" w:type="pct"/>
            <w:shd w:val="clear" w:color="auto" w:fill="auto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0.93(0.48, 1.79)</w:t>
            </w:r>
          </w:p>
        </w:tc>
        <w:tc>
          <w:tcPr>
            <w:tcW w:w="409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0.58(0.14, 0.87)</w:t>
            </w:r>
          </w:p>
        </w:tc>
        <w:tc>
          <w:tcPr>
            <w:tcW w:w="567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1.09(0.53, 2.27)</w:t>
            </w:r>
          </w:p>
        </w:tc>
        <w:tc>
          <w:tcPr>
            <w:tcW w:w="463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0.92 (0.36, 2.37)</w:t>
            </w:r>
          </w:p>
        </w:tc>
        <w:tc>
          <w:tcPr>
            <w:tcW w:w="458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0.60(0.18, 2.04)</w:t>
            </w:r>
          </w:p>
        </w:tc>
        <w:tc>
          <w:tcPr>
            <w:tcW w:w="610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0.35(0.09, 1.32)</w:t>
            </w:r>
          </w:p>
        </w:tc>
        <w:tc>
          <w:tcPr>
            <w:tcW w:w="567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0.89(0.20, 4.06)</w:t>
            </w:r>
          </w:p>
        </w:tc>
        <w:tc>
          <w:tcPr>
            <w:tcW w:w="464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1.39(0.20, 9.54)</w:t>
            </w:r>
          </w:p>
        </w:tc>
      </w:tr>
      <w:tr w:rsidR="00FB6C54" w:rsidRPr="006230AC" w:rsidTr="008318EA">
        <w:tc>
          <w:tcPr>
            <w:tcW w:w="1031" w:type="pct"/>
            <w:tcBorders>
              <w:bottom w:val="single" w:sz="4" w:space="0" w:color="auto"/>
            </w:tcBorders>
          </w:tcPr>
          <w:p w:rsidR="00FB6C54" w:rsidRPr="00187DA3" w:rsidRDefault="00FE028D" w:rsidP="00AB776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PI-based ARTs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--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--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--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B6C54" w:rsidRPr="00C930F5" w:rsidRDefault="008318EA" w:rsidP="00831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2.41(0.27, </w:t>
            </w:r>
            <w:r w:rsidR="00FB6C54" w:rsidRPr="00C930F5">
              <w:rPr>
                <w:sz w:val="16"/>
                <w:szCs w:val="16"/>
              </w:rPr>
              <w:t>21.32)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FB6C54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---</w:t>
            </w:r>
          </w:p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---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---</w:t>
            </w:r>
          </w:p>
        </w:tc>
      </w:tr>
      <w:tr w:rsidR="00FB6C54" w:rsidRPr="006230AC" w:rsidTr="008318EA">
        <w:tc>
          <w:tcPr>
            <w:tcW w:w="1031" w:type="pct"/>
            <w:tcBorders>
              <w:top w:val="single" w:sz="4" w:space="0" w:color="auto"/>
            </w:tcBorders>
          </w:tcPr>
          <w:p w:rsidR="00FB6C54" w:rsidRPr="006230AC" w:rsidRDefault="00F641C4" w:rsidP="00AB7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Maternal</w:t>
            </w:r>
            <w:r w:rsidR="00FB6C54" w:rsidRPr="006230AC">
              <w:rPr>
                <w:b/>
                <w:bCs/>
                <w:sz w:val="22"/>
                <w:szCs w:val="22"/>
              </w:rPr>
              <w:t xml:space="preserve"> disease progression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B6C54" w:rsidRPr="006230AC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</w:p>
        </w:tc>
      </w:tr>
      <w:tr w:rsidR="00FB6C54" w:rsidRPr="006230AC" w:rsidTr="008318EA">
        <w:tc>
          <w:tcPr>
            <w:tcW w:w="1031" w:type="pct"/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  <w:r w:rsidRPr="006230AC">
              <w:rPr>
                <w:bCs/>
                <w:sz w:val="22"/>
                <w:szCs w:val="22"/>
              </w:rPr>
              <w:t>Early stage</w:t>
            </w:r>
          </w:p>
        </w:tc>
        <w:tc>
          <w:tcPr>
            <w:tcW w:w="431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63" w:type="pct"/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</w:t>
            </w:r>
          </w:p>
        </w:tc>
        <w:tc>
          <w:tcPr>
            <w:tcW w:w="610" w:type="pct"/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</w:t>
            </w:r>
          </w:p>
        </w:tc>
        <w:tc>
          <w:tcPr>
            <w:tcW w:w="567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  <w:tc>
          <w:tcPr>
            <w:tcW w:w="464" w:type="pct"/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</w:t>
            </w:r>
          </w:p>
        </w:tc>
      </w:tr>
      <w:tr w:rsidR="00FB6C54" w:rsidRPr="006230AC" w:rsidTr="008318EA">
        <w:tc>
          <w:tcPr>
            <w:tcW w:w="1031" w:type="pct"/>
            <w:tcBorders>
              <w:bottom w:val="single" w:sz="4" w:space="0" w:color="auto"/>
            </w:tcBorders>
          </w:tcPr>
          <w:p w:rsidR="00FB6C54" w:rsidRPr="006230AC" w:rsidRDefault="00FB6C54" w:rsidP="00AB776E">
            <w:pPr>
              <w:rPr>
                <w:bCs/>
                <w:sz w:val="22"/>
                <w:szCs w:val="22"/>
              </w:rPr>
            </w:pPr>
            <w:r w:rsidRPr="006230AC">
              <w:rPr>
                <w:bCs/>
                <w:sz w:val="22"/>
                <w:szCs w:val="22"/>
              </w:rPr>
              <w:t>Advanced stage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0.82(0.41, 1.62)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1.16(0.47, 2.85)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2.27(1.25, 4.13)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FB6C54" w:rsidRPr="008C351A" w:rsidRDefault="00FB6C54" w:rsidP="00AB776E">
            <w:pPr>
              <w:jc w:val="center"/>
              <w:rPr>
                <w:sz w:val="16"/>
                <w:szCs w:val="16"/>
              </w:rPr>
            </w:pPr>
            <w:r w:rsidRPr="008C351A">
              <w:rPr>
                <w:sz w:val="16"/>
                <w:szCs w:val="16"/>
              </w:rPr>
              <w:t>1.50(0.69, 3.25)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1.86(0.82, 4.18)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FB6C54" w:rsidRPr="00C930F5" w:rsidRDefault="00FB6C54" w:rsidP="00AB776E">
            <w:pPr>
              <w:jc w:val="center"/>
              <w:rPr>
                <w:sz w:val="16"/>
                <w:szCs w:val="16"/>
              </w:rPr>
            </w:pPr>
            <w:r w:rsidRPr="00C930F5">
              <w:rPr>
                <w:sz w:val="16"/>
                <w:szCs w:val="16"/>
              </w:rPr>
              <w:t>1.86(0.68, 5.03)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1.72(0.58, 5.12)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B6C54" w:rsidRPr="00737867" w:rsidRDefault="00FB6C54" w:rsidP="00AB776E">
            <w:pPr>
              <w:jc w:val="center"/>
              <w:rPr>
                <w:sz w:val="16"/>
                <w:szCs w:val="16"/>
              </w:rPr>
            </w:pPr>
            <w:r w:rsidRPr="00737867">
              <w:rPr>
                <w:sz w:val="16"/>
                <w:szCs w:val="16"/>
              </w:rPr>
              <w:t>2.10(0.37, 11.84)</w:t>
            </w:r>
          </w:p>
        </w:tc>
      </w:tr>
    </w:tbl>
    <w:p w:rsidR="00FE028D" w:rsidRPr="008734DB" w:rsidRDefault="00FE028D" w:rsidP="00FE028D">
      <w:pPr>
        <w:rPr>
          <w:sz w:val="20"/>
        </w:rPr>
      </w:pPr>
      <w:r w:rsidRPr="008734DB">
        <w:rPr>
          <w:sz w:val="20"/>
        </w:rPr>
        <w:t xml:space="preserve">Each model is adjusted for maternal age, education, BMI, </w:t>
      </w:r>
      <w:r>
        <w:rPr>
          <w:sz w:val="20"/>
        </w:rPr>
        <w:t>parity,</w:t>
      </w:r>
      <w:r w:rsidRPr="008734DB">
        <w:rPr>
          <w:sz w:val="20"/>
        </w:rPr>
        <w:t xml:space="preserve"> infants’ gender, and breastfeeding status. In addition the model </w:t>
      </w:r>
      <w:r>
        <w:rPr>
          <w:sz w:val="20"/>
        </w:rPr>
        <w:t>the</w:t>
      </w:r>
      <w:r w:rsidRPr="00A52D7A">
        <w:rPr>
          <w:sz w:val="20"/>
        </w:rPr>
        <w:t xml:space="preserve"> for duration of ART exposure was adjusted for type of ART and maternal disease progression and vice versa.</w:t>
      </w:r>
      <w:r w:rsidRPr="003C4039">
        <w:rPr>
          <w:lang w:eastAsia="nb-NO"/>
        </w:rPr>
        <w:t xml:space="preserve"> </w:t>
      </w:r>
    </w:p>
    <w:p w:rsidR="00FE028D" w:rsidRPr="00A52D7A" w:rsidRDefault="00D44F17" w:rsidP="00FE028D">
      <w:pPr>
        <w:rPr>
          <w:sz w:val="20"/>
        </w:rPr>
      </w:pPr>
      <w:r w:rsidRPr="008734DB">
        <w:rPr>
          <w:sz w:val="20"/>
        </w:rPr>
        <w:t>ART: antiretroviral therapy,</w:t>
      </w:r>
      <w:r>
        <w:rPr>
          <w:sz w:val="20"/>
        </w:rPr>
        <w:t xml:space="preserve"> </w:t>
      </w:r>
      <w:r w:rsidR="00FE028D" w:rsidRPr="008734DB">
        <w:rPr>
          <w:sz w:val="20"/>
        </w:rPr>
        <w:t xml:space="preserve">ZDV: Zidovudine, 3TC: lamivudine, EFV: efavirenz, </w:t>
      </w:r>
      <w:r w:rsidR="00FE028D">
        <w:rPr>
          <w:sz w:val="20"/>
        </w:rPr>
        <w:t xml:space="preserve">NVP: nevirapine, </w:t>
      </w:r>
      <w:r w:rsidR="00FE028D" w:rsidRPr="008734DB">
        <w:rPr>
          <w:sz w:val="20"/>
        </w:rPr>
        <w:t xml:space="preserve">TDF: tenofovir, </w:t>
      </w:r>
      <w:r w:rsidR="00FE028D">
        <w:rPr>
          <w:sz w:val="20"/>
        </w:rPr>
        <w:t>PI</w:t>
      </w:r>
      <w:r w:rsidR="00FE028D" w:rsidRPr="00CF29B4">
        <w:rPr>
          <w:sz w:val="20"/>
        </w:rPr>
        <w:t>: Protease inhibitor</w:t>
      </w:r>
      <w:r w:rsidR="00FE028D">
        <w:rPr>
          <w:sz w:val="20"/>
        </w:rPr>
        <w:t xml:space="preserve">; </w:t>
      </w:r>
      <w:r w:rsidR="00FE028D" w:rsidRPr="00CF29B4">
        <w:rPr>
          <w:sz w:val="20"/>
        </w:rPr>
        <w:t xml:space="preserve"> </w:t>
      </w:r>
      <w:r w:rsidR="00FE028D">
        <w:rPr>
          <w:sz w:val="18"/>
        </w:rPr>
        <w:t>OR: Odds ratio;</w:t>
      </w:r>
      <w:r w:rsidR="00FE028D" w:rsidRPr="008734DB">
        <w:rPr>
          <w:sz w:val="20"/>
        </w:rPr>
        <w:t xml:space="preserve"> CI: co</w:t>
      </w:r>
      <w:r w:rsidR="00FE028D">
        <w:rPr>
          <w:sz w:val="20"/>
        </w:rPr>
        <w:t>nfidence interval.</w:t>
      </w:r>
    </w:p>
    <w:p w:rsidR="00AB776E" w:rsidRDefault="00AB776E" w:rsidP="00FE028D">
      <w:pPr>
        <w:spacing w:line="480" w:lineRule="auto"/>
      </w:pPr>
    </w:p>
    <w:sectPr w:rsidR="00AB776E" w:rsidSect="00FB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73" w:rsidRDefault="00827E73" w:rsidP="004F0653">
      <w:r>
        <w:separator/>
      </w:r>
    </w:p>
  </w:endnote>
  <w:endnote w:type="continuationSeparator" w:id="0">
    <w:p w:rsidR="00827E73" w:rsidRDefault="00827E73" w:rsidP="004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73" w:rsidRDefault="00827E73" w:rsidP="004F0653">
      <w:r>
        <w:separator/>
      </w:r>
    </w:p>
  </w:footnote>
  <w:footnote w:type="continuationSeparator" w:id="0">
    <w:p w:rsidR="00827E73" w:rsidRDefault="00827E73" w:rsidP="004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7"/>
    <w:rsid w:val="00014582"/>
    <w:rsid w:val="0005238F"/>
    <w:rsid w:val="00071385"/>
    <w:rsid w:val="000756B6"/>
    <w:rsid w:val="000819AD"/>
    <w:rsid w:val="000F4C91"/>
    <w:rsid w:val="00104C02"/>
    <w:rsid w:val="00115A1F"/>
    <w:rsid w:val="00143775"/>
    <w:rsid w:val="00143989"/>
    <w:rsid w:val="00164FD6"/>
    <w:rsid w:val="00173667"/>
    <w:rsid w:val="001806D8"/>
    <w:rsid w:val="00180F64"/>
    <w:rsid w:val="00192D70"/>
    <w:rsid w:val="001935F7"/>
    <w:rsid w:val="001A6564"/>
    <w:rsid w:val="001B18A4"/>
    <w:rsid w:val="002200B4"/>
    <w:rsid w:val="00272078"/>
    <w:rsid w:val="002A7023"/>
    <w:rsid w:val="002B087E"/>
    <w:rsid w:val="00304088"/>
    <w:rsid w:val="003041B4"/>
    <w:rsid w:val="003056B2"/>
    <w:rsid w:val="0035034C"/>
    <w:rsid w:val="00350621"/>
    <w:rsid w:val="00382FBE"/>
    <w:rsid w:val="003949BE"/>
    <w:rsid w:val="003956F8"/>
    <w:rsid w:val="003D44A9"/>
    <w:rsid w:val="004606F6"/>
    <w:rsid w:val="00482BDD"/>
    <w:rsid w:val="004C0EB1"/>
    <w:rsid w:val="004F0653"/>
    <w:rsid w:val="00501CD5"/>
    <w:rsid w:val="00522AC5"/>
    <w:rsid w:val="0053230A"/>
    <w:rsid w:val="00532B92"/>
    <w:rsid w:val="00542C45"/>
    <w:rsid w:val="005844C2"/>
    <w:rsid w:val="005B163F"/>
    <w:rsid w:val="005F0CB4"/>
    <w:rsid w:val="00601F9F"/>
    <w:rsid w:val="00635115"/>
    <w:rsid w:val="006B33C3"/>
    <w:rsid w:val="006D7913"/>
    <w:rsid w:val="006E6BF3"/>
    <w:rsid w:val="00714E5B"/>
    <w:rsid w:val="00827E73"/>
    <w:rsid w:val="008318EA"/>
    <w:rsid w:val="00841AF8"/>
    <w:rsid w:val="00855444"/>
    <w:rsid w:val="00881558"/>
    <w:rsid w:val="008A0682"/>
    <w:rsid w:val="008A76E4"/>
    <w:rsid w:val="009039B5"/>
    <w:rsid w:val="009619F3"/>
    <w:rsid w:val="00961ABE"/>
    <w:rsid w:val="00A10B98"/>
    <w:rsid w:val="00A2617B"/>
    <w:rsid w:val="00A97217"/>
    <w:rsid w:val="00AB4D33"/>
    <w:rsid w:val="00AB776E"/>
    <w:rsid w:val="00B551E7"/>
    <w:rsid w:val="00BA3457"/>
    <w:rsid w:val="00BC3DC4"/>
    <w:rsid w:val="00BD6647"/>
    <w:rsid w:val="00BF77E6"/>
    <w:rsid w:val="00C22CFB"/>
    <w:rsid w:val="00C40B99"/>
    <w:rsid w:val="00C72A33"/>
    <w:rsid w:val="00C80F0B"/>
    <w:rsid w:val="00D44F17"/>
    <w:rsid w:val="00D66D7D"/>
    <w:rsid w:val="00D741E6"/>
    <w:rsid w:val="00D846F8"/>
    <w:rsid w:val="00D90727"/>
    <w:rsid w:val="00DE6AAF"/>
    <w:rsid w:val="00E024F9"/>
    <w:rsid w:val="00E21C56"/>
    <w:rsid w:val="00E65DFD"/>
    <w:rsid w:val="00F04180"/>
    <w:rsid w:val="00F14BD0"/>
    <w:rsid w:val="00F47226"/>
    <w:rsid w:val="00F641C4"/>
    <w:rsid w:val="00F92154"/>
    <w:rsid w:val="00FB6C5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46C"/>
  <w15:chartTrackingRefBased/>
  <w15:docId w15:val="{F73F8534-2966-40D0-BD29-1A67E5D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2</cp:revision>
  <dcterms:created xsi:type="dcterms:W3CDTF">2020-02-22T17:56:00Z</dcterms:created>
  <dcterms:modified xsi:type="dcterms:W3CDTF">2020-02-22T17:56:00Z</dcterms:modified>
</cp:coreProperties>
</file>