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7BA2" w14:textId="3E6CB0B3" w:rsidR="00231CC4" w:rsidRPr="009B60B6" w:rsidRDefault="00231CC4" w:rsidP="00231CC4">
      <w:pPr>
        <w:pStyle w:val="PSHeading2"/>
        <w:rPr>
          <w:sz w:val="24"/>
          <w:szCs w:val="24"/>
          <w:lang w:eastAsia="ja-JP"/>
        </w:rPr>
      </w:pPr>
      <w:bookmarkStart w:id="0" w:name="_GoBack"/>
      <w:bookmarkEnd w:id="0"/>
      <w:r w:rsidRPr="009B60B6">
        <w:rPr>
          <w:rFonts w:ascii="Arial Bold" w:hAnsi="Arial Bold"/>
          <w:sz w:val="24"/>
          <w:szCs w:val="24"/>
          <w:lang w:eastAsia="ja-JP"/>
        </w:rPr>
        <w:t xml:space="preserve">Supplemental Digital Content </w:t>
      </w:r>
      <w:r w:rsidR="00B446AF">
        <w:rPr>
          <w:rFonts w:ascii="Arial Bold" w:hAnsi="Arial Bold"/>
          <w:sz w:val="24"/>
          <w:szCs w:val="24"/>
          <w:lang w:eastAsia="ja-JP"/>
        </w:rPr>
        <w:t>8</w:t>
      </w:r>
      <w:r w:rsidRPr="009B60B6">
        <w:rPr>
          <w:sz w:val="24"/>
          <w:szCs w:val="24"/>
          <w:lang w:eastAsia="ja-JP"/>
        </w:rPr>
        <w:t xml:space="preserve">. </w:t>
      </w:r>
      <w:r w:rsidRPr="009B60B6">
        <w:rPr>
          <w:rFonts w:ascii="Arial Bold" w:hAnsi="Arial Bold"/>
          <w:sz w:val="24"/>
          <w:szCs w:val="24"/>
          <w:lang w:eastAsia="ja-JP"/>
        </w:rPr>
        <w:t xml:space="preserve">Figure </w:t>
      </w:r>
    </w:p>
    <w:p w14:paraId="3A8AB04C" w14:textId="77777777" w:rsidR="00231CC4" w:rsidRPr="009B60B6" w:rsidRDefault="00231CC4" w:rsidP="00231CC4">
      <w:pPr>
        <w:pStyle w:val="PSTextX1space"/>
        <w:spacing w:line="480" w:lineRule="auto"/>
        <w:rPr>
          <w:sz w:val="24"/>
          <w:szCs w:val="24"/>
          <w:lang w:eastAsia="ja-JP"/>
        </w:rPr>
      </w:pPr>
    </w:p>
    <w:p w14:paraId="759A2128" w14:textId="77777777" w:rsidR="00231CC4" w:rsidRPr="009B60B6" w:rsidRDefault="00231CC4" w:rsidP="00231CC4">
      <w:pPr>
        <w:pStyle w:val="PSTextX1space"/>
        <w:spacing w:line="480" w:lineRule="auto"/>
        <w:rPr>
          <w:sz w:val="24"/>
          <w:szCs w:val="24"/>
          <w:lang w:eastAsia="ja-JP"/>
        </w:rPr>
      </w:pPr>
      <w:r w:rsidRPr="009B60B6">
        <w:rPr>
          <w:sz w:val="24"/>
          <w:szCs w:val="24"/>
          <w:lang w:eastAsia="ja-JP"/>
        </w:rPr>
        <w:t>(A) Time to illness alleviation by age and (B) time to resolution of fever by age in individual children infected with influenza A(H1N</w:t>
      </w:r>
      <w:proofErr w:type="gramStart"/>
      <w:r w:rsidRPr="009B60B6">
        <w:rPr>
          <w:sz w:val="24"/>
          <w:szCs w:val="24"/>
          <w:lang w:eastAsia="ja-JP"/>
        </w:rPr>
        <w:t>1)pdm</w:t>
      </w:r>
      <w:proofErr w:type="gramEnd"/>
      <w:r w:rsidRPr="009B60B6">
        <w:rPr>
          <w:sz w:val="24"/>
          <w:szCs w:val="24"/>
          <w:lang w:eastAsia="ja-JP"/>
        </w:rPr>
        <w:t>09, A(H3N2), or B, with or without PA/I38X-substituted viruses and with or without co-infection with other respiratory viruses. For children with influenza A, the subset of children with paired sequencing at both baseline and post-treatment was included in this analysis, and the results shown are based on the presence or absence of PA/I38X-substituted viruses. For children with influenza B, children in the ITTI population were included in this analysis.</w:t>
      </w:r>
    </w:p>
    <w:p w14:paraId="34F6FBA9" w14:textId="77777777" w:rsidR="00231CC4" w:rsidRPr="009B60B6" w:rsidRDefault="00231CC4" w:rsidP="00231CC4">
      <w:pPr>
        <w:pStyle w:val="PSTextX1space"/>
        <w:rPr>
          <w:sz w:val="24"/>
          <w:szCs w:val="24"/>
          <w:lang w:eastAsia="ja-JP"/>
        </w:rPr>
      </w:pPr>
      <w:r w:rsidRPr="009B60B6">
        <w:rPr>
          <w:noProof/>
          <w:sz w:val="24"/>
          <w:szCs w:val="24"/>
          <w:lang w:val="en-US" w:eastAsia="en-US"/>
        </w:rPr>
        <w:drawing>
          <wp:inline distT="0" distB="0" distL="0" distR="0" wp14:anchorId="32B85739" wp14:editId="64F6F641">
            <wp:extent cx="5760085" cy="3376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039-19 Baloxavir granules ms figs jc08_S 2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4D41" w14:textId="77777777" w:rsidR="00231CC4" w:rsidRPr="009B60B6" w:rsidRDefault="00231CC4" w:rsidP="00231CC4">
      <w:pPr>
        <w:pStyle w:val="PSTextX1space"/>
        <w:rPr>
          <w:sz w:val="24"/>
          <w:szCs w:val="24"/>
          <w:lang w:eastAsia="ja-JP"/>
        </w:rPr>
      </w:pPr>
    </w:p>
    <w:p w14:paraId="529D5555" w14:textId="77777777" w:rsidR="00231CC4" w:rsidRPr="009B60B6" w:rsidRDefault="00231CC4" w:rsidP="00231CC4">
      <w:pPr>
        <w:pStyle w:val="PSTextX1space"/>
        <w:rPr>
          <w:noProof/>
          <w:sz w:val="24"/>
          <w:szCs w:val="24"/>
          <w:lang w:val="en-US" w:eastAsia="ja-JP"/>
        </w:rPr>
      </w:pPr>
      <w:r w:rsidRPr="009B60B6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7151FF91" wp14:editId="71C6435A">
            <wp:extent cx="5760085" cy="3375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J039-19 Baloxavir granules ms figs jc08_S 2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2BF8C" w14:textId="77777777" w:rsidR="006A6853" w:rsidRPr="000852A8" w:rsidRDefault="006A6853" w:rsidP="00B446AF">
      <w:pPr>
        <w:rPr>
          <w:sz w:val="32"/>
          <w:lang w:eastAsia="ja-JP"/>
        </w:rPr>
      </w:pPr>
    </w:p>
    <w:sectPr w:rsidR="006A6853" w:rsidRPr="000852A8" w:rsidSect="000852A8">
      <w:footerReference w:type="default" r:id="rId13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C88E" w14:textId="77777777" w:rsidR="00156341" w:rsidRDefault="00156341">
      <w:r>
        <w:separator/>
      </w:r>
    </w:p>
  </w:endnote>
  <w:endnote w:type="continuationSeparator" w:id="0">
    <w:p w14:paraId="6C12368F" w14:textId="77777777" w:rsidR="00156341" w:rsidRDefault="001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024" w14:textId="40D35AA5" w:rsidR="00BF2AE0" w:rsidRDefault="00BF2AE0" w:rsidP="00F441FA">
    <w:pPr>
      <w:pStyle w:val="a5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785ACF">
      <w:rPr>
        <w:rFonts w:ascii="Arial" w:hAnsi="Arial"/>
        <w:sz w:val="20"/>
        <w:szCs w:val="20"/>
        <w:lang w:val="en-US"/>
      </w:rPr>
      <w:t xml:space="preserve">Baloxavir granules in pediatric influenza </w:t>
    </w:r>
    <w:proofErr w:type="spellStart"/>
    <w:r>
      <w:rPr>
        <w:rFonts w:ascii="Arial" w:hAnsi="Arial"/>
        <w:sz w:val="20"/>
        <w:szCs w:val="20"/>
        <w:lang w:val="en-US"/>
      </w:rPr>
      <w:t>pbpR</w:t>
    </w:r>
    <w:proofErr w:type="spellEnd"/>
    <w:r>
      <w:rPr>
        <w:rFonts w:ascii="Arial" w:hAnsi="Arial"/>
        <w:sz w:val="20"/>
        <w:szCs w:val="20"/>
        <w:lang w:val="en-US"/>
      </w:rPr>
      <w:t xml:space="preserve"> </w:t>
    </w:r>
    <w:proofErr w:type="spellStart"/>
    <w:r>
      <w:rPr>
        <w:rFonts w:ascii="Arial" w:hAnsi="Arial"/>
        <w:sz w:val="20"/>
        <w:szCs w:val="20"/>
        <w:lang w:val="en-US"/>
      </w:rPr>
      <w:t>en</w:t>
    </w:r>
    <w:proofErr w:type="spellEnd"/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27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44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21B63371" w:rsidR="00BF2AE0" w:rsidRPr="00BF67E3" w:rsidRDefault="00BF2AE0" w:rsidP="000F3ED0">
    <w:pPr>
      <w:pStyle w:val="a5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27 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D088" w14:textId="77777777" w:rsidR="00156341" w:rsidRDefault="00156341">
      <w:r>
        <w:separator/>
      </w:r>
    </w:p>
  </w:footnote>
  <w:footnote w:type="continuationSeparator" w:id="0">
    <w:p w14:paraId="13C591CE" w14:textId="77777777" w:rsidR="00156341" w:rsidRDefault="0015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341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71F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1AFF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08EC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39FF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307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2C07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3783"/>
    <w:rsid w:val="00BE55A5"/>
    <w:rsid w:val="00BE5606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2D4"/>
    <w:rsid w:val="00C526C3"/>
    <w:rsid w:val="00C5320B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0BC7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32AD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2E13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B24E0-3772-43EB-A6D8-DF2503E8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3</cp:revision>
  <cp:lastPrinted>2020-04-06T05:40:00Z</cp:lastPrinted>
  <dcterms:created xsi:type="dcterms:W3CDTF">2020-04-10T08:06:00Z</dcterms:created>
  <dcterms:modified xsi:type="dcterms:W3CDTF">2020-04-10T08:07:00Z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