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AA80" w14:textId="15548BB8" w:rsidR="007B09C6" w:rsidRDefault="009C77A7" w:rsidP="00484CE7">
      <w:pPr>
        <w:spacing w:line="480" w:lineRule="auto"/>
        <w:jc w:val="both"/>
        <w:rPr>
          <w:rFonts w:cs="Times New Roman"/>
          <w:sz w:val="24"/>
          <w:szCs w:val="24"/>
        </w:rPr>
      </w:pPr>
      <w:r w:rsidRPr="00BC5524">
        <w:rPr>
          <w:rFonts w:cs="Times New Roman"/>
          <w:b/>
          <w:bCs/>
          <w:sz w:val="24"/>
          <w:szCs w:val="24"/>
        </w:rPr>
        <w:t>Supplemental digital content</w:t>
      </w:r>
      <w:r w:rsidR="00BC5524" w:rsidRPr="00BC5524">
        <w:rPr>
          <w:rFonts w:cs="Times New Roman"/>
          <w:b/>
          <w:bCs/>
          <w:sz w:val="24"/>
          <w:szCs w:val="24"/>
        </w:rPr>
        <w:t xml:space="preserve"> 1. </w:t>
      </w:r>
      <w:r w:rsidRPr="00BC5524">
        <w:rPr>
          <w:rFonts w:cs="Times New Roman"/>
          <w:b/>
          <w:sz w:val="24"/>
          <w:szCs w:val="24"/>
        </w:rPr>
        <w:t xml:space="preserve">Overview of </w:t>
      </w:r>
      <w:r w:rsidR="001F68DD" w:rsidRPr="00BC5524">
        <w:rPr>
          <w:rFonts w:cs="Times New Roman"/>
          <w:b/>
          <w:sz w:val="24"/>
          <w:szCs w:val="24"/>
        </w:rPr>
        <w:t>sample sizes</w:t>
      </w:r>
      <w:r w:rsidRPr="00BC5524">
        <w:rPr>
          <w:rFonts w:cs="Times New Roman"/>
          <w:b/>
          <w:sz w:val="24"/>
          <w:szCs w:val="24"/>
        </w:rPr>
        <w:t xml:space="preserve">. </w:t>
      </w:r>
      <w:r w:rsidR="00D7129A" w:rsidRPr="00BC5524">
        <w:rPr>
          <w:rFonts w:cs="Times New Roman"/>
          <w:sz w:val="24"/>
          <w:szCs w:val="24"/>
        </w:rPr>
        <w:t xml:space="preserve">110 isolates were excluded from the study either due to missing clinical information or due to inadequate sample acquisition or preparation (e.g., because of samples from non-sterile sites or due to contaminants). </w:t>
      </w:r>
      <w:r w:rsidR="00D7129A" w:rsidRPr="00BC5524">
        <w:rPr>
          <w:sz w:val="24"/>
          <w:szCs w:val="24"/>
        </w:rPr>
        <w:t>All isolates were tested for antibiotic resistance and capsular phenotype by latex agglutination. A predefined number of isolates was subjected to capsular genotyping and to pilus island multiplex PCR analysis, respectively (for details see Materials and methods section). Because penicillin sensitivity implies ampicillin sensitivity, only a subset of isolates was tested for ampicillin resistance.</w:t>
      </w:r>
      <w:r w:rsidR="00CC2E97" w:rsidRPr="00BC5524">
        <w:rPr>
          <w:rFonts w:cs="Times New Roman"/>
          <w:sz w:val="24"/>
          <w:szCs w:val="24"/>
        </w:rPr>
        <w:t xml:space="preserve"> </w:t>
      </w:r>
    </w:p>
    <w:p w14:paraId="43C5425D" w14:textId="6780CF22" w:rsidR="00BC5524" w:rsidRPr="00BC5524" w:rsidRDefault="00BC5524" w:rsidP="00484CE7">
      <w:pPr>
        <w:spacing w:line="480" w:lineRule="auto"/>
        <w:jc w:val="both"/>
        <w:rPr>
          <w:rFonts w:cs="Times New Roman"/>
          <w:sz w:val="24"/>
          <w:szCs w:val="24"/>
        </w:rPr>
      </w:pPr>
      <w:r w:rsidRPr="00BC5524">
        <w:rPr>
          <w:rFonts w:cs="Times New Roman"/>
          <w:b/>
          <w:bCs/>
          <w:noProof/>
          <w:sz w:val="24"/>
          <w:szCs w:val="24"/>
          <w:lang w:val="de-DE"/>
        </w:rPr>
        <mc:AlternateContent>
          <mc:Choice Requires="wpg">
            <w:drawing>
              <wp:anchor distT="0" distB="0" distL="114300" distR="114300" simplePos="0" relativeHeight="251659776" behindDoc="0" locked="0" layoutInCell="1" allowOverlap="1" wp14:anchorId="4DB89297" wp14:editId="08886B04">
                <wp:simplePos x="0" y="0"/>
                <wp:positionH relativeFrom="column">
                  <wp:posOffset>1335405</wp:posOffset>
                </wp:positionH>
                <wp:positionV relativeFrom="paragraph">
                  <wp:posOffset>220980</wp:posOffset>
                </wp:positionV>
                <wp:extent cx="3059430" cy="2541905"/>
                <wp:effectExtent l="0" t="0" r="26670" b="10795"/>
                <wp:wrapNone/>
                <wp:docPr id="2" name="Gruppieren 1"/>
                <wp:cNvGraphicFramePr/>
                <a:graphic xmlns:a="http://schemas.openxmlformats.org/drawingml/2006/main">
                  <a:graphicData uri="http://schemas.microsoft.com/office/word/2010/wordprocessingGroup">
                    <wpg:wgp>
                      <wpg:cNvGrpSpPr/>
                      <wpg:grpSpPr>
                        <a:xfrm>
                          <a:off x="0" y="0"/>
                          <a:ext cx="3059430" cy="2541905"/>
                          <a:chOff x="0" y="0"/>
                          <a:chExt cx="3060000" cy="2542479"/>
                        </a:xfrm>
                      </wpg:grpSpPr>
                      <wps:wsp>
                        <wps:cNvPr id="3" name="Gerade Verbindung 3"/>
                        <wps:cNvCnPr/>
                        <wps:spPr>
                          <a:xfrm>
                            <a:off x="1512000" y="1384457"/>
                            <a:ext cx="0" cy="2587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Gerade Verbindung 4"/>
                        <wps:cNvCnPr/>
                        <wps:spPr>
                          <a:xfrm>
                            <a:off x="2538000" y="1384457"/>
                            <a:ext cx="0" cy="2587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486000" y="1384457"/>
                            <a:ext cx="0" cy="2587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a:stCxn id="7" idx="2"/>
                          <a:endCxn id="8" idx="0"/>
                        </wps:cNvCnPr>
                        <wps:spPr>
                          <a:xfrm>
                            <a:off x="1530000" y="404867"/>
                            <a:ext cx="0" cy="2587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echteck 7"/>
                        <wps:cNvSpPr/>
                        <wps:spPr>
                          <a:xfrm>
                            <a:off x="0" y="0"/>
                            <a:ext cx="3060000" cy="40486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9B50B"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1088 isolates sent to study center</w:t>
                              </w:r>
                            </w:p>
                          </w:txbxContent>
                        </wps:txbx>
                        <wps:bodyPr rtlCol="0" anchor="ctr"/>
                      </wps:wsp>
                      <wps:wsp>
                        <wps:cNvPr id="8" name="Rechteck 8"/>
                        <wps:cNvSpPr/>
                        <wps:spPr>
                          <a:xfrm>
                            <a:off x="0" y="663633"/>
                            <a:ext cx="3060000" cy="7200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1CD42"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978 isolates fulfilled quality criteria; </w:t>
                              </w:r>
                            </w:p>
                            <w:p w14:paraId="454C4367"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Capsular serotype, antibiotic resistance and clinical data analyzed  </w:t>
                              </w:r>
                            </w:p>
                          </w:txbxContent>
                        </wps:txbx>
                        <wps:bodyPr rtlCol="0" anchor="ctr"/>
                      </wps:wsp>
                      <wps:wsp>
                        <wps:cNvPr id="9" name="Rechteck 9"/>
                        <wps:cNvSpPr/>
                        <wps:spPr>
                          <a:xfrm>
                            <a:off x="0" y="1642479"/>
                            <a:ext cx="972000" cy="90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8619A"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173 isolates used for </w:t>
                              </w:r>
                            </w:p>
                            <w:p w14:paraId="5FD537BF"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pilus antigen analysis</w:t>
                              </w:r>
                            </w:p>
                          </w:txbxContent>
                        </wps:txbx>
                        <wps:bodyPr rtlCol="0" anchor="ctr"/>
                      </wps:wsp>
                      <wps:wsp>
                        <wps:cNvPr id="10" name="Rechteck 10"/>
                        <wps:cNvSpPr/>
                        <wps:spPr>
                          <a:xfrm>
                            <a:off x="1026000" y="1642479"/>
                            <a:ext cx="972000" cy="90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618C6"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281 isolates used for capsular genotyping</w:t>
                              </w:r>
                            </w:p>
                          </w:txbxContent>
                        </wps:txbx>
                        <wps:bodyPr rtlCol="0" anchor="ctr"/>
                      </wps:wsp>
                      <wps:wsp>
                        <wps:cNvPr id="11" name="Rechteck 11"/>
                        <wps:cNvSpPr/>
                        <wps:spPr>
                          <a:xfrm>
                            <a:off x="2052000" y="1642479"/>
                            <a:ext cx="972000" cy="90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4A6A2"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 xml:space="preserve">386 </w:t>
                              </w:r>
                              <w:r>
                                <w:rPr>
                                  <w:rFonts w:asciiTheme="minorHAnsi" w:hAnsi="Calibri" w:cstheme="minorBidi"/>
                                  <w:color w:val="000000" w:themeColor="text1"/>
                                  <w:kern w:val="24"/>
                                  <w:sz w:val="22"/>
                                  <w:szCs w:val="22"/>
                                </w:rPr>
                                <w:t>isolates tested for ampicillin resistance</w:t>
                              </w:r>
                            </w:p>
                          </w:txbxContent>
                        </wps:txbx>
                        <wps:bodyPr rtlCol="0" anchor="ctr"/>
                      </wps:wsp>
                    </wpg:wgp>
                  </a:graphicData>
                </a:graphic>
              </wp:anchor>
            </w:drawing>
          </mc:Choice>
          <mc:Fallback>
            <w:pict>
              <v:group w14:anchorId="4DB89297" id="Gruppieren 1" o:spid="_x0000_s1026" style="position:absolute;left:0;text-align:left;margin-left:105.15pt;margin-top:17.4pt;width:240.9pt;height:200.15pt;z-index:251659776" coordsize="30600,2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">
                <v:line id="Gerade Verbindung 3" o:spid="_x0000_s1027" style="position:absolute;visibility:visible;mso-wrap-style:square" from="15120,13844" to="15120,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Gerade Verbindung 4" o:spid="_x0000_s1028" style="position:absolute;visibility:visible;mso-wrap-style:square" from="25380,13844" to="25380,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" strokecolor="black [3213]" strokeweight="1pt"/>
                <v:line id="Gerade Verbindung 5" o:spid="_x0000_s1029" style="position:absolute;visibility:visible;mso-wrap-style:square" from="4860,13844" to="4860,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" strokecolor="black [3213]" strokeweight="1pt"/>
                <v:line id="Gerade Verbindung 6" o:spid="_x0000_s1030" style="position:absolute;visibility:visible;mso-wrap-style:square" from="15300,4048" to="15300,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" strokecolor="black [3213]" strokeweight="1pt"/>
                <v:rect id="Rechteck 7" o:spid="_x0000_s1031" style="position:absolute;width:30600;height: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14:paraId="0689B50B"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1088 isolates sent to study center</w:t>
                        </w:r>
                      </w:p>
                    </w:txbxContent>
                  </v:textbox>
                </v:rect>
                <v:rect id="Rechteck 8" o:spid="_x0000_s1032" style="position:absolute;top:6636;width:30600;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67A1CD42"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978 isolates fulfilled quality criteria; </w:t>
                        </w:r>
                      </w:p>
                      <w:p w14:paraId="454C4367"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Capsular serotype, antibiotic resistance and clinical data analyzed  </w:t>
                        </w:r>
                      </w:p>
                    </w:txbxContent>
                  </v:textbox>
                </v:rect>
                <v:rect id="Rechteck 9" o:spid="_x0000_s1033" style="position:absolute;top:16424;width:97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5C48619A"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 xml:space="preserve">173 isolates used for </w:t>
                        </w:r>
                      </w:p>
                      <w:p w14:paraId="5FD537BF" w14:textId="77777777" w:rsidR="009C77A7" w:rsidRPr="009C77A7" w:rsidRDefault="009C77A7" w:rsidP="009C77A7">
                        <w:pPr>
                          <w:pStyle w:val="NormalWeb"/>
                          <w:spacing w:before="0" w:beforeAutospacing="0" w:after="0" w:afterAutospacing="0"/>
                          <w:jc w:val="center"/>
                          <w:rPr>
                            <w:lang w:val="en-US"/>
                          </w:rPr>
                        </w:pPr>
                        <w:r w:rsidRPr="009C77A7">
                          <w:rPr>
                            <w:rFonts w:asciiTheme="minorHAnsi" w:hAnsi="Calibri" w:cstheme="minorBidi"/>
                            <w:color w:val="000000" w:themeColor="text1"/>
                            <w:kern w:val="24"/>
                            <w:sz w:val="22"/>
                            <w:szCs w:val="22"/>
                            <w:lang w:val="en-US"/>
                          </w:rPr>
                          <w:t>pilus antigen analysis</w:t>
                        </w:r>
                      </w:p>
                    </w:txbxContent>
                  </v:textbox>
                </v:rect>
                <v:rect id="Rechteck 10" o:spid="_x0000_s1034" style="position:absolute;left:10260;top:16424;width:97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535618C6"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281 isolates used for capsular genotyping</w:t>
                        </w:r>
                      </w:p>
                    </w:txbxContent>
                  </v:textbox>
                </v:rect>
                <v:rect id="Rechteck 11" o:spid="_x0000_s1035" style="position:absolute;left:20520;top:16424;width:97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31E4A6A2" w14:textId="77777777" w:rsidR="009C77A7" w:rsidRDefault="009C77A7" w:rsidP="009C77A7">
                        <w:pPr>
                          <w:pStyle w:val="NormalWeb"/>
                          <w:spacing w:before="0" w:beforeAutospacing="0" w:after="0" w:afterAutospacing="0"/>
                          <w:jc w:val="center"/>
                        </w:pPr>
                        <w:r>
                          <w:rPr>
                            <w:rFonts w:asciiTheme="minorHAnsi" w:hAnsi="Calibri" w:cstheme="minorBidi"/>
                            <w:color w:val="000000" w:themeColor="text1"/>
                            <w:kern w:val="24"/>
                            <w:sz w:val="22"/>
                            <w:szCs w:val="22"/>
                          </w:rPr>
                          <w:t xml:space="preserve">386 </w:t>
                        </w:r>
                        <w:r>
                          <w:rPr>
                            <w:rFonts w:asciiTheme="minorHAnsi" w:hAnsi="Calibri" w:cstheme="minorBidi"/>
                            <w:color w:val="000000" w:themeColor="text1"/>
                            <w:kern w:val="24"/>
                            <w:sz w:val="22"/>
                            <w:szCs w:val="22"/>
                          </w:rPr>
                          <w:t>isolates tested for ampicillin resistance</w:t>
                        </w:r>
                      </w:p>
                    </w:txbxContent>
                  </v:textbox>
                </v:rect>
              </v:group>
            </w:pict>
          </mc:Fallback>
        </mc:AlternateContent>
      </w:r>
    </w:p>
    <w:sectPr w:rsidR="00BC5524" w:rsidRPr="00BC5524" w:rsidSect="00BC5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9F"/>
    <w:rsid w:val="00064540"/>
    <w:rsid w:val="000719D9"/>
    <w:rsid w:val="00093FAD"/>
    <w:rsid w:val="000A7723"/>
    <w:rsid w:val="000C2C1C"/>
    <w:rsid w:val="000E25AE"/>
    <w:rsid w:val="00113231"/>
    <w:rsid w:val="00113AD5"/>
    <w:rsid w:val="001872A1"/>
    <w:rsid w:val="001A61B4"/>
    <w:rsid w:val="001F68DD"/>
    <w:rsid w:val="002C344B"/>
    <w:rsid w:val="002F0707"/>
    <w:rsid w:val="00460A72"/>
    <w:rsid w:val="00484CE7"/>
    <w:rsid w:val="00506F0F"/>
    <w:rsid w:val="00520D88"/>
    <w:rsid w:val="00527F86"/>
    <w:rsid w:val="005621B2"/>
    <w:rsid w:val="00565BFE"/>
    <w:rsid w:val="00567FC1"/>
    <w:rsid w:val="005C0160"/>
    <w:rsid w:val="005D56E4"/>
    <w:rsid w:val="005D7BC5"/>
    <w:rsid w:val="005E5E10"/>
    <w:rsid w:val="0060483E"/>
    <w:rsid w:val="0065300C"/>
    <w:rsid w:val="006613AC"/>
    <w:rsid w:val="006A4B5F"/>
    <w:rsid w:val="006D4566"/>
    <w:rsid w:val="007B09C6"/>
    <w:rsid w:val="007D142D"/>
    <w:rsid w:val="007E0667"/>
    <w:rsid w:val="00811253"/>
    <w:rsid w:val="00856D94"/>
    <w:rsid w:val="008621E3"/>
    <w:rsid w:val="00987CE9"/>
    <w:rsid w:val="009C77A7"/>
    <w:rsid w:val="009D57EB"/>
    <w:rsid w:val="00A06020"/>
    <w:rsid w:val="00A13B4A"/>
    <w:rsid w:val="00A46C9C"/>
    <w:rsid w:val="00A95D34"/>
    <w:rsid w:val="00AC229F"/>
    <w:rsid w:val="00AD048C"/>
    <w:rsid w:val="00AF0125"/>
    <w:rsid w:val="00B42F3F"/>
    <w:rsid w:val="00B724FD"/>
    <w:rsid w:val="00B77AFA"/>
    <w:rsid w:val="00B77B99"/>
    <w:rsid w:val="00BC5524"/>
    <w:rsid w:val="00C0780B"/>
    <w:rsid w:val="00C145A2"/>
    <w:rsid w:val="00C93A3A"/>
    <w:rsid w:val="00CC2D6F"/>
    <w:rsid w:val="00CC2E97"/>
    <w:rsid w:val="00D7129A"/>
    <w:rsid w:val="00D87225"/>
    <w:rsid w:val="00DF7148"/>
    <w:rsid w:val="00F035AF"/>
    <w:rsid w:val="00F055DA"/>
    <w:rsid w:val="00F72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BCB5"/>
  <w15:docId w15:val="{B4AD3D8D-241A-451D-956E-32C6133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67"/>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E0667"/>
  </w:style>
  <w:style w:type="paragraph" w:styleId="BalloonText">
    <w:name w:val="Balloon Text"/>
    <w:basedOn w:val="Normal"/>
    <w:link w:val="BalloonTextChar"/>
    <w:uiPriority w:val="99"/>
    <w:semiHidden/>
    <w:unhideWhenUsed/>
    <w:rsid w:val="00C145A2"/>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145A2"/>
    <w:rPr>
      <w:rFonts w:ascii="Times New Roman" w:hAnsi="Times New Roman" w:cs="Times New Roman"/>
      <w:sz w:val="18"/>
      <w:szCs w:val="18"/>
      <w:lang w:val="en-US"/>
    </w:rPr>
  </w:style>
  <w:style w:type="paragraph" w:styleId="NormalWeb">
    <w:name w:val="Normal (Web)"/>
    <w:basedOn w:val="Normal"/>
    <w:uiPriority w:val="99"/>
    <w:semiHidden/>
    <w:unhideWhenUsed/>
    <w:rsid w:val="009C77A7"/>
    <w:pPr>
      <w:spacing w:before="100" w:beforeAutospacing="1" w:after="100" w:afterAutospacing="1" w:line="240" w:lineRule="auto"/>
    </w:pPr>
    <w:rPr>
      <w:rFonts w:eastAsiaTheme="minorEastAsi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Florens Lohrmann</dc:creator>
  <cp:lastModifiedBy>Amy Sue Newman</cp:lastModifiedBy>
  <cp:revision>2</cp:revision>
  <dcterms:created xsi:type="dcterms:W3CDTF">2020-09-10T19:17:00Z</dcterms:created>
  <dcterms:modified xsi:type="dcterms:W3CDTF">2020-09-10T19:17:00Z</dcterms:modified>
</cp:coreProperties>
</file>