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31818" w14:textId="77777777" w:rsidR="00FC4912" w:rsidRPr="00372971" w:rsidRDefault="00FC4912" w:rsidP="003729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Digital Content 3: </w:t>
      </w:r>
      <w:r w:rsidRPr="00372971">
        <w:rPr>
          <w:rFonts w:ascii="Times New Roman" w:hAnsi="Times New Roman" w:cs="Times New Roman"/>
          <w:sz w:val="24"/>
          <w:szCs w:val="24"/>
          <w:lang w:val="en-US"/>
        </w:rPr>
        <w:t>All treatment-emergent adverse events occurring during the first 3 days of IV therapy, while on IV therapy, and throughout the entire study duration (Safety population)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1510"/>
        <w:gridCol w:w="1657"/>
        <w:gridCol w:w="1510"/>
        <w:gridCol w:w="1657"/>
        <w:gridCol w:w="1510"/>
        <w:gridCol w:w="1657"/>
      </w:tblGrid>
      <w:tr w:rsidR="00FC4912" w:rsidRPr="00372971" w14:paraId="4054558F" w14:textId="77777777" w:rsidTr="00450B7E">
        <w:trPr>
          <w:trHeight w:val="170"/>
        </w:trPr>
        <w:tc>
          <w:tcPr>
            <w:tcW w:w="160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D0417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6D1A1F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First 3 days of IV therapy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FFC91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While on IV therapy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91055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Overall study duration*</w:t>
            </w:r>
          </w:p>
        </w:tc>
      </w:tr>
      <w:tr w:rsidR="00FC4912" w:rsidRPr="00372971" w14:paraId="4CA90E84" w14:textId="77777777" w:rsidTr="00450B7E">
        <w:tc>
          <w:tcPr>
            <w:tcW w:w="16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633021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Treatment-emergent adverse events, </w:t>
            </w: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n (%)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3A5262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Ceftobiprole</w:t>
            </w: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(n=94)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773EC2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 SoC cephalosporin</w:t>
            </w: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(n=44)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AF8B6B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Ceftobiprole</w:t>
            </w: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(n=94)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8453C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 SoC cephalosporin</w:t>
            </w: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(n=44)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EACD7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Ceftobiprole</w:t>
            </w: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(n=94)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89B31C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 SoC cephalosporin</w:t>
            </w:r>
            <w:r w:rsidRPr="00372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(n=44)</w:t>
            </w:r>
          </w:p>
        </w:tc>
      </w:tr>
      <w:tr w:rsidR="00FC4912" w:rsidRPr="00372971" w14:paraId="12FBB5B9" w14:textId="77777777" w:rsidTr="00450B7E">
        <w:tc>
          <w:tcPr>
            <w:tcW w:w="1607" w:type="pct"/>
            <w:shd w:val="clear" w:color="auto" w:fill="FFFFFF" w:themeFill="background1"/>
          </w:tcPr>
          <w:p w14:paraId="0C9EB386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Vomiting</w:t>
            </w:r>
          </w:p>
        </w:tc>
        <w:tc>
          <w:tcPr>
            <w:tcW w:w="548" w:type="pct"/>
            <w:shd w:val="clear" w:color="auto" w:fill="FFFFFF" w:themeFill="background1"/>
          </w:tcPr>
          <w:p w14:paraId="3F59DFCA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(3.2)</w:t>
            </w:r>
          </w:p>
        </w:tc>
        <w:tc>
          <w:tcPr>
            <w:tcW w:w="583" w:type="pct"/>
            <w:shd w:val="clear" w:color="auto" w:fill="FFFFFF" w:themeFill="background1"/>
          </w:tcPr>
          <w:p w14:paraId="75EB267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59308F02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(4.3)</w:t>
            </w:r>
          </w:p>
        </w:tc>
        <w:tc>
          <w:tcPr>
            <w:tcW w:w="583" w:type="pct"/>
            <w:shd w:val="clear" w:color="auto" w:fill="FFFFFF" w:themeFill="background1"/>
          </w:tcPr>
          <w:p w14:paraId="36EB1479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548" w:type="pct"/>
            <w:shd w:val="clear" w:color="auto" w:fill="FFFFFF" w:themeFill="background1"/>
          </w:tcPr>
          <w:p w14:paraId="737D2A24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(7.4)</w:t>
            </w:r>
          </w:p>
        </w:tc>
        <w:tc>
          <w:tcPr>
            <w:tcW w:w="583" w:type="pct"/>
            <w:shd w:val="clear" w:color="auto" w:fill="FFFFFF" w:themeFill="background1"/>
          </w:tcPr>
          <w:p w14:paraId="23C68C29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</w:tr>
      <w:tr w:rsidR="00FC4912" w:rsidRPr="00372971" w14:paraId="2D2264F7" w14:textId="77777777" w:rsidTr="00450B7E">
        <w:tc>
          <w:tcPr>
            <w:tcW w:w="1607" w:type="pct"/>
            <w:shd w:val="clear" w:color="auto" w:fill="FFFFFF" w:themeFill="background1"/>
          </w:tcPr>
          <w:p w14:paraId="5D772FDB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Diarrhea</w:t>
            </w:r>
          </w:p>
        </w:tc>
        <w:tc>
          <w:tcPr>
            <w:tcW w:w="548" w:type="pct"/>
            <w:shd w:val="clear" w:color="auto" w:fill="FFFFFF" w:themeFill="background1"/>
          </w:tcPr>
          <w:p w14:paraId="4073C07F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33AC9D1B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(4.5)</w:t>
            </w:r>
          </w:p>
        </w:tc>
        <w:tc>
          <w:tcPr>
            <w:tcW w:w="548" w:type="pct"/>
            <w:shd w:val="clear" w:color="auto" w:fill="FFFFFF" w:themeFill="background1"/>
          </w:tcPr>
          <w:p w14:paraId="0013EDE7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179A694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(9.1)</w:t>
            </w:r>
          </w:p>
        </w:tc>
        <w:tc>
          <w:tcPr>
            <w:tcW w:w="548" w:type="pct"/>
            <w:shd w:val="clear" w:color="auto" w:fill="FFFFFF" w:themeFill="background1"/>
          </w:tcPr>
          <w:p w14:paraId="19C5584F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(2.1)</w:t>
            </w:r>
          </w:p>
        </w:tc>
        <w:tc>
          <w:tcPr>
            <w:tcW w:w="583" w:type="pct"/>
            <w:shd w:val="clear" w:color="auto" w:fill="FFFFFF" w:themeFill="background1"/>
          </w:tcPr>
          <w:p w14:paraId="42D98078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(9.1)</w:t>
            </w:r>
          </w:p>
        </w:tc>
      </w:tr>
      <w:tr w:rsidR="00FC4912" w:rsidRPr="00372971" w14:paraId="73C04599" w14:textId="77777777" w:rsidTr="00450B7E">
        <w:tc>
          <w:tcPr>
            <w:tcW w:w="1607" w:type="pct"/>
            <w:shd w:val="clear" w:color="auto" w:fill="FFFFFF" w:themeFill="background1"/>
          </w:tcPr>
          <w:p w14:paraId="1B88122D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Viral infection</w:t>
            </w:r>
          </w:p>
        </w:tc>
        <w:tc>
          <w:tcPr>
            <w:tcW w:w="548" w:type="pct"/>
            <w:shd w:val="clear" w:color="auto" w:fill="FFFFFF" w:themeFill="background1"/>
          </w:tcPr>
          <w:p w14:paraId="4E2E15E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590AF251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548" w:type="pct"/>
            <w:shd w:val="clear" w:color="auto" w:fill="FFFFFF" w:themeFill="background1"/>
          </w:tcPr>
          <w:p w14:paraId="13FEFE7F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(2.1)</w:t>
            </w:r>
          </w:p>
        </w:tc>
        <w:tc>
          <w:tcPr>
            <w:tcW w:w="583" w:type="pct"/>
            <w:shd w:val="clear" w:color="auto" w:fill="FFFFFF" w:themeFill="background1"/>
          </w:tcPr>
          <w:p w14:paraId="38760549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548" w:type="pct"/>
            <w:shd w:val="clear" w:color="auto" w:fill="FFFFFF" w:themeFill="background1"/>
          </w:tcPr>
          <w:p w14:paraId="22B58F5F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(4.3)</w:t>
            </w:r>
          </w:p>
        </w:tc>
        <w:tc>
          <w:tcPr>
            <w:tcW w:w="583" w:type="pct"/>
            <w:shd w:val="clear" w:color="auto" w:fill="FFFFFF" w:themeFill="background1"/>
          </w:tcPr>
          <w:p w14:paraId="2A49FECA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</w:tr>
      <w:tr w:rsidR="00FC4912" w:rsidRPr="00372971" w14:paraId="7E20B696" w14:textId="77777777" w:rsidTr="00450B7E">
        <w:tc>
          <w:tcPr>
            <w:tcW w:w="1607" w:type="pct"/>
            <w:shd w:val="clear" w:color="auto" w:fill="FFFFFF" w:themeFill="background1"/>
          </w:tcPr>
          <w:p w14:paraId="323B03F5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Headache</w:t>
            </w:r>
          </w:p>
        </w:tc>
        <w:tc>
          <w:tcPr>
            <w:tcW w:w="548" w:type="pct"/>
            <w:shd w:val="clear" w:color="auto" w:fill="FFFFFF" w:themeFill="background1"/>
          </w:tcPr>
          <w:p w14:paraId="1D138DC5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(2.1)</w:t>
            </w:r>
          </w:p>
        </w:tc>
        <w:tc>
          <w:tcPr>
            <w:tcW w:w="583" w:type="pct"/>
            <w:shd w:val="clear" w:color="auto" w:fill="FFFFFF" w:themeFill="background1"/>
          </w:tcPr>
          <w:p w14:paraId="1232882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379DDB85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(3.2)</w:t>
            </w:r>
          </w:p>
        </w:tc>
        <w:tc>
          <w:tcPr>
            <w:tcW w:w="583" w:type="pct"/>
            <w:shd w:val="clear" w:color="auto" w:fill="FFFFFF" w:themeFill="background1"/>
          </w:tcPr>
          <w:p w14:paraId="3DFB3C42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6A4379A1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(3.2)</w:t>
            </w:r>
          </w:p>
        </w:tc>
        <w:tc>
          <w:tcPr>
            <w:tcW w:w="583" w:type="pct"/>
            <w:shd w:val="clear" w:color="auto" w:fill="FFFFFF" w:themeFill="background1"/>
          </w:tcPr>
          <w:p w14:paraId="399E0488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39396B70" w14:textId="77777777" w:rsidTr="00450B7E">
        <w:tc>
          <w:tcPr>
            <w:tcW w:w="1607" w:type="pct"/>
            <w:shd w:val="clear" w:color="auto" w:fill="FFFFFF" w:themeFill="background1"/>
          </w:tcPr>
          <w:p w14:paraId="480988E2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</w:t>
            </w:r>
          </w:p>
        </w:tc>
        <w:tc>
          <w:tcPr>
            <w:tcW w:w="548" w:type="pct"/>
            <w:shd w:val="clear" w:color="auto" w:fill="FFFFFF" w:themeFill="background1"/>
          </w:tcPr>
          <w:p w14:paraId="30D531A0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7DDD93B3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38782C4B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7548133B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6916C467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(3.2)</w:t>
            </w:r>
          </w:p>
        </w:tc>
        <w:tc>
          <w:tcPr>
            <w:tcW w:w="583" w:type="pct"/>
            <w:shd w:val="clear" w:color="auto" w:fill="FFFFFF" w:themeFill="background1"/>
          </w:tcPr>
          <w:p w14:paraId="29799AEE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14C9B17C" w14:textId="77777777" w:rsidTr="00450B7E">
        <w:tc>
          <w:tcPr>
            <w:tcW w:w="1607" w:type="pct"/>
            <w:shd w:val="clear" w:color="auto" w:fill="FFFFFF" w:themeFill="background1"/>
          </w:tcPr>
          <w:p w14:paraId="6ADB6C65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 increased</w:t>
            </w:r>
          </w:p>
        </w:tc>
        <w:tc>
          <w:tcPr>
            <w:tcW w:w="548" w:type="pct"/>
            <w:shd w:val="clear" w:color="auto" w:fill="FFFFFF" w:themeFill="background1"/>
          </w:tcPr>
          <w:p w14:paraId="7EDA4E2E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17F645B5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5DDCE221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7DDC00B9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7C14B942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(2.1)</w:t>
            </w:r>
          </w:p>
        </w:tc>
        <w:tc>
          <w:tcPr>
            <w:tcW w:w="583" w:type="pct"/>
            <w:shd w:val="clear" w:color="auto" w:fill="FFFFFF" w:themeFill="background1"/>
          </w:tcPr>
          <w:p w14:paraId="4214032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004C022B" w14:textId="77777777" w:rsidTr="00450B7E">
        <w:tc>
          <w:tcPr>
            <w:tcW w:w="1607" w:type="pct"/>
            <w:shd w:val="clear" w:color="auto" w:fill="FFFFFF" w:themeFill="background1"/>
          </w:tcPr>
          <w:p w14:paraId="18AA8C02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Bronchitis</w:t>
            </w:r>
          </w:p>
        </w:tc>
        <w:tc>
          <w:tcPr>
            <w:tcW w:w="548" w:type="pct"/>
            <w:shd w:val="clear" w:color="auto" w:fill="FFFFFF" w:themeFill="background1"/>
          </w:tcPr>
          <w:p w14:paraId="61C9F7C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1C3358F9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78E90D7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1FB6733C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356F98F1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154B2EB8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(4.5)</w:t>
            </w:r>
          </w:p>
        </w:tc>
      </w:tr>
      <w:tr w:rsidR="00FC4912" w:rsidRPr="00372971" w14:paraId="62A2192B" w14:textId="77777777" w:rsidTr="00450B7E">
        <w:tc>
          <w:tcPr>
            <w:tcW w:w="1607" w:type="pct"/>
            <w:shd w:val="clear" w:color="auto" w:fill="FFFFFF" w:themeFill="background1"/>
          </w:tcPr>
          <w:p w14:paraId="7EFBDD5F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Infusion site reaction</w:t>
            </w:r>
          </w:p>
        </w:tc>
        <w:tc>
          <w:tcPr>
            <w:tcW w:w="548" w:type="pct"/>
            <w:shd w:val="clear" w:color="auto" w:fill="FFFFFF" w:themeFill="background1"/>
          </w:tcPr>
          <w:p w14:paraId="1F6876BB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059FB77C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5B4EB177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(2.1)</w:t>
            </w:r>
          </w:p>
        </w:tc>
        <w:tc>
          <w:tcPr>
            <w:tcW w:w="583" w:type="pct"/>
            <w:shd w:val="clear" w:color="auto" w:fill="FFFFFF" w:themeFill="background1"/>
          </w:tcPr>
          <w:p w14:paraId="74FAFC84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5BB64F6F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(2.1)</w:t>
            </w:r>
          </w:p>
        </w:tc>
        <w:tc>
          <w:tcPr>
            <w:tcW w:w="583" w:type="pct"/>
            <w:shd w:val="clear" w:color="auto" w:fill="FFFFFF" w:themeFill="background1"/>
          </w:tcPr>
          <w:p w14:paraId="7C123C59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1D56BF84" w14:textId="77777777" w:rsidTr="00450B7E">
        <w:tc>
          <w:tcPr>
            <w:tcW w:w="1607" w:type="pct"/>
            <w:shd w:val="clear" w:color="auto" w:fill="FFFFFF" w:themeFill="background1"/>
          </w:tcPr>
          <w:p w14:paraId="7FAC63C1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Neutropenia</w:t>
            </w:r>
          </w:p>
        </w:tc>
        <w:tc>
          <w:tcPr>
            <w:tcW w:w="548" w:type="pct"/>
            <w:shd w:val="clear" w:color="auto" w:fill="FFFFFF" w:themeFill="background1"/>
          </w:tcPr>
          <w:p w14:paraId="137BDADA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11879AD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1A4CD692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10D0610E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25280A8A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0C29094E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</w:tr>
      <w:tr w:rsidR="00FC4912" w:rsidRPr="00372971" w14:paraId="363E6BFB" w14:textId="77777777" w:rsidTr="00450B7E">
        <w:tc>
          <w:tcPr>
            <w:tcW w:w="1607" w:type="pct"/>
            <w:shd w:val="clear" w:color="auto" w:fill="FFFFFF" w:themeFill="background1"/>
          </w:tcPr>
          <w:p w14:paraId="23FDFE0D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Phlebitis</w:t>
            </w:r>
          </w:p>
        </w:tc>
        <w:tc>
          <w:tcPr>
            <w:tcW w:w="548" w:type="pct"/>
            <w:shd w:val="clear" w:color="auto" w:fill="FFFFFF" w:themeFill="background1"/>
          </w:tcPr>
          <w:p w14:paraId="6207FD0E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6783F519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4C5EB951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68F82E37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1411F35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(2.1)</w:t>
            </w:r>
          </w:p>
        </w:tc>
        <w:tc>
          <w:tcPr>
            <w:tcW w:w="583" w:type="pct"/>
            <w:shd w:val="clear" w:color="auto" w:fill="FFFFFF" w:themeFill="background1"/>
          </w:tcPr>
          <w:p w14:paraId="0FB1E22C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126F235D" w14:textId="77777777" w:rsidTr="00450B7E">
        <w:tc>
          <w:tcPr>
            <w:tcW w:w="1607" w:type="pct"/>
            <w:shd w:val="clear" w:color="auto" w:fill="FFFFFF" w:themeFill="background1"/>
          </w:tcPr>
          <w:p w14:paraId="13C1464A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Pyrexia</w:t>
            </w:r>
          </w:p>
        </w:tc>
        <w:tc>
          <w:tcPr>
            <w:tcW w:w="548" w:type="pct"/>
            <w:shd w:val="clear" w:color="auto" w:fill="FFFFFF" w:themeFill="background1"/>
          </w:tcPr>
          <w:p w14:paraId="78B25102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6BDAA88B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3E80CF3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6E9A280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2AFF67F8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(2.1)</w:t>
            </w:r>
          </w:p>
        </w:tc>
        <w:tc>
          <w:tcPr>
            <w:tcW w:w="583" w:type="pct"/>
            <w:shd w:val="clear" w:color="auto" w:fill="FFFFFF" w:themeFill="background1"/>
          </w:tcPr>
          <w:p w14:paraId="234468A4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72CC4F83" w14:textId="77777777" w:rsidTr="00450B7E">
        <w:tc>
          <w:tcPr>
            <w:tcW w:w="1607" w:type="pct"/>
            <w:shd w:val="clear" w:color="auto" w:fill="FFFFFF" w:themeFill="background1"/>
          </w:tcPr>
          <w:p w14:paraId="4CAC5AB6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Urticaria</w:t>
            </w:r>
          </w:p>
        </w:tc>
        <w:tc>
          <w:tcPr>
            <w:tcW w:w="548" w:type="pct"/>
            <w:shd w:val="clear" w:color="auto" w:fill="FFFFFF" w:themeFill="background1"/>
          </w:tcPr>
          <w:p w14:paraId="0B20CD3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046E5DD4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19123821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6B00009C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7A244A78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5D49C9B7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</w:tr>
      <w:tr w:rsidR="00FC4912" w:rsidRPr="00372971" w14:paraId="681117FB" w14:textId="77777777" w:rsidTr="00450B7E">
        <w:tc>
          <w:tcPr>
            <w:tcW w:w="1607" w:type="pct"/>
            <w:shd w:val="clear" w:color="auto" w:fill="FFFFFF" w:themeFill="background1"/>
          </w:tcPr>
          <w:p w14:paraId="23135339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Abdominal pain</w:t>
            </w:r>
          </w:p>
        </w:tc>
        <w:tc>
          <w:tcPr>
            <w:tcW w:w="548" w:type="pct"/>
            <w:shd w:val="clear" w:color="auto" w:fill="FFFFFF" w:themeFill="background1"/>
          </w:tcPr>
          <w:p w14:paraId="376C6449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54500F4C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1E67BB17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0C812B17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548" w:type="pct"/>
            <w:shd w:val="clear" w:color="auto" w:fill="FFFFFF" w:themeFill="background1"/>
          </w:tcPr>
          <w:p w14:paraId="525EBAA4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172B02A4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</w:tr>
      <w:tr w:rsidR="00FC4912" w:rsidRPr="00372971" w14:paraId="3792E696" w14:textId="77777777" w:rsidTr="00450B7E">
        <w:tc>
          <w:tcPr>
            <w:tcW w:w="1607" w:type="pct"/>
            <w:shd w:val="clear" w:color="auto" w:fill="FFFFFF" w:themeFill="background1"/>
          </w:tcPr>
          <w:p w14:paraId="72D1E02E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 increased</w:t>
            </w:r>
          </w:p>
        </w:tc>
        <w:tc>
          <w:tcPr>
            <w:tcW w:w="548" w:type="pct"/>
            <w:shd w:val="clear" w:color="auto" w:fill="FFFFFF" w:themeFill="background1"/>
          </w:tcPr>
          <w:p w14:paraId="78924968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1F170EFF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52A71BFC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6FE97A18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6AFDEBF8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2A526FAC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593A8A32" w14:textId="77777777" w:rsidTr="00450B7E">
        <w:tc>
          <w:tcPr>
            <w:tcW w:w="1607" w:type="pct"/>
            <w:shd w:val="clear" w:color="auto" w:fill="FFFFFF" w:themeFill="background1"/>
          </w:tcPr>
          <w:p w14:paraId="19A4DED0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Aphthous ulcer</w:t>
            </w:r>
          </w:p>
        </w:tc>
        <w:tc>
          <w:tcPr>
            <w:tcW w:w="548" w:type="pct"/>
            <w:shd w:val="clear" w:color="auto" w:fill="FFFFFF" w:themeFill="background1"/>
          </w:tcPr>
          <w:p w14:paraId="65048EA1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7AE091BF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144455BC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1C99BED4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513A80F7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4C72552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6E213FB7" w14:textId="77777777" w:rsidTr="00450B7E">
        <w:tc>
          <w:tcPr>
            <w:tcW w:w="1607" w:type="pct"/>
            <w:shd w:val="clear" w:color="auto" w:fill="FFFFFF" w:themeFill="background1"/>
          </w:tcPr>
          <w:p w14:paraId="35D47AC1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Blood potassium increased</w:t>
            </w:r>
          </w:p>
        </w:tc>
        <w:tc>
          <w:tcPr>
            <w:tcW w:w="548" w:type="pct"/>
            <w:shd w:val="clear" w:color="auto" w:fill="FFFFFF" w:themeFill="background1"/>
          </w:tcPr>
          <w:p w14:paraId="337608BE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523A3791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1E7287A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2ACABA35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3E5640FF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0E0843E4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658AA088" w14:textId="77777777" w:rsidTr="00450B7E">
        <w:tc>
          <w:tcPr>
            <w:tcW w:w="1607" w:type="pct"/>
            <w:shd w:val="clear" w:color="auto" w:fill="FFFFFF" w:themeFill="background1"/>
          </w:tcPr>
          <w:p w14:paraId="0C965109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Chromaturia</w:t>
            </w:r>
          </w:p>
        </w:tc>
        <w:tc>
          <w:tcPr>
            <w:tcW w:w="548" w:type="pct"/>
            <w:shd w:val="clear" w:color="auto" w:fill="FFFFFF" w:themeFill="background1"/>
          </w:tcPr>
          <w:p w14:paraId="7DAF7BF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5034A22E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0E3E8F90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11163A6B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1CCBC9B4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5105C605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04F2D666" w14:textId="77777777" w:rsidTr="00450B7E">
        <w:tc>
          <w:tcPr>
            <w:tcW w:w="1607" w:type="pct"/>
            <w:shd w:val="clear" w:color="auto" w:fill="FFFFFF" w:themeFill="background1"/>
          </w:tcPr>
          <w:p w14:paraId="123D5EC5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Dehydration</w:t>
            </w:r>
          </w:p>
        </w:tc>
        <w:tc>
          <w:tcPr>
            <w:tcW w:w="548" w:type="pct"/>
            <w:shd w:val="clear" w:color="auto" w:fill="FFFFFF" w:themeFill="background1"/>
          </w:tcPr>
          <w:p w14:paraId="57696B7B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024D2534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6498F55C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5B09B07A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1DC411F0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05F0E0F5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57AA7501" w14:textId="77777777" w:rsidTr="00450B7E">
        <w:tc>
          <w:tcPr>
            <w:tcW w:w="1607" w:type="pct"/>
            <w:shd w:val="clear" w:color="auto" w:fill="FFFFFF" w:themeFill="background1"/>
          </w:tcPr>
          <w:p w14:paraId="7317ADCA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Dermatitis allergic</w:t>
            </w:r>
          </w:p>
        </w:tc>
        <w:tc>
          <w:tcPr>
            <w:tcW w:w="548" w:type="pct"/>
            <w:shd w:val="clear" w:color="auto" w:fill="FFFFFF" w:themeFill="background1"/>
          </w:tcPr>
          <w:p w14:paraId="6E731B10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50E2183E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0CC8DDD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10F42AE0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021D80B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40DF7579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1E8A6538" w14:textId="77777777" w:rsidTr="00450B7E">
        <w:tc>
          <w:tcPr>
            <w:tcW w:w="1607" w:type="pct"/>
            <w:shd w:val="clear" w:color="auto" w:fill="FFFFFF" w:themeFill="background1"/>
          </w:tcPr>
          <w:p w14:paraId="4157943C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GI disorder</w:t>
            </w:r>
          </w:p>
        </w:tc>
        <w:tc>
          <w:tcPr>
            <w:tcW w:w="548" w:type="pct"/>
            <w:shd w:val="clear" w:color="auto" w:fill="FFFFFF" w:themeFill="background1"/>
          </w:tcPr>
          <w:p w14:paraId="57DE98B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119572EF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2D66F51F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61D665E0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790F2461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54F38D8E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367FDDDD" w14:textId="77777777" w:rsidTr="00450B7E">
        <w:tc>
          <w:tcPr>
            <w:tcW w:w="1607" w:type="pct"/>
            <w:shd w:val="clear" w:color="auto" w:fill="FFFFFF" w:themeFill="background1"/>
          </w:tcPr>
          <w:p w14:paraId="3E59C6A6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Gastroenteritis</w:t>
            </w:r>
          </w:p>
        </w:tc>
        <w:tc>
          <w:tcPr>
            <w:tcW w:w="548" w:type="pct"/>
            <w:shd w:val="clear" w:color="auto" w:fill="FFFFFF" w:themeFill="background1"/>
          </w:tcPr>
          <w:p w14:paraId="152695B7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044A44EE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548" w:type="pct"/>
            <w:shd w:val="clear" w:color="auto" w:fill="FFFFFF" w:themeFill="background1"/>
          </w:tcPr>
          <w:p w14:paraId="304321D3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1A755A72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548" w:type="pct"/>
            <w:shd w:val="clear" w:color="auto" w:fill="FFFFFF" w:themeFill="background1"/>
          </w:tcPr>
          <w:p w14:paraId="231B8322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71828045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</w:tr>
      <w:tr w:rsidR="00FC4912" w:rsidRPr="00372971" w14:paraId="57273318" w14:textId="77777777" w:rsidTr="00450B7E">
        <w:tc>
          <w:tcPr>
            <w:tcW w:w="1607" w:type="pct"/>
            <w:shd w:val="clear" w:color="auto" w:fill="FFFFFF" w:themeFill="background1"/>
          </w:tcPr>
          <w:p w14:paraId="626F386E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Hypersensitivity</w:t>
            </w:r>
          </w:p>
        </w:tc>
        <w:tc>
          <w:tcPr>
            <w:tcW w:w="548" w:type="pct"/>
            <w:shd w:val="clear" w:color="auto" w:fill="FFFFFF" w:themeFill="background1"/>
          </w:tcPr>
          <w:p w14:paraId="5FD4C94C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013B53B0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5C0629B4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737AC305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479879F2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3F8B1EBE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0993E0FC" w14:textId="77777777" w:rsidTr="00450B7E">
        <w:tc>
          <w:tcPr>
            <w:tcW w:w="1607" w:type="pct"/>
            <w:shd w:val="clear" w:color="auto" w:fill="FFFFFF" w:themeFill="background1"/>
          </w:tcPr>
          <w:p w14:paraId="15DFF1EB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Laryngitis</w:t>
            </w:r>
          </w:p>
        </w:tc>
        <w:tc>
          <w:tcPr>
            <w:tcW w:w="548" w:type="pct"/>
            <w:shd w:val="clear" w:color="auto" w:fill="FFFFFF" w:themeFill="background1"/>
          </w:tcPr>
          <w:p w14:paraId="4B5081D0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6A90E04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52F9DEB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56E1C5CE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2E6E59F0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5A7D0774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3C0D2C20" w14:textId="77777777" w:rsidTr="00450B7E">
        <w:tc>
          <w:tcPr>
            <w:tcW w:w="1607" w:type="pct"/>
            <w:shd w:val="clear" w:color="auto" w:fill="FFFFFF" w:themeFill="background1"/>
          </w:tcPr>
          <w:p w14:paraId="092ACFFC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Nasopharyngitis</w:t>
            </w:r>
          </w:p>
        </w:tc>
        <w:tc>
          <w:tcPr>
            <w:tcW w:w="548" w:type="pct"/>
            <w:shd w:val="clear" w:color="auto" w:fill="FFFFFF" w:themeFill="background1"/>
          </w:tcPr>
          <w:p w14:paraId="4A799F02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36D5ECD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47ECABA8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5D822FE9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6674DC5A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2C365950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54C3FA18" w14:textId="77777777" w:rsidTr="00450B7E">
        <w:tc>
          <w:tcPr>
            <w:tcW w:w="1607" w:type="pct"/>
            <w:shd w:val="clear" w:color="auto" w:fill="FFFFFF" w:themeFill="background1"/>
          </w:tcPr>
          <w:p w14:paraId="6062AE33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Otitis media</w:t>
            </w:r>
          </w:p>
        </w:tc>
        <w:tc>
          <w:tcPr>
            <w:tcW w:w="548" w:type="pct"/>
            <w:shd w:val="clear" w:color="auto" w:fill="FFFFFF" w:themeFill="background1"/>
          </w:tcPr>
          <w:p w14:paraId="44C1CDEB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5A057FB8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20019D6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79000694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11094245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2B401720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0E1934C0" w14:textId="77777777" w:rsidTr="00450B7E">
        <w:tc>
          <w:tcPr>
            <w:tcW w:w="1607" w:type="pct"/>
            <w:shd w:val="clear" w:color="auto" w:fill="FFFFFF" w:themeFill="background1"/>
          </w:tcPr>
          <w:p w14:paraId="7D5E51E4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 in extremity</w:t>
            </w:r>
          </w:p>
        </w:tc>
        <w:tc>
          <w:tcPr>
            <w:tcW w:w="548" w:type="pct"/>
            <w:shd w:val="clear" w:color="auto" w:fill="FFFFFF" w:themeFill="background1"/>
          </w:tcPr>
          <w:p w14:paraId="26789C9A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7C1C94B0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548" w:type="pct"/>
            <w:shd w:val="clear" w:color="auto" w:fill="FFFFFF" w:themeFill="background1"/>
          </w:tcPr>
          <w:p w14:paraId="6F810E7C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4515904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548" w:type="pct"/>
            <w:shd w:val="clear" w:color="auto" w:fill="FFFFFF" w:themeFill="background1"/>
          </w:tcPr>
          <w:p w14:paraId="674CB68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0504395C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</w:tr>
      <w:tr w:rsidR="00FC4912" w:rsidRPr="00372971" w14:paraId="28DB6184" w14:textId="77777777" w:rsidTr="00450B7E">
        <w:tc>
          <w:tcPr>
            <w:tcW w:w="1607" w:type="pct"/>
            <w:shd w:val="clear" w:color="auto" w:fill="FFFFFF" w:themeFill="background1"/>
          </w:tcPr>
          <w:p w14:paraId="7809514F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Pharyngitis streptococcal</w:t>
            </w:r>
          </w:p>
        </w:tc>
        <w:tc>
          <w:tcPr>
            <w:tcW w:w="548" w:type="pct"/>
            <w:shd w:val="clear" w:color="auto" w:fill="FFFFFF" w:themeFill="background1"/>
          </w:tcPr>
          <w:p w14:paraId="1881404F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318CCCE0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019C6D5E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691C6744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01B29DC9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3C5BCD2F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3BB2008F" w14:textId="77777777" w:rsidTr="00450B7E">
        <w:tc>
          <w:tcPr>
            <w:tcW w:w="1607" w:type="pct"/>
            <w:shd w:val="clear" w:color="auto" w:fill="FFFFFF" w:themeFill="background1"/>
          </w:tcPr>
          <w:p w14:paraId="0338BC7B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Pleural effusion</w:t>
            </w:r>
          </w:p>
        </w:tc>
        <w:tc>
          <w:tcPr>
            <w:tcW w:w="548" w:type="pct"/>
            <w:shd w:val="clear" w:color="auto" w:fill="FFFFFF" w:themeFill="background1"/>
          </w:tcPr>
          <w:p w14:paraId="32A35EA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4072E757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1321C7B4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11F708BA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4D169439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76412193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36AF1E0B" w14:textId="77777777" w:rsidTr="00450B7E">
        <w:tc>
          <w:tcPr>
            <w:tcW w:w="1607" w:type="pct"/>
            <w:shd w:val="clear" w:color="auto" w:fill="FFFFFF" w:themeFill="background1"/>
          </w:tcPr>
          <w:p w14:paraId="36CC470A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Pleurisy</w:t>
            </w:r>
          </w:p>
        </w:tc>
        <w:tc>
          <w:tcPr>
            <w:tcW w:w="548" w:type="pct"/>
            <w:shd w:val="clear" w:color="auto" w:fill="FFFFFF" w:themeFill="background1"/>
          </w:tcPr>
          <w:p w14:paraId="55CE2359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602EE991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02C3508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19F4C6E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5E8025F3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753CC06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251246ED" w14:textId="77777777" w:rsidTr="00450B7E">
        <w:tc>
          <w:tcPr>
            <w:tcW w:w="1607" w:type="pct"/>
            <w:shd w:val="clear" w:color="auto" w:fill="FFFFFF" w:themeFill="background1"/>
          </w:tcPr>
          <w:p w14:paraId="77205CFE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Rhinitis</w:t>
            </w:r>
          </w:p>
        </w:tc>
        <w:tc>
          <w:tcPr>
            <w:tcW w:w="548" w:type="pct"/>
            <w:shd w:val="clear" w:color="auto" w:fill="FFFFFF" w:themeFill="background1"/>
          </w:tcPr>
          <w:p w14:paraId="2F9C63A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1DA8B0C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6B9370DA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125D46DF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1F748D3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555B27CA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</w:tr>
      <w:tr w:rsidR="00FC4912" w:rsidRPr="00372971" w14:paraId="32050B2B" w14:textId="77777777" w:rsidTr="00450B7E">
        <w:tc>
          <w:tcPr>
            <w:tcW w:w="1607" w:type="pct"/>
            <w:shd w:val="clear" w:color="auto" w:fill="FFFFFF" w:themeFill="background1"/>
          </w:tcPr>
          <w:p w14:paraId="4937C412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Seizure-like phenomenon</w:t>
            </w:r>
          </w:p>
        </w:tc>
        <w:tc>
          <w:tcPr>
            <w:tcW w:w="548" w:type="pct"/>
            <w:shd w:val="clear" w:color="auto" w:fill="FFFFFF" w:themeFill="background1"/>
          </w:tcPr>
          <w:p w14:paraId="7B69B56F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21626DCB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581AD1FF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17F707E5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7AF69103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60262277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</w:tr>
      <w:tr w:rsidR="00FC4912" w:rsidRPr="00372971" w14:paraId="217C5A84" w14:textId="77777777" w:rsidTr="00450B7E">
        <w:tc>
          <w:tcPr>
            <w:tcW w:w="1607" w:type="pct"/>
            <w:shd w:val="clear" w:color="auto" w:fill="FFFFFF" w:themeFill="background1"/>
          </w:tcPr>
          <w:p w14:paraId="068A4598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Tonsillitis streptococcal</w:t>
            </w:r>
          </w:p>
        </w:tc>
        <w:tc>
          <w:tcPr>
            <w:tcW w:w="548" w:type="pct"/>
            <w:shd w:val="clear" w:color="auto" w:fill="FFFFFF" w:themeFill="background1"/>
          </w:tcPr>
          <w:p w14:paraId="019C8AF3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6D8B3EA0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11EE82BB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0619EFAB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2C0C1B49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677F80C8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27697B25" w14:textId="77777777" w:rsidTr="00450B7E">
        <w:tc>
          <w:tcPr>
            <w:tcW w:w="1607" w:type="pct"/>
            <w:shd w:val="clear" w:color="auto" w:fill="FFFFFF" w:themeFill="background1"/>
          </w:tcPr>
          <w:p w14:paraId="3AA935F9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Thrombocytopenia</w:t>
            </w:r>
          </w:p>
        </w:tc>
        <w:tc>
          <w:tcPr>
            <w:tcW w:w="548" w:type="pct"/>
            <w:shd w:val="clear" w:color="auto" w:fill="FFFFFF" w:themeFill="background1"/>
          </w:tcPr>
          <w:p w14:paraId="088857E5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71A095C6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389EC5D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3E198FB8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75AB56EA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49323D61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(2.3)</w:t>
            </w:r>
          </w:p>
        </w:tc>
      </w:tr>
      <w:tr w:rsidR="00FC4912" w:rsidRPr="00372971" w14:paraId="628DDEB1" w14:textId="77777777" w:rsidTr="00450B7E">
        <w:tc>
          <w:tcPr>
            <w:tcW w:w="1607" w:type="pct"/>
            <w:shd w:val="clear" w:color="auto" w:fill="FFFFFF" w:themeFill="background1"/>
          </w:tcPr>
          <w:p w14:paraId="14A60A2B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Upper respiratory tract infection</w:t>
            </w:r>
          </w:p>
        </w:tc>
        <w:tc>
          <w:tcPr>
            <w:tcW w:w="548" w:type="pct"/>
            <w:shd w:val="clear" w:color="auto" w:fill="FFFFFF" w:themeFill="background1"/>
          </w:tcPr>
          <w:p w14:paraId="40E0D14A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0BC9CA2B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575D95A2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</w:tcPr>
          <w:p w14:paraId="3C4242AA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</w:tcPr>
          <w:p w14:paraId="5504534A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shd w:val="clear" w:color="auto" w:fill="FFFFFF" w:themeFill="background1"/>
          </w:tcPr>
          <w:p w14:paraId="21FC2E6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4912" w:rsidRPr="00372971" w14:paraId="2E8C08F7" w14:textId="77777777" w:rsidTr="00450B7E">
        <w:tc>
          <w:tcPr>
            <w:tcW w:w="160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A516FF" w14:textId="77777777" w:rsidR="00FC4912" w:rsidRPr="00372971" w:rsidRDefault="00FC4912" w:rsidP="00372971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Wheezing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37027A8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AE049D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EF3D7CC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AA8201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4A327C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7F9BE3" w14:textId="77777777" w:rsidR="00FC4912" w:rsidRPr="00372971" w:rsidRDefault="00FC4912" w:rsidP="003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4D40B9BB" w14:textId="77777777" w:rsidR="00FC4912" w:rsidRPr="00372971" w:rsidRDefault="00FC4912" w:rsidP="003729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 xml:space="preserve">*Up to last follow-up visit. </w:t>
      </w:r>
    </w:p>
    <w:p w14:paraId="47221825" w14:textId="77777777" w:rsidR="00FC4912" w:rsidRPr="00372971" w:rsidRDefault="00FC4912" w:rsidP="003729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ALT, alanine aminotransferase; AST, aspartate aminotransferase; GI, gastrointestinal; IV, intravenous; SoC, standard-of-care.</w:t>
      </w:r>
    </w:p>
    <w:p w14:paraId="02051BC9" w14:textId="77777777" w:rsidR="00FC4912" w:rsidRPr="00372971" w:rsidRDefault="00FC4912" w:rsidP="003729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18FDF60" w14:textId="77777777" w:rsidR="00A73397" w:rsidRPr="00372971" w:rsidRDefault="00A73397" w:rsidP="003729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73397" w:rsidRPr="00372971" w:rsidSect="008D1EE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F496B"/>
    <w:multiLevelType w:val="hybridMultilevel"/>
    <w:tmpl w:val="90C8B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39D7"/>
    <w:multiLevelType w:val="multilevel"/>
    <w:tmpl w:val="7972A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3D02B62"/>
    <w:multiLevelType w:val="multilevel"/>
    <w:tmpl w:val="0958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050BD3"/>
    <w:multiLevelType w:val="hybridMultilevel"/>
    <w:tmpl w:val="BA7225BA"/>
    <w:lvl w:ilvl="0" w:tplc="E3BA12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B52FA"/>
    <w:multiLevelType w:val="hybridMultilevel"/>
    <w:tmpl w:val="2F30A6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57D87"/>
    <w:multiLevelType w:val="multilevel"/>
    <w:tmpl w:val="61E65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5DE6B65"/>
    <w:multiLevelType w:val="hybridMultilevel"/>
    <w:tmpl w:val="B9A2199E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747230"/>
    <w:multiLevelType w:val="hybridMultilevel"/>
    <w:tmpl w:val="404863F2"/>
    <w:lvl w:ilvl="0" w:tplc="615C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12"/>
    <w:rsid w:val="00372971"/>
    <w:rsid w:val="00A73397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DCA5"/>
  <w15:chartTrackingRefBased/>
  <w15:docId w15:val="{87131E3C-BD0B-48A3-929E-04F723B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12"/>
    <w:pPr>
      <w:spacing w:after="120"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912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912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C491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C4912"/>
  </w:style>
  <w:style w:type="table" w:styleId="TableGrid">
    <w:name w:val="Table Grid"/>
    <w:aliases w:val="Tabellengitternetz"/>
    <w:basedOn w:val="TableNormal"/>
    <w:uiPriority w:val="39"/>
    <w:rsid w:val="00FC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Carter</dc:creator>
  <cp:keywords/>
  <dc:description/>
  <cp:lastModifiedBy>Amy Sue Newman</cp:lastModifiedBy>
  <cp:revision>2</cp:revision>
  <dcterms:created xsi:type="dcterms:W3CDTF">2021-01-05T18:29:00Z</dcterms:created>
  <dcterms:modified xsi:type="dcterms:W3CDTF">2021-01-05T18:29:00Z</dcterms:modified>
</cp:coreProperties>
</file>