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09836" w14:textId="644CC955" w:rsidR="004200F4" w:rsidRDefault="004200F4">
      <w:pPr>
        <w:pStyle w:val="BodyText"/>
        <w:spacing w:line="480" w:lineRule="auto"/>
        <w:ind w:left="720"/>
        <w:jc w:val="center"/>
        <w:rPr>
          <w:rFonts w:ascii="Times New Roman" w:hAnsi="Times New Roman" w:cs="Times New Roman"/>
          <w:b/>
          <w:bCs/>
          <w:sz w:val="28"/>
          <w:szCs w:val="28"/>
        </w:rPr>
      </w:pPr>
      <w:bookmarkStart w:id="0" w:name="_Ref43462958"/>
      <w:bookmarkStart w:id="1" w:name="_GoBack"/>
      <w:bookmarkEnd w:id="1"/>
      <w:r w:rsidRPr="004200F4">
        <w:rPr>
          <w:rFonts w:ascii="Times New Roman" w:hAnsi="Times New Roman" w:cs="Times New Roman"/>
          <w:b/>
          <w:bCs/>
          <w:sz w:val="28"/>
          <w:szCs w:val="28"/>
        </w:rPr>
        <w:t>Supplemental Digital Content</w:t>
      </w:r>
      <w:r w:rsidR="00B41973">
        <w:rPr>
          <w:rFonts w:ascii="Times New Roman" w:hAnsi="Times New Roman" w:cs="Times New Roman"/>
          <w:b/>
          <w:bCs/>
          <w:sz w:val="28"/>
          <w:szCs w:val="28"/>
        </w:rPr>
        <w:t xml:space="preserve"> </w:t>
      </w:r>
      <w:r>
        <w:rPr>
          <w:rFonts w:ascii="Times New Roman" w:hAnsi="Times New Roman" w:cs="Times New Roman"/>
          <w:b/>
          <w:bCs/>
          <w:sz w:val="28"/>
          <w:szCs w:val="28"/>
        </w:rPr>
        <w:t>(SDC)</w:t>
      </w:r>
    </w:p>
    <w:p w14:paraId="70D4AC0D" w14:textId="2CD52761" w:rsidR="00E10436" w:rsidRDefault="00E10436">
      <w:pPr>
        <w:pStyle w:val="BodyText"/>
        <w:spacing w:line="48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CONTENTS</w:t>
      </w:r>
    </w:p>
    <w:p w14:paraId="0854744E" w14:textId="36E4F218" w:rsidR="00E10436" w:rsidRDefault="00E10436" w:rsidP="00E10436">
      <w:pPr>
        <w:pStyle w:val="BodyText"/>
        <w:numPr>
          <w:ilvl w:val="0"/>
          <w:numId w:val="6"/>
        </w:numPr>
        <w:spacing w:line="480" w:lineRule="auto"/>
        <w:rPr>
          <w:rFonts w:ascii="Times New Roman" w:hAnsi="Times New Roman" w:cs="Times New Roman"/>
          <w:b/>
          <w:bCs/>
          <w:sz w:val="28"/>
          <w:szCs w:val="28"/>
        </w:rPr>
      </w:pPr>
      <w:r w:rsidRPr="00E10436">
        <w:rPr>
          <w:rFonts w:ascii="Times New Roman" w:hAnsi="Times New Roman" w:cs="Times New Roman"/>
          <w:b/>
          <w:bCs/>
          <w:sz w:val="28"/>
          <w:szCs w:val="28"/>
        </w:rPr>
        <w:t>SDC-1:Model inputs</w:t>
      </w:r>
    </w:p>
    <w:p w14:paraId="13A91BDF" w14:textId="77777777" w:rsidR="00E10436" w:rsidRDefault="00E10436" w:rsidP="00E10436">
      <w:pPr>
        <w:pStyle w:val="BodyText"/>
        <w:numPr>
          <w:ilvl w:val="0"/>
          <w:numId w:val="6"/>
        </w:numPr>
        <w:spacing w:line="480" w:lineRule="auto"/>
        <w:rPr>
          <w:rFonts w:ascii="Times New Roman" w:hAnsi="Times New Roman" w:cs="Times New Roman"/>
          <w:b/>
          <w:bCs/>
          <w:sz w:val="28"/>
          <w:szCs w:val="28"/>
        </w:rPr>
      </w:pPr>
      <w:r w:rsidRPr="00E10436">
        <w:rPr>
          <w:rFonts w:ascii="Times New Roman" w:hAnsi="Times New Roman" w:cs="Times New Roman"/>
          <w:b/>
          <w:bCs/>
          <w:sz w:val="28"/>
          <w:szCs w:val="28"/>
        </w:rPr>
        <w:t>SDC-2: Model Calibration</w:t>
      </w:r>
      <w:r w:rsidRPr="00E10436">
        <w:rPr>
          <w:rFonts w:ascii="Times New Roman" w:hAnsi="Times New Roman" w:cs="Times New Roman"/>
          <w:b/>
          <w:bCs/>
          <w:sz w:val="28"/>
          <w:szCs w:val="28"/>
        </w:rPr>
        <w:tab/>
      </w:r>
    </w:p>
    <w:p w14:paraId="082845B5" w14:textId="69036304" w:rsidR="00E10436" w:rsidRDefault="00E10436" w:rsidP="00E10436">
      <w:pPr>
        <w:pStyle w:val="BodyText"/>
        <w:numPr>
          <w:ilvl w:val="0"/>
          <w:numId w:val="6"/>
        </w:numPr>
        <w:spacing w:line="480" w:lineRule="auto"/>
        <w:rPr>
          <w:rFonts w:ascii="Times New Roman" w:hAnsi="Times New Roman" w:cs="Times New Roman"/>
          <w:b/>
          <w:bCs/>
          <w:sz w:val="28"/>
          <w:szCs w:val="28"/>
        </w:rPr>
      </w:pPr>
      <w:r w:rsidRPr="00E10436">
        <w:rPr>
          <w:rFonts w:ascii="Times New Roman" w:hAnsi="Times New Roman" w:cs="Times New Roman"/>
          <w:b/>
          <w:bCs/>
          <w:sz w:val="28"/>
          <w:szCs w:val="28"/>
        </w:rPr>
        <w:t>SDC-3: Sensitivity analysis</w:t>
      </w:r>
      <w:r w:rsidRPr="00E10436">
        <w:rPr>
          <w:rFonts w:ascii="Times New Roman" w:hAnsi="Times New Roman" w:cs="Times New Roman"/>
          <w:b/>
          <w:bCs/>
          <w:sz w:val="28"/>
          <w:szCs w:val="28"/>
        </w:rPr>
        <w:tab/>
      </w:r>
    </w:p>
    <w:p w14:paraId="41FA8C62" w14:textId="534F9435" w:rsidR="00E10436" w:rsidRDefault="00E10436" w:rsidP="00E10436">
      <w:pPr>
        <w:pStyle w:val="BodyText"/>
        <w:numPr>
          <w:ilvl w:val="0"/>
          <w:numId w:val="6"/>
        </w:numPr>
        <w:spacing w:line="480" w:lineRule="auto"/>
        <w:rPr>
          <w:rFonts w:ascii="Times New Roman" w:hAnsi="Times New Roman" w:cs="Times New Roman"/>
          <w:b/>
          <w:bCs/>
          <w:sz w:val="28"/>
          <w:szCs w:val="28"/>
        </w:rPr>
      </w:pPr>
      <w:r w:rsidRPr="00E10436">
        <w:rPr>
          <w:rFonts w:ascii="Times New Roman" w:hAnsi="Times New Roman" w:cs="Times New Roman"/>
          <w:b/>
          <w:bCs/>
          <w:sz w:val="28"/>
          <w:szCs w:val="28"/>
        </w:rPr>
        <w:t>SDC-4: Results over 25- and 100-Year Time Horizon</w:t>
      </w:r>
    </w:p>
    <w:p w14:paraId="2EF5A041" w14:textId="30603214" w:rsidR="00E10436" w:rsidRDefault="00E10436" w:rsidP="00E10436">
      <w:pPr>
        <w:pStyle w:val="BodyText"/>
        <w:numPr>
          <w:ilvl w:val="0"/>
          <w:numId w:val="6"/>
        </w:numPr>
        <w:spacing w:line="480" w:lineRule="auto"/>
        <w:rPr>
          <w:rFonts w:ascii="Times New Roman" w:hAnsi="Times New Roman" w:cs="Times New Roman"/>
          <w:b/>
          <w:bCs/>
          <w:sz w:val="28"/>
          <w:szCs w:val="28"/>
        </w:rPr>
      </w:pPr>
      <w:r>
        <w:rPr>
          <w:rFonts w:ascii="Times New Roman" w:hAnsi="Times New Roman" w:cs="Times New Roman"/>
          <w:b/>
          <w:bCs/>
          <w:sz w:val="28"/>
          <w:szCs w:val="28"/>
        </w:rPr>
        <w:t>REFERENCES FOR SDC</w:t>
      </w:r>
    </w:p>
    <w:p w14:paraId="2D787088" w14:textId="77777777" w:rsidR="00E10436" w:rsidRDefault="00E10436">
      <w:pPr>
        <w:pStyle w:val="BodyText"/>
        <w:spacing w:line="480" w:lineRule="auto"/>
        <w:ind w:left="720"/>
        <w:jc w:val="center"/>
        <w:rPr>
          <w:rFonts w:ascii="Times New Roman" w:hAnsi="Times New Roman" w:cs="Times New Roman"/>
          <w:b/>
          <w:bCs/>
          <w:sz w:val="28"/>
          <w:szCs w:val="28"/>
        </w:rPr>
      </w:pPr>
    </w:p>
    <w:p w14:paraId="04F75AC9" w14:textId="77777777" w:rsidR="00D20704" w:rsidRDefault="00D20704" w:rsidP="00A311B9">
      <w:pPr>
        <w:pStyle w:val="BodyText"/>
        <w:spacing w:line="480" w:lineRule="auto"/>
        <w:ind w:left="1440"/>
        <w:rPr>
          <w:rFonts w:ascii="Times New Roman" w:hAnsi="Times New Roman" w:cs="Times New Roman"/>
          <w:b/>
          <w:bCs/>
          <w:sz w:val="28"/>
          <w:szCs w:val="28"/>
        </w:rPr>
        <w:sectPr w:rsidR="00D20704" w:rsidSect="00E10436">
          <w:pgSz w:w="11906" w:h="16838"/>
          <w:pgMar w:top="1440" w:right="1440" w:bottom="1440" w:left="1440" w:header="708" w:footer="708" w:gutter="0"/>
          <w:cols w:space="708"/>
          <w:docGrid w:linePitch="360"/>
        </w:sectPr>
      </w:pPr>
    </w:p>
    <w:p w14:paraId="1B7DC523" w14:textId="0F07AB8A" w:rsidR="00B41973" w:rsidRDefault="00684E5A" w:rsidP="00E10436">
      <w:pPr>
        <w:pStyle w:val="Heading1"/>
        <w:keepNext w:val="0"/>
        <w:spacing w:line="480" w:lineRule="auto"/>
        <w:rPr>
          <w:rFonts w:cs="Times New Roman"/>
          <w:b w:val="0"/>
          <w:bCs/>
          <w:color w:val="000000" w:themeColor="text1"/>
        </w:rPr>
      </w:pPr>
      <w:bookmarkStart w:id="2" w:name="_Ref43109012"/>
      <w:r w:rsidRPr="00E10436">
        <w:rPr>
          <w:rFonts w:cs="Times New Roman"/>
          <w:bCs/>
          <w:color w:val="000000" w:themeColor="text1"/>
        </w:rPr>
        <w:lastRenderedPageBreak/>
        <w:t>SDC-</w:t>
      </w:r>
      <w:r w:rsidR="00E10436">
        <w:rPr>
          <w:rFonts w:cs="Times New Roman"/>
          <w:bCs/>
          <w:color w:val="000000" w:themeColor="text1"/>
        </w:rPr>
        <w:t>1:</w:t>
      </w:r>
      <w:r w:rsidRPr="00E10436">
        <w:rPr>
          <w:rFonts w:cs="Times New Roman"/>
          <w:bCs/>
          <w:color w:val="000000" w:themeColor="text1"/>
        </w:rPr>
        <w:t>Model inputs</w:t>
      </w:r>
    </w:p>
    <w:p w14:paraId="55BE7245" w14:textId="5F49009C" w:rsidR="006044FA" w:rsidRPr="00E10436" w:rsidRDefault="006044FA" w:rsidP="00E10436">
      <w:pPr>
        <w:pStyle w:val="Heading2"/>
        <w:keepNext w:val="0"/>
        <w:spacing w:line="480" w:lineRule="auto"/>
      </w:pPr>
      <w:r w:rsidRPr="00AB43D9">
        <w:t>Table 1</w:t>
      </w:r>
      <w:r w:rsidR="009B1C3E">
        <w:t>:</w:t>
      </w:r>
      <w:r w:rsidRPr="00AB43D9">
        <w:t xml:space="preserve"> Swiss Model Inputs</w:t>
      </w:r>
    </w:p>
    <w:tbl>
      <w:tblPr>
        <w:tblStyle w:val="TableGrid1"/>
        <w:tblW w:w="5029" w:type="pct"/>
        <w:tblLayout w:type="fixed"/>
        <w:tblLook w:val="0620" w:firstRow="1" w:lastRow="0" w:firstColumn="0" w:lastColumn="0" w:noHBand="1" w:noVBand="1"/>
      </w:tblPr>
      <w:tblGrid>
        <w:gridCol w:w="5102"/>
        <w:gridCol w:w="982"/>
        <w:gridCol w:w="149"/>
        <w:gridCol w:w="833"/>
        <w:gridCol w:w="303"/>
        <w:gridCol w:w="679"/>
        <w:gridCol w:w="1448"/>
        <w:gridCol w:w="140"/>
        <w:gridCol w:w="878"/>
        <w:gridCol w:w="878"/>
        <w:gridCol w:w="370"/>
        <w:gridCol w:w="508"/>
        <w:gridCol w:w="878"/>
        <w:gridCol w:w="881"/>
      </w:tblGrid>
      <w:tr w:rsidR="00572149" w:rsidRPr="00330362" w14:paraId="6594160A" w14:textId="77777777" w:rsidTr="00E10436">
        <w:trPr>
          <w:trHeight w:val="519"/>
          <w:tblHeader/>
        </w:trPr>
        <w:tc>
          <w:tcPr>
            <w:tcW w:w="1818" w:type="pct"/>
            <w:vMerge w:val="restart"/>
            <w:vAlign w:val="center"/>
            <w:hideMark/>
          </w:tcPr>
          <w:bookmarkEnd w:id="2"/>
          <w:p w14:paraId="262FABED" w14:textId="77777777" w:rsidR="00572149" w:rsidRPr="00D20704" w:rsidRDefault="00572149" w:rsidP="00E10436">
            <w:pPr>
              <w:pStyle w:val="TableTextIndented"/>
              <w:spacing w:line="480" w:lineRule="auto"/>
              <w:ind w:left="0"/>
              <w:rPr>
                <w:rFonts w:ascii="Times New Roman" w:hAnsi="Times New Roman"/>
                <w:b/>
                <w:bCs/>
                <w:sz w:val="20"/>
              </w:rPr>
            </w:pPr>
            <w:r w:rsidRPr="00D20704">
              <w:rPr>
                <w:rFonts w:ascii="Times New Roman" w:hAnsi="Times New Roman"/>
                <w:b/>
                <w:bCs/>
                <w:sz w:val="20"/>
              </w:rPr>
              <w:t>Parameters</w:t>
            </w:r>
          </w:p>
        </w:tc>
        <w:tc>
          <w:tcPr>
            <w:tcW w:w="3182" w:type="pct"/>
            <w:gridSpan w:val="13"/>
            <w:vAlign w:val="center"/>
            <w:hideMark/>
          </w:tcPr>
          <w:p w14:paraId="0DE3572D" w14:textId="77777777" w:rsidR="00572149" w:rsidRPr="00D20704" w:rsidRDefault="00572149" w:rsidP="00E10436">
            <w:pPr>
              <w:pStyle w:val="TableTextIndented"/>
              <w:spacing w:line="480" w:lineRule="auto"/>
              <w:ind w:left="0"/>
              <w:jc w:val="center"/>
              <w:rPr>
                <w:rFonts w:ascii="Times New Roman" w:hAnsi="Times New Roman"/>
                <w:b/>
                <w:bCs/>
                <w:sz w:val="20"/>
              </w:rPr>
            </w:pPr>
            <w:r w:rsidRPr="00D20704">
              <w:rPr>
                <w:rFonts w:ascii="Times New Roman" w:hAnsi="Times New Roman"/>
                <w:b/>
                <w:bCs/>
                <w:sz w:val="20"/>
              </w:rPr>
              <w:t>Values</w:t>
            </w:r>
          </w:p>
        </w:tc>
      </w:tr>
      <w:tr w:rsidR="000D35B1" w:rsidRPr="00330362" w14:paraId="524B0BD9" w14:textId="77777777" w:rsidTr="00E10436">
        <w:trPr>
          <w:trHeight w:val="647"/>
          <w:tblHeader/>
        </w:trPr>
        <w:tc>
          <w:tcPr>
            <w:tcW w:w="1818" w:type="pct"/>
            <w:vMerge/>
            <w:vAlign w:val="center"/>
            <w:hideMark/>
          </w:tcPr>
          <w:p w14:paraId="7D1E5C6A" w14:textId="77777777" w:rsidR="00572149" w:rsidRPr="00D20704" w:rsidRDefault="00572149" w:rsidP="00E10436">
            <w:pPr>
              <w:pStyle w:val="TableTextIndented"/>
              <w:spacing w:line="480" w:lineRule="auto"/>
              <w:rPr>
                <w:rFonts w:ascii="Times New Roman" w:hAnsi="Times New Roman"/>
                <w:b/>
                <w:bCs/>
                <w:sz w:val="20"/>
              </w:rPr>
            </w:pPr>
          </w:p>
        </w:tc>
        <w:tc>
          <w:tcPr>
            <w:tcW w:w="808" w:type="pct"/>
            <w:gridSpan w:val="4"/>
            <w:vAlign w:val="center"/>
            <w:hideMark/>
          </w:tcPr>
          <w:p w14:paraId="10CC4619" w14:textId="77777777" w:rsidR="00572149" w:rsidRPr="00D20704" w:rsidRDefault="00572149" w:rsidP="00E10436">
            <w:pPr>
              <w:pStyle w:val="TableTextIndented"/>
              <w:spacing w:line="480" w:lineRule="auto"/>
              <w:ind w:left="0"/>
              <w:jc w:val="center"/>
              <w:rPr>
                <w:rFonts w:ascii="Times New Roman" w:hAnsi="Times New Roman"/>
                <w:b/>
                <w:bCs/>
                <w:sz w:val="20"/>
              </w:rPr>
            </w:pPr>
            <w:r w:rsidRPr="00D20704">
              <w:rPr>
                <w:rFonts w:ascii="Times New Roman" w:hAnsi="Times New Roman"/>
                <w:b/>
                <w:bCs/>
                <w:sz w:val="20"/>
              </w:rPr>
              <w:t>&lt;15 years of age</w:t>
            </w:r>
          </w:p>
        </w:tc>
        <w:tc>
          <w:tcPr>
            <w:tcW w:w="758" w:type="pct"/>
            <w:gridSpan w:val="2"/>
            <w:vAlign w:val="center"/>
            <w:hideMark/>
          </w:tcPr>
          <w:p w14:paraId="07A9DCAA" w14:textId="77777777" w:rsidR="00572149" w:rsidRPr="00D20704" w:rsidRDefault="00572149" w:rsidP="00E10436">
            <w:pPr>
              <w:pStyle w:val="TableTextIndented"/>
              <w:spacing w:line="480" w:lineRule="auto"/>
              <w:ind w:left="0"/>
              <w:jc w:val="center"/>
              <w:rPr>
                <w:rFonts w:ascii="Times New Roman" w:hAnsi="Times New Roman"/>
                <w:b/>
                <w:bCs/>
                <w:sz w:val="20"/>
              </w:rPr>
            </w:pPr>
            <w:r w:rsidRPr="00D20704">
              <w:rPr>
                <w:rFonts w:ascii="Times New Roman" w:hAnsi="Times New Roman"/>
                <w:b/>
                <w:bCs/>
                <w:sz w:val="20"/>
              </w:rPr>
              <w:t>15–44 years of age</w:t>
            </w:r>
          </w:p>
        </w:tc>
        <w:tc>
          <w:tcPr>
            <w:tcW w:w="808" w:type="pct"/>
            <w:gridSpan w:val="4"/>
            <w:vAlign w:val="center"/>
          </w:tcPr>
          <w:p w14:paraId="1A832659" w14:textId="77777777" w:rsidR="00572149" w:rsidRPr="00D20704" w:rsidRDefault="00572149" w:rsidP="00E10436">
            <w:pPr>
              <w:pStyle w:val="TableTextIndented"/>
              <w:spacing w:line="480" w:lineRule="auto"/>
              <w:ind w:left="-51"/>
              <w:jc w:val="center"/>
              <w:rPr>
                <w:rFonts w:ascii="Times New Roman" w:hAnsi="Times New Roman"/>
                <w:b/>
                <w:bCs/>
                <w:sz w:val="20"/>
              </w:rPr>
            </w:pPr>
            <w:r w:rsidRPr="00D20704">
              <w:rPr>
                <w:rFonts w:ascii="Times New Roman" w:hAnsi="Times New Roman"/>
                <w:b/>
                <w:bCs/>
                <w:sz w:val="20"/>
              </w:rPr>
              <w:t>45–65 years of age</w:t>
            </w:r>
          </w:p>
        </w:tc>
        <w:tc>
          <w:tcPr>
            <w:tcW w:w="809" w:type="pct"/>
            <w:gridSpan w:val="3"/>
            <w:vAlign w:val="center"/>
          </w:tcPr>
          <w:p w14:paraId="3462EDD6" w14:textId="07F1F03C" w:rsidR="00572149" w:rsidRPr="00D20704" w:rsidRDefault="001078E4" w:rsidP="00E10436">
            <w:pPr>
              <w:pStyle w:val="TableTextIndented"/>
              <w:spacing w:line="480" w:lineRule="auto"/>
              <w:ind w:left="70"/>
              <w:jc w:val="center"/>
              <w:rPr>
                <w:rFonts w:ascii="Times New Roman" w:hAnsi="Times New Roman"/>
                <w:b/>
                <w:bCs/>
                <w:sz w:val="20"/>
              </w:rPr>
            </w:pPr>
            <w:r>
              <w:rPr>
                <w:rFonts w:ascii="Times New Roman" w:hAnsi="Times New Roman"/>
                <w:b/>
                <w:bCs/>
                <w:sz w:val="20"/>
              </w:rPr>
              <w:t>≥</w:t>
            </w:r>
            <w:r w:rsidR="00572149" w:rsidRPr="00D20704">
              <w:rPr>
                <w:rFonts w:ascii="Times New Roman" w:hAnsi="Times New Roman"/>
                <w:b/>
                <w:bCs/>
                <w:sz w:val="20"/>
              </w:rPr>
              <w:t>65 years</w:t>
            </w:r>
          </w:p>
        </w:tc>
      </w:tr>
      <w:tr w:rsidR="00572149" w:rsidRPr="00330362" w14:paraId="567C9A35" w14:textId="77777777" w:rsidTr="00E10436">
        <w:trPr>
          <w:trHeight w:val="538"/>
        </w:trPr>
        <w:tc>
          <w:tcPr>
            <w:tcW w:w="1818" w:type="pct"/>
            <w:vAlign w:val="center"/>
            <w:hideMark/>
          </w:tcPr>
          <w:p w14:paraId="24126D42" w14:textId="79646DB5"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Percentage of cases requiring outpatient visits</w:t>
            </w:r>
            <w:r w:rsidR="00D56D60" w:rsidRPr="00E10436">
              <w:rPr>
                <w:rFonts w:ascii="Times New Roman" w:hAnsi="Times New Roman" w:cs="Times New Roman"/>
                <w:szCs w:val="20"/>
                <w:vertAlign w:val="superscript"/>
              </w:rPr>
              <w:t>1</w:t>
            </w:r>
          </w:p>
        </w:tc>
        <w:tc>
          <w:tcPr>
            <w:tcW w:w="808" w:type="pct"/>
            <w:gridSpan w:val="4"/>
            <w:vAlign w:val="center"/>
            <w:hideMark/>
          </w:tcPr>
          <w:p w14:paraId="71F64641"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40%</w:t>
            </w:r>
          </w:p>
        </w:tc>
        <w:tc>
          <w:tcPr>
            <w:tcW w:w="2375" w:type="pct"/>
            <w:gridSpan w:val="9"/>
            <w:vAlign w:val="center"/>
            <w:hideMark/>
          </w:tcPr>
          <w:p w14:paraId="0FF21E2F"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90%</w:t>
            </w:r>
          </w:p>
        </w:tc>
      </w:tr>
      <w:tr w:rsidR="00572149" w:rsidRPr="00330362" w14:paraId="5FB747E3" w14:textId="77777777" w:rsidTr="00E10436">
        <w:trPr>
          <w:trHeight w:val="538"/>
        </w:trPr>
        <w:tc>
          <w:tcPr>
            <w:tcW w:w="1818" w:type="pct"/>
            <w:vAlign w:val="center"/>
            <w:hideMark/>
          </w:tcPr>
          <w:p w14:paraId="0534D8BF" w14:textId="1CD1ABEC"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Number of outpatient visits per case</w:t>
            </w:r>
            <w:r w:rsidR="00D56D60" w:rsidRPr="00AB43D9">
              <w:rPr>
                <w:rFonts w:ascii="Times New Roman" w:hAnsi="Times New Roman" w:cs="Times New Roman"/>
                <w:szCs w:val="20"/>
                <w:vertAlign w:val="superscript"/>
              </w:rPr>
              <w:t>1</w:t>
            </w:r>
          </w:p>
        </w:tc>
        <w:tc>
          <w:tcPr>
            <w:tcW w:w="808" w:type="pct"/>
            <w:gridSpan w:val="4"/>
            <w:vAlign w:val="center"/>
            <w:hideMark/>
          </w:tcPr>
          <w:p w14:paraId="576BC3AB"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1.13</w:t>
            </w:r>
          </w:p>
        </w:tc>
        <w:tc>
          <w:tcPr>
            <w:tcW w:w="2375" w:type="pct"/>
            <w:gridSpan w:val="9"/>
            <w:vAlign w:val="center"/>
            <w:hideMark/>
          </w:tcPr>
          <w:p w14:paraId="5C3E5E5F"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1.42</w:t>
            </w:r>
          </w:p>
        </w:tc>
      </w:tr>
      <w:tr w:rsidR="00572149" w:rsidRPr="00330362" w14:paraId="4DFDF895" w14:textId="77777777" w:rsidTr="00E10436">
        <w:trPr>
          <w:trHeight w:val="538"/>
        </w:trPr>
        <w:tc>
          <w:tcPr>
            <w:tcW w:w="1818" w:type="pct"/>
            <w:vAlign w:val="center"/>
            <w:hideMark/>
          </w:tcPr>
          <w:p w14:paraId="154DC674" w14:textId="77777777"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Cost per outpatient visit*</w:t>
            </w:r>
          </w:p>
        </w:tc>
        <w:tc>
          <w:tcPr>
            <w:tcW w:w="3182" w:type="pct"/>
            <w:gridSpan w:val="13"/>
            <w:vAlign w:val="center"/>
            <w:hideMark/>
          </w:tcPr>
          <w:p w14:paraId="63C314B3"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CHF 45.00</w:t>
            </w:r>
          </w:p>
        </w:tc>
      </w:tr>
      <w:tr w:rsidR="00572149" w:rsidRPr="00330362" w14:paraId="7E05ED05" w14:textId="77777777" w:rsidTr="00E10436">
        <w:trPr>
          <w:trHeight w:val="538"/>
        </w:trPr>
        <w:tc>
          <w:tcPr>
            <w:tcW w:w="1818" w:type="pct"/>
            <w:vAlign w:val="center"/>
            <w:hideMark/>
          </w:tcPr>
          <w:p w14:paraId="23365900" w14:textId="32BD3741"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Percentage of outpatient cases requiring Rx or OTC drug</w:t>
            </w:r>
            <w:r w:rsidR="00D56D60" w:rsidRPr="00AB43D9">
              <w:rPr>
                <w:rFonts w:ascii="Times New Roman" w:hAnsi="Times New Roman" w:cs="Times New Roman"/>
                <w:szCs w:val="20"/>
                <w:vertAlign w:val="superscript"/>
              </w:rPr>
              <w:t>1</w:t>
            </w:r>
          </w:p>
        </w:tc>
        <w:tc>
          <w:tcPr>
            <w:tcW w:w="808" w:type="pct"/>
            <w:gridSpan w:val="4"/>
            <w:vAlign w:val="center"/>
            <w:hideMark/>
          </w:tcPr>
          <w:p w14:paraId="77012BEA"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5%</w:t>
            </w:r>
          </w:p>
        </w:tc>
        <w:tc>
          <w:tcPr>
            <w:tcW w:w="2375" w:type="pct"/>
            <w:gridSpan w:val="9"/>
            <w:vAlign w:val="center"/>
            <w:hideMark/>
          </w:tcPr>
          <w:p w14:paraId="02FEA4D3"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50%</w:t>
            </w:r>
          </w:p>
        </w:tc>
      </w:tr>
      <w:tr w:rsidR="00572149" w:rsidRPr="00330362" w14:paraId="5DE142E9" w14:textId="77777777" w:rsidTr="00E10436">
        <w:trPr>
          <w:trHeight w:val="538"/>
        </w:trPr>
        <w:tc>
          <w:tcPr>
            <w:tcW w:w="1818" w:type="pct"/>
            <w:vAlign w:val="center"/>
            <w:hideMark/>
          </w:tcPr>
          <w:p w14:paraId="4462C5C4" w14:textId="5629D034"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Mean cost of Rx and OTC drugs for outpatients</w:t>
            </w:r>
            <w:r w:rsidR="00D56D60" w:rsidRPr="00AB43D9">
              <w:rPr>
                <w:rFonts w:ascii="Times New Roman" w:hAnsi="Times New Roman" w:cs="Times New Roman"/>
                <w:szCs w:val="20"/>
                <w:vertAlign w:val="superscript"/>
              </w:rPr>
              <w:t>1</w:t>
            </w:r>
          </w:p>
        </w:tc>
        <w:tc>
          <w:tcPr>
            <w:tcW w:w="808" w:type="pct"/>
            <w:gridSpan w:val="4"/>
            <w:vAlign w:val="center"/>
            <w:hideMark/>
          </w:tcPr>
          <w:p w14:paraId="1C49BECE"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CHF 38.45</w:t>
            </w:r>
          </w:p>
        </w:tc>
        <w:tc>
          <w:tcPr>
            <w:tcW w:w="2375" w:type="pct"/>
            <w:gridSpan w:val="9"/>
            <w:vAlign w:val="center"/>
            <w:hideMark/>
          </w:tcPr>
          <w:p w14:paraId="5429AD11"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CHF 162.80</w:t>
            </w:r>
          </w:p>
        </w:tc>
      </w:tr>
      <w:tr w:rsidR="00572149" w:rsidRPr="00330362" w14:paraId="709AE138" w14:textId="77777777" w:rsidTr="00E10436">
        <w:trPr>
          <w:trHeight w:val="296"/>
        </w:trPr>
        <w:tc>
          <w:tcPr>
            <w:tcW w:w="1818" w:type="pct"/>
            <w:vAlign w:val="center"/>
          </w:tcPr>
          <w:p w14:paraId="25D0C767" w14:textId="36174A9C" w:rsidR="00572149" w:rsidRPr="00D20704" w:rsidRDefault="00572149" w:rsidP="00E10436">
            <w:pPr>
              <w:pStyle w:val="BodyText"/>
              <w:spacing w:after="40" w:line="480" w:lineRule="auto"/>
              <w:rPr>
                <w:rFonts w:ascii="Times New Roman" w:hAnsi="Times New Roman" w:cs="Times New Roman"/>
                <w:szCs w:val="20"/>
              </w:rPr>
            </w:pPr>
            <w:bookmarkStart w:id="3" w:name="_Hlk44614576"/>
            <w:r w:rsidRPr="00D20704">
              <w:rPr>
                <w:rFonts w:ascii="Times New Roman" w:hAnsi="Times New Roman" w:cs="Times New Roman"/>
                <w:szCs w:val="20"/>
              </w:rPr>
              <w:t>Percentage of outpatient cases requiring diagnostic testing</w:t>
            </w:r>
            <w:bookmarkEnd w:id="3"/>
            <w:r w:rsidR="00D56D60" w:rsidRPr="00AB43D9">
              <w:rPr>
                <w:rFonts w:ascii="Times New Roman" w:hAnsi="Times New Roman" w:cs="Times New Roman"/>
                <w:szCs w:val="20"/>
                <w:vertAlign w:val="superscript"/>
              </w:rPr>
              <w:t>1</w:t>
            </w:r>
          </w:p>
        </w:tc>
        <w:tc>
          <w:tcPr>
            <w:tcW w:w="3182" w:type="pct"/>
            <w:gridSpan w:val="13"/>
            <w:vAlign w:val="center"/>
          </w:tcPr>
          <w:p w14:paraId="557E7D54"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2.5%</w:t>
            </w:r>
          </w:p>
        </w:tc>
      </w:tr>
      <w:tr w:rsidR="00572149" w:rsidRPr="00330362" w14:paraId="4753578A" w14:textId="77777777" w:rsidTr="00E10436">
        <w:trPr>
          <w:trHeight w:val="538"/>
        </w:trPr>
        <w:tc>
          <w:tcPr>
            <w:tcW w:w="1818" w:type="pct"/>
            <w:vAlign w:val="center"/>
            <w:hideMark/>
          </w:tcPr>
          <w:p w14:paraId="00BF1C28" w14:textId="36960762"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Estimated mean cost of diagnostic tests per case</w:t>
            </w:r>
            <w:r w:rsidR="00D56D60" w:rsidRPr="00AB43D9">
              <w:rPr>
                <w:rFonts w:ascii="Times New Roman" w:hAnsi="Times New Roman" w:cs="Times New Roman"/>
                <w:szCs w:val="20"/>
                <w:vertAlign w:val="superscript"/>
              </w:rPr>
              <w:t>1</w:t>
            </w:r>
          </w:p>
        </w:tc>
        <w:tc>
          <w:tcPr>
            <w:tcW w:w="3182" w:type="pct"/>
            <w:gridSpan w:val="13"/>
            <w:vAlign w:val="center"/>
            <w:hideMark/>
          </w:tcPr>
          <w:p w14:paraId="3EA7D2EB"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 xml:space="preserve">CHF 26.00 </w:t>
            </w:r>
          </w:p>
        </w:tc>
      </w:tr>
      <w:tr w:rsidR="00572149" w:rsidRPr="00330362" w14:paraId="2AA735BA" w14:textId="77777777" w:rsidTr="00E10436">
        <w:trPr>
          <w:trHeight w:val="538"/>
        </w:trPr>
        <w:tc>
          <w:tcPr>
            <w:tcW w:w="1818" w:type="pct"/>
            <w:vAlign w:val="center"/>
            <w:hideMark/>
          </w:tcPr>
          <w:p w14:paraId="63522A17" w14:textId="34A603BC"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Percentage of cases requiring hospitalization</w:t>
            </w:r>
            <w:r w:rsidR="00D56D60" w:rsidRPr="00AB43D9">
              <w:rPr>
                <w:rFonts w:ascii="Times New Roman" w:hAnsi="Times New Roman" w:cs="Times New Roman"/>
                <w:szCs w:val="20"/>
                <w:vertAlign w:val="superscript"/>
              </w:rPr>
              <w:t>1</w:t>
            </w:r>
            <w:r w:rsidRPr="00D20704">
              <w:rPr>
                <w:rFonts w:ascii="Times New Roman" w:hAnsi="Times New Roman" w:cs="Times New Roman"/>
                <w:szCs w:val="20"/>
              </w:rPr>
              <w:t>**</w:t>
            </w:r>
          </w:p>
        </w:tc>
        <w:tc>
          <w:tcPr>
            <w:tcW w:w="808" w:type="pct"/>
            <w:gridSpan w:val="4"/>
            <w:vAlign w:val="center"/>
            <w:hideMark/>
          </w:tcPr>
          <w:p w14:paraId="62258FD7"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0.156%</w:t>
            </w:r>
          </w:p>
        </w:tc>
        <w:tc>
          <w:tcPr>
            <w:tcW w:w="2375" w:type="pct"/>
            <w:gridSpan w:val="9"/>
            <w:vAlign w:val="center"/>
            <w:hideMark/>
          </w:tcPr>
          <w:p w14:paraId="560C22FD"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3.3%</w:t>
            </w:r>
          </w:p>
        </w:tc>
      </w:tr>
      <w:tr w:rsidR="000D35B1" w:rsidRPr="00330362" w14:paraId="5E93DB84" w14:textId="77777777" w:rsidTr="00E10436">
        <w:trPr>
          <w:trHeight w:val="538"/>
        </w:trPr>
        <w:tc>
          <w:tcPr>
            <w:tcW w:w="1818" w:type="pct"/>
            <w:vAlign w:val="center"/>
            <w:hideMark/>
          </w:tcPr>
          <w:p w14:paraId="6BC4F709" w14:textId="5FEA0190"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Mean duration of hospitalization in days</w:t>
            </w:r>
            <w:r w:rsidR="00D56D60">
              <w:rPr>
                <w:rFonts w:ascii="Times New Roman" w:hAnsi="Times New Roman" w:cs="Times New Roman"/>
                <w:szCs w:val="20"/>
                <w:vertAlign w:val="superscript"/>
              </w:rPr>
              <w:t>2</w:t>
            </w:r>
          </w:p>
        </w:tc>
        <w:tc>
          <w:tcPr>
            <w:tcW w:w="808" w:type="pct"/>
            <w:gridSpan w:val="4"/>
            <w:vAlign w:val="center"/>
            <w:hideMark/>
          </w:tcPr>
          <w:p w14:paraId="7E4605A2"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3.44</w:t>
            </w:r>
          </w:p>
        </w:tc>
        <w:tc>
          <w:tcPr>
            <w:tcW w:w="758" w:type="pct"/>
            <w:gridSpan w:val="2"/>
            <w:vAlign w:val="center"/>
            <w:hideMark/>
          </w:tcPr>
          <w:p w14:paraId="5F53114F"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4.86</w:t>
            </w:r>
          </w:p>
        </w:tc>
        <w:tc>
          <w:tcPr>
            <w:tcW w:w="808" w:type="pct"/>
            <w:gridSpan w:val="4"/>
            <w:vAlign w:val="center"/>
          </w:tcPr>
          <w:p w14:paraId="10CBEE7A"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12.57</w:t>
            </w:r>
          </w:p>
        </w:tc>
        <w:tc>
          <w:tcPr>
            <w:tcW w:w="809" w:type="pct"/>
            <w:gridSpan w:val="3"/>
            <w:vAlign w:val="center"/>
          </w:tcPr>
          <w:p w14:paraId="7A886B93"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17</w:t>
            </w:r>
          </w:p>
        </w:tc>
      </w:tr>
      <w:tr w:rsidR="000D35B1" w:rsidRPr="00330362" w14:paraId="0690A96F" w14:textId="77777777" w:rsidTr="00E10436">
        <w:trPr>
          <w:trHeight w:val="509"/>
        </w:trPr>
        <w:tc>
          <w:tcPr>
            <w:tcW w:w="1818" w:type="pct"/>
            <w:vAlign w:val="center"/>
            <w:hideMark/>
          </w:tcPr>
          <w:p w14:paraId="69592D32" w14:textId="2F4AC8FB"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Mean cost per hospital day</w:t>
            </w:r>
            <w:r w:rsidR="00D56D60">
              <w:rPr>
                <w:rFonts w:ascii="Times New Roman" w:hAnsi="Times New Roman" w:cs="Times New Roman"/>
                <w:szCs w:val="20"/>
                <w:vertAlign w:val="superscript"/>
              </w:rPr>
              <w:t>2,3</w:t>
            </w:r>
          </w:p>
        </w:tc>
        <w:tc>
          <w:tcPr>
            <w:tcW w:w="808" w:type="pct"/>
            <w:gridSpan w:val="4"/>
            <w:vAlign w:val="center"/>
            <w:hideMark/>
          </w:tcPr>
          <w:p w14:paraId="1D27B3A1"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CHF 1781</w:t>
            </w:r>
          </w:p>
        </w:tc>
        <w:tc>
          <w:tcPr>
            <w:tcW w:w="758" w:type="pct"/>
            <w:gridSpan w:val="2"/>
            <w:vAlign w:val="center"/>
          </w:tcPr>
          <w:p w14:paraId="1722E083"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CHF 1142</w:t>
            </w:r>
          </w:p>
        </w:tc>
        <w:tc>
          <w:tcPr>
            <w:tcW w:w="808" w:type="pct"/>
            <w:gridSpan w:val="4"/>
            <w:vAlign w:val="center"/>
          </w:tcPr>
          <w:p w14:paraId="300BBDD5"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CHF 761</w:t>
            </w:r>
          </w:p>
        </w:tc>
        <w:tc>
          <w:tcPr>
            <w:tcW w:w="809" w:type="pct"/>
            <w:gridSpan w:val="3"/>
            <w:vAlign w:val="center"/>
          </w:tcPr>
          <w:p w14:paraId="4D7E6FB7"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CHF 982</w:t>
            </w:r>
          </w:p>
        </w:tc>
      </w:tr>
      <w:tr w:rsidR="000D35B1" w:rsidRPr="00330362" w14:paraId="2A8C0277" w14:textId="77777777" w:rsidTr="00E10436">
        <w:trPr>
          <w:trHeight w:val="538"/>
        </w:trPr>
        <w:tc>
          <w:tcPr>
            <w:tcW w:w="1818" w:type="pct"/>
            <w:vAlign w:val="center"/>
            <w:hideMark/>
          </w:tcPr>
          <w:p w14:paraId="76C0B4A7" w14:textId="16D9957C"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Mean days lost from work due to varicella (outpatient)</w:t>
            </w:r>
            <w:r w:rsidR="00D56D60" w:rsidRPr="00AB43D9">
              <w:rPr>
                <w:rFonts w:ascii="Times New Roman" w:hAnsi="Times New Roman" w:cs="Times New Roman"/>
                <w:szCs w:val="20"/>
                <w:vertAlign w:val="superscript"/>
              </w:rPr>
              <w:t>1</w:t>
            </w:r>
          </w:p>
        </w:tc>
        <w:tc>
          <w:tcPr>
            <w:tcW w:w="808" w:type="pct"/>
            <w:gridSpan w:val="4"/>
            <w:vAlign w:val="center"/>
            <w:hideMark/>
          </w:tcPr>
          <w:p w14:paraId="59DF66BF"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0.32 (for caregiver)</w:t>
            </w:r>
          </w:p>
        </w:tc>
        <w:tc>
          <w:tcPr>
            <w:tcW w:w="758" w:type="pct"/>
            <w:gridSpan w:val="2"/>
            <w:vAlign w:val="center"/>
            <w:hideMark/>
          </w:tcPr>
          <w:p w14:paraId="6A75A5CB"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2.56</w:t>
            </w:r>
          </w:p>
        </w:tc>
        <w:tc>
          <w:tcPr>
            <w:tcW w:w="808" w:type="pct"/>
            <w:gridSpan w:val="4"/>
            <w:vAlign w:val="center"/>
          </w:tcPr>
          <w:p w14:paraId="3E6658FA"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2.56</w:t>
            </w:r>
          </w:p>
        </w:tc>
        <w:tc>
          <w:tcPr>
            <w:tcW w:w="809" w:type="pct"/>
            <w:gridSpan w:val="3"/>
            <w:vAlign w:val="center"/>
          </w:tcPr>
          <w:p w14:paraId="77704ECD"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0</w:t>
            </w:r>
          </w:p>
        </w:tc>
      </w:tr>
      <w:tr w:rsidR="000D35B1" w:rsidRPr="00330362" w14:paraId="3D17ADF7" w14:textId="77777777" w:rsidTr="00E10436">
        <w:trPr>
          <w:trHeight w:val="538"/>
        </w:trPr>
        <w:tc>
          <w:tcPr>
            <w:tcW w:w="1818" w:type="pct"/>
            <w:vAlign w:val="center"/>
            <w:hideMark/>
          </w:tcPr>
          <w:p w14:paraId="58474999" w14:textId="3D19CA93"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lastRenderedPageBreak/>
              <w:t>Mean days lost from work due to varicella (inpatient)</w:t>
            </w:r>
            <w:r w:rsidR="00D56D60">
              <w:rPr>
                <w:rFonts w:ascii="Times New Roman" w:hAnsi="Times New Roman" w:cs="Times New Roman"/>
                <w:szCs w:val="20"/>
                <w:vertAlign w:val="superscript"/>
              </w:rPr>
              <w:t>2</w:t>
            </w:r>
          </w:p>
        </w:tc>
        <w:tc>
          <w:tcPr>
            <w:tcW w:w="808" w:type="pct"/>
            <w:gridSpan w:val="4"/>
            <w:vAlign w:val="center"/>
            <w:hideMark/>
          </w:tcPr>
          <w:p w14:paraId="41DF5F87"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3.44 (for caregiver)</w:t>
            </w:r>
          </w:p>
        </w:tc>
        <w:tc>
          <w:tcPr>
            <w:tcW w:w="758" w:type="pct"/>
            <w:gridSpan w:val="2"/>
            <w:vAlign w:val="center"/>
            <w:hideMark/>
          </w:tcPr>
          <w:p w14:paraId="31609BEE"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4.86</w:t>
            </w:r>
          </w:p>
        </w:tc>
        <w:tc>
          <w:tcPr>
            <w:tcW w:w="808" w:type="pct"/>
            <w:gridSpan w:val="4"/>
            <w:vAlign w:val="center"/>
          </w:tcPr>
          <w:p w14:paraId="624AC3CA"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12.57</w:t>
            </w:r>
          </w:p>
        </w:tc>
        <w:tc>
          <w:tcPr>
            <w:tcW w:w="809" w:type="pct"/>
            <w:gridSpan w:val="3"/>
            <w:vAlign w:val="center"/>
          </w:tcPr>
          <w:p w14:paraId="6945FD6A"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0</w:t>
            </w:r>
          </w:p>
        </w:tc>
      </w:tr>
      <w:tr w:rsidR="00572149" w:rsidRPr="00330362" w14:paraId="707405A7" w14:textId="77777777" w:rsidTr="00E10436">
        <w:trPr>
          <w:trHeight w:val="538"/>
        </w:trPr>
        <w:tc>
          <w:tcPr>
            <w:tcW w:w="1818" w:type="pct"/>
            <w:vAlign w:val="center"/>
            <w:hideMark/>
          </w:tcPr>
          <w:p w14:paraId="5079AA21" w14:textId="217D49D6"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Mean costs per workday missed</w:t>
            </w:r>
            <w:r w:rsidR="00D56D60" w:rsidRPr="00AB43D9">
              <w:rPr>
                <w:rFonts w:ascii="Times New Roman" w:hAnsi="Times New Roman" w:cs="Times New Roman"/>
                <w:szCs w:val="20"/>
                <w:vertAlign w:val="superscript"/>
              </w:rPr>
              <w:t>1</w:t>
            </w:r>
          </w:p>
        </w:tc>
        <w:tc>
          <w:tcPr>
            <w:tcW w:w="3182" w:type="pct"/>
            <w:gridSpan w:val="13"/>
            <w:vAlign w:val="center"/>
            <w:hideMark/>
          </w:tcPr>
          <w:p w14:paraId="6680A62D"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CHF 267.00</w:t>
            </w:r>
          </w:p>
        </w:tc>
      </w:tr>
      <w:tr w:rsidR="00572149" w:rsidRPr="00330362" w14:paraId="770F8F70" w14:textId="77777777" w:rsidTr="00E10436">
        <w:trPr>
          <w:trHeight w:val="980"/>
        </w:trPr>
        <w:tc>
          <w:tcPr>
            <w:tcW w:w="1818" w:type="pct"/>
            <w:vAlign w:val="center"/>
          </w:tcPr>
          <w:p w14:paraId="2E09DACB" w14:textId="5E8667D0" w:rsidR="00572149" w:rsidRPr="00D20704" w:rsidDel="00353A37"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 xml:space="preserve">Additional risk of febrile seizures for </w:t>
            </w:r>
            <w:r w:rsidRPr="00E10436">
              <w:rPr>
                <w:rFonts w:ascii="Times New Roman" w:hAnsi="Times New Roman" w:cs="Times New Roman"/>
                <w:szCs w:val="20"/>
              </w:rPr>
              <w:t>MMRV-MSD</w:t>
            </w:r>
            <w:r w:rsidRPr="00D20704">
              <w:rPr>
                <w:rFonts w:ascii="Times New Roman" w:hAnsi="Times New Roman" w:cs="Times New Roman"/>
                <w:szCs w:val="20"/>
              </w:rPr>
              <w:t xml:space="preserve"> compared to MMR</w:t>
            </w:r>
            <w:r w:rsidR="00D56D60">
              <w:rPr>
                <w:rFonts w:ascii="Times New Roman" w:hAnsi="Times New Roman" w:cs="Times New Roman"/>
                <w:szCs w:val="20"/>
                <w:vertAlign w:val="superscript"/>
              </w:rPr>
              <w:t>4</w:t>
            </w:r>
          </w:p>
        </w:tc>
        <w:tc>
          <w:tcPr>
            <w:tcW w:w="3182" w:type="pct"/>
            <w:gridSpan w:val="13"/>
            <w:vAlign w:val="center"/>
          </w:tcPr>
          <w:p w14:paraId="4B1B72CA"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1 case per 2600 doses</w:t>
            </w:r>
          </w:p>
        </w:tc>
      </w:tr>
      <w:tr w:rsidR="00572149" w:rsidRPr="00330362" w14:paraId="246B526A" w14:textId="77777777" w:rsidTr="00E10436">
        <w:trPr>
          <w:trHeight w:val="538"/>
        </w:trPr>
        <w:tc>
          <w:tcPr>
            <w:tcW w:w="1818" w:type="pct"/>
            <w:vAlign w:val="center"/>
          </w:tcPr>
          <w:p w14:paraId="2AFEB6A5" w14:textId="77777777"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Cost to treat a single episode of febrile seizures</w:t>
            </w:r>
          </w:p>
        </w:tc>
        <w:tc>
          <w:tcPr>
            <w:tcW w:w="3182" w:type="pct"/>
            <w:gridSpan w:val="13"/>
            <w:vAlign w:val="center"/>
          </w:tcPr>
          <w:p w14:paraId="08B1B4A2"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sz w:val="20"/>
                <w:lang w:val="pt-BR"/>
              </w:rPr>
              <w:t>CHF 6411.90 per case</w:t>
            </w:r>
          </w:p>
        </w:tc>
      </w:tr>
      <w:tr w:rsidR="000D35B1" w:rsidRPr="00D20704" w14:paraId="2266DBAA" w14:textId="77777777" w:rsidTr="00E10436">
        <w:trPr>
          <w:trHeight w:val="1269"/>
        </w:trPr>
        <w:tc>
          <w:tcPr>
            <w:tcW w:w="1818" w:type="pct"/>
            <w:vAlign w:val="center"/>
          </w:tcPr>
          <w:p w14:paraId="444582C0" w14:textId="654984EE"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HZ incidence per 1,000 population</w:t>
            </w:r>
            <w:r w:rsidR="00D56D60">
              <w:rPr>
                <w:rFonts w:ascii="Times New Roman" w:hAnsi="Times New Roman" w:cs="Times New Roman"/>
                <w:szCs w:val="20"/>
                <w:vertAlign w:val="superscript"/>
              </w:rPr>
              <w:t>5</w:t>
            </w:r>
          </w:p>
        </w:tc>
        <w:tc>
          <w:tcPr>
            <w:tcW w:w="350" w:type="pct"/>
            <w:vAlign w:val="center"/>
          </w:tcPr>
          <w:p w14:paraId="39B5DC36"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0-4y:</w:t>
            </w:r>
          </w:p>
          <w:p w14:paraId="10CDE301" w14:textId="77777777" w:rsidR="00572149" w:rsidRPr="00E10436" w:rsidRDefault="00572149" w:rsidP="00E10436">
            <w:pPr>
              <w:pStyle w:val="TableTextIndented"/>
              <w:spacing w:line="480" w:lineRule="auto"/>
              <w:ind w:left="0"/>
              <w:jc w:val="center"/>
              <w:rPr>
                <w:rFonts w:ascii="Times New Roman" w:eastAsia="MinionPro-Regular" w:hAnsi="Times New Roman"/>
                <w:sz w:val="20"/>
              </w:rPr>
            </w:pPr>
            <w:r w:rsidRPr="00E10436">
              <w:rPr>
                <w:rFonts w:ascii="Times New Roman" w:eastAsia="MinionPro-Regular" w:hAnsi="Times New Roman"/>
                <w:sz w:val="20"/>
              </w:rPr>
              <w:t>0.4</w:t>
            </w:r>
          </w:p>
        </w:tc>
        <w:tc>
          <w:tcPr>
            <w:tcW w:w="350" w:type="pct"/>
            <w:gridSpan w:val="2"/>
            <w:vAlign w:val="center"/>
          </w:tcPr>
          <w:p w14:paraId="458A599B"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5-9y:</w:t>
            </w:r>
          </w:p>
          <w:p w14:paraId="679C6AA5" w14:textId="77777777" w:rsidR="00572149" w:rsidRPr="00E10436" w:rsidRDefault="00572149" w:rsidP="00E10436">
            <w:pPr>
              <w:pStyle w:val="TableTextIndented"/>
              <w:spacing w:line="480" w:lineRule="auto"/>
              <w:ind w:left="0"/>
              <w:jc w:val="center"/>
              <w:rPr>
                <w:rFonts w:ascii="Times New Roman" w:eastAsia="MinionPro-Regular" w:hAnsi="Times New Roman"/>
                <w:sz w:val="20"/>
              </w:rPr>
            </w:pPr>
            <w:r w:rsidRPr="00E10436">
              <w:rPr>
                <w:rFonts w:ascii="Times New Roman" w:eastAsia="MinionPro-Regular" w:hAnsi="Times New Roman"/>
                <w:sz w:val="20"/>
              </w:rPr>
              <w:t>0.8</w:t>
            </w:r>
          </w:p>
        </w:tc>
        <w:tc>
          <w:tcPr>
            <w:tcW w:w="350" w:type="pct"/>
            <w:gridSpan w:val="2"/>
            <w:vAlign w:val="center"/>
          </w:tcPr>
          <w:p w14:paraId="76B425E3"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10-39y:</w:t>
            </w:r>
          </w:p>
          <w:p w14:paraId="781E6F85" w14:textId="77777777" w:rsidR="00572149" w:rsidRPr="00E10436" w:rsidRDefault="00572149" w:rsidP="00E10436">
            <w:pPr>
              <w:pStyle w:val="TableTextIndented"/>
              <w:spacing w:line="480" w:lineRule="auto"/>
              <w:ind w:left="0"/>
              <w:jc w:val="center"/>
              <w:rPr>
                <w:rFonts w:ascii="Times New Roman" w:eastAsia="MinionPro-Regular" w:hAnsi="Times New Roman"/>
                <w:sz w:val="20"/>
              </w:rPr>
            </w:pPr>
            <w:r w:rsidRPr="00E10436">
              <w:rPr>
                <w:rFonts w:ascii="Times New Roman" w:eastAsia="MinionPro-Regular" w:hAnsi="Times New Roman"/>
                <w:sz w:val="20"/>
              </w:rPr>
              <w:t>1.2</w:t>
            </w:r>
          </w:p>
        </w:tc>
        <w:tc>
          <w:tcPr>
            <w:tcW w:w="566" w:type="pct"/>
            <w:gridSpan w:val="2"/>
            <w:vAlign w:val="center"/>
          </w:tcPr>
          <w:p w14:paraId="42A93D79"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40-49y:</w:t>
            </w:r>
          </w:p>
          <w:p w14:paraId="71A8240B" w14:textId="77777777" w:rsidR="00572149" w:rsidRPr="00E10436" w:rsidRDefault="00572149" w:rsidP="00E10436">
            <w:pPr>
              <w:pStyle w:val="TableTextIndented"/>
              <w:spacing w:line="480" w:lineRule="auto"/>
              <w:ind w:left="0"/>
              <w:jc w:val="center"/>
              <w:rPr>
                <w:rFonts w:ascii="Times New Roman" w:eastAsia="MinionPro-Regular" w:hAnsi="Times New Roman"/>
                <w:sz w:val="20"/>
              </w:rPr>
            </w:pPr>
            <w:r w:rsidRPr="00E10436">
              <w:rPr>
                <w:rFonts w:ascii="Times New Roman" w:eastAsia="MinionPro-Regular" w:hAnsi="Times New Roman"/>
                <w:sz w:val="20"/>
              </w:rPr>
              <w:t>2.13</w:t>
            </w:r>
          </w:p>
        </w:tc>
        <w:tc>
          <w:tcPr>
            <w:tcW w:w="313" w:type="pct"/>
            <w:vAlign w:val="center"/>
          </w:tcPr>
          <w:p w14:paraId="5A7BB913"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50-59y:</w:t>
            </w:r>
          </w:p>
          <w:p w14:paraId="5777EA23" w14:textId="77777777" w:rsidR="00572149" w:rsidRPr="00E10436" w:rsidRDefault="00572149" w:rsidP="00E10436">
            <w:pPr>
              <w:pStyle w:val="TableTextIndented"/>
              <w:spacing w:line="480" w:lineRule="auto"/>
              <w:ind w:left="0"/>
              <w:jc w:val="center"/>
              <w:rPr>
                <w:rFonts w:ascii="Times New Roman" w:eastAsia="MinionPro-Regular" w:hAnsi="Times New Roman"/>
                <w:sz w:val="20"/>
              </w:rPr>
            </w:pPr>
            <w:r w:rsidRPr="00E10436">
              <w:rPr>
                <w:rFonts w:ascii="Times New Roman" w:eastAsia="MinionPro-Regular" w:hAnsi="Times New Roman"/>
                <w:sz w:val="20"/>
              </w:rPr>
              <w:t>3.06</w:t>
            </w:r>
          </w:p>
        </w:tc>
        <w:tc>
          <w:tcPr>
            <w:tcW w:w="313" w:type="pct"/>
            <w:vAlign w:val="center"/>
          </w:tcPr>
          <w:p w14:paraId="2E5E318F"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60-69y:</w:t>
            </w:r>
          </w:p>
          <w:p w14:paraId="6EA0038D" w14:textId="77777777" w:rsidR="00572149" w:rsidRPr="00E10436" w:rsidRDefault="00572149" w:rsidP="00E10436">
            <w:pPr>
              <w:pStyle w:val="TableTextIndented"/>
              <w:spacing w:line="480" w:lineRule="auto"/>
              <w:ind w:left="0"/>
              <w:jc w:val="center"/>
              <w:rPr>
                <w:rFonts w:ascii="Times New Roman" w:eastAsia="MinionPro-Regular" w:hAnsi="Times New Roman"/>
                <w:sz w:val="20"/>
              </w:rPr>
            </w:pPr>
            <w:r w:rsidRPr="00E10436">
              <w:rPr>
                <w:rFonts w:ascii="Times New Roman" w:eastAsia="MinionPro-Regular" w:hAnsi="Times New Roman"/>
                <w:sz w:val="20"/>
              </w:rPr>
              <w:t>4.14</w:t>
            </w:r>
          </w:p>
        </w:tc>
        <w:tc>
          <w:tcPr>
            <w:tcW w:w="313" w:type="pct"/>
            <w:gridSpan w:val="2"/>
            <w:vAlign w:val="center"/>
          </w:tcPr>
          <w:p w14:paraId="0BB538CE"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70:79y:</w:t>
            </w:r>
          </w:p>
          <w:p w14:paraId="4250DEA0" w14:textId="77777777" w:rsidR="00572149" w:rsidRPr="00E10436" w:rsidRDefault="00572149" w:rsidP="00E10436">
            <w:pPr>
              <w:pStyle w:val="TableTextIndented"/>
              <w:spacing w:line="480" w:lineRule="auto"/>
              <w:ind w:left="0"/>
              <w:jc w:val="center"/>
              <w:rPr>
                <w:rFonts w:ascii="Times New Roman" w:eastAsia="MinionPro-Regular" w:hAnsi="Times New Roman"/>
                <w:sz w:val="20"/>
              </w:rPr>
            </w:pPr>
            <w:r w:rsidRPr="00E10436">
              <w:rPr>
                <w:rFonts w:ascii="Times New Roman" w:eastAsia="MinionPro-Regular" w:hAnsi="Times New Roman"/>
                <w:sz w:val="20"/>
              </w:rPr>
              <w:t>5.99</w:t>
            </w:r>
          </w:p>
        </w:tc>
        <w:tc>
          <w:tcPr>
            <w:tcW w:w="313" w:type="pct"/>
            <w:vAlign w:val="center"/>
          </w:tcPr>
          <w:p w14:paraId="337964E9"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80:89y:</w:t>
            </w:r>
          </w:p>
          <w:p w14:paraId="53210EBE" w14:textId="77777777" w:rsidR="00572149" w:rsidRPr="00E10436" w:rsidRDefault="00572149" w:rsidP="00E10436">
            <w:pPr>
              <w:pStyle w:val="TableTextIndented"/>
              <w:spacing w:line="480" w:lineRule="auto"/>
              <w:ind w:left="0"/>
              <w:jc w:val="center"/>
              <w:rPr>
                <w:rFonts w:ascii="Times New Roman" w:eastAsia="MinionPro-Regular" w:hAnsi="Times New Roman"/>
                <w:sz w:val="20"/>
              </w:rPr>
            </w:pPr>
            <w:r w:rsidRPr="00E10436">
              <w:rPr>
                <w:rFonts w:ascii="Times New Roman" w:eastAsia="MinionPro-Regular" w:hAnsi="Times New Roman"/>
                <w:sz w:val="20"/>
              </w:rPr>
              <w:t>7.48</w:t>
            </w:r>
          </w:p>
        </w:tc>
        <w:tc>
          <w:tcPr>
            <w:tcW w:w="314" w:type="pct"/>
            <w:vAlign w:val="center"/>
          </w:tcPr>
          <w:p w14:paraId="363F6F88"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90+:</w:t>
            </w:r>
          </w:p>
          <w:p w14:paraId="3AA68C73" w14:textId="77777777" w:rsidR="00572149" w:rsidRPr="00E10436" w:rsidRDefault="00572149" w:rsidP="00E10436">
            <w:pPr>
              <w:pStyle w:val="TableTextIndented"/>
              <w:spacing w:line="480" w:lineRule="auto"/>
              <w:ind w:left="0"/>
              <w:jc w:val="center"/>
              <w:rPr>
                <w:rFonts w:ascii="Times New Roman" w:eastAsia="MinionPro-Regular" w:hAnsi="Times New Roman"/>
                <w:sz w:val="20"/>
              </w:rPr>
            </w:pPr>
            <w:r w:rsidRPr="00E10436">
              <w:rPr>
                <w:rFonts w:ascii="Times New Roman" w:eastAsia="MinionPro-Regular" w:hAnsi="Times New Roman"/>
                <w:sz w:val="20"/>
              </w:rPr>
              <w:t>8.17</w:t>
            </w:r>
          </w:p>
        </w:tc>
      </w:tr>
      <w:tr w:rsidR="000D35B1" w:rsidRPr="00D20704" w14:paraId="1DF75A70" w14:textId="77777777" w:rsidTr="000D35B1">
        <w:trPr>
          <w:trHeight w:val="798"/>
        </w:trPr>
        <w:tc>
          <w:tcPr>
            <w:tcW w:w="1818" w:type="pct"/>
            <w:vAlign w:val="center"/>
          </w:tcPr>
          <w:p w14:paraId="5F05D1F6" w14:textId="507D8DA7"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 of HZ cases that developed post-herpetic neuralgia</w:t>
            </w:r>
            <w:r w:rsidR="00D56D60">
              <w:rPr>
                <w:rFonts w:ascii="Times New Roman" w:hAnsi="Times New Roman" w:cs="Times New Roman"/>
                <w:szCs w:val="20"/>
                <w:vertAlign w:val="superscript"/>
              </w:rPr>
              <w:t>6</w:t>
            </w:r>
          </w:p>
        </w:tc>
        <w:tc>
          <w:tcPr>
            <w:tcW w:w="403" w:type="pct"/>
            <w:gridSpan w:val="2"/>
            <w:vAlign w:val="center"/>
          </w:tcPr>
          <w:p w14:paraId="7D54B5F6"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 xml:space="preserve">0-4y: </w:t>
            </w:r>
          </w:p>
          <w:p w14:paraId="35D59847" w14:textId="77777777" w:rsidR="00572149" w:rsidRPr="00D20704"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0%</w:t>
            </w:r>
          </w:p>
        </w:tc>
        <w:tc>
          <w:tcPr>
            <w:tcW w:w="405" w:type="pct"/>
            <w:gridSpan w:val="2"/>
            <w:vAlign w:val="center"/>
          </w:tcPr>
          <w:p w14:paraId="5E3FA3A6" w14:textId="77777777" w:rsidR="00572149" w:rsidRPr="00E10436"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 xml:space="preserve">5-14Y: </w:t>
            </w:r>
          </w:p>
          <w:p w14:paraId="4A75F890" w14:textId="77777777" w:rsidR="00572149" w:rsidRPr="00D20704"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1 %</w:t>
            </w:r>
          </w:p>
        </w:tc>
        <w:tc>
          <w:tcPr>
            <w:tcW w:w="758" w:type="pct"/>
            <w:gridSpan w:val="2"/>
            <w:vAlign w:val="center"/>
          </w:tcPr>
          <w:p w14:paraId="2ACD7D50" w14:textId="77777777" w:rsidR="00572149" w:rsidRPr="00D20704"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15-44y: 4%</w:t>
            </w:r>
          </w:p>
        </w:tc>
        <w:tc>
          <w:tcPr>
            <w:tcW w:w="808" w:type="pct"/>
            <w:gridSpan w:val="4"/>
            <w:vAlign w:val="center"/>
          </w:tcPr>
          <w:p w14:paraId="284D271A" w14:textId="77777777" w:rsidR="00572149" w:rsidRPr="00D20704"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45-64y:11%</w:t>
            </w:r>
          </w:p>
        </w:tc>
        <w:tc>
          <w:tcPr>
            <w:tcW w:w="809" w:type="pct"/>
            <w:gridSpan w:val="3"/>
            <w:vAlign w:val="center"/>
          </w:tcPr>
          <w:p w14:paraId="32E1DD66" w14:textId="77777777" w:rsidR="00572149" w:rsidRPr="00D20704" w:rsidRDefault="00572149">
            <w:pPr>
              <w:spacing w:before="0" w:line="480" w:lineRule="auto"/>
              <w:jc w:val="center"/>
              <w:rPr>
                <w:rFonts w:ascii="Times New Roman" w:hAnsi="Times New Roman" w:cs="Times New Roman"/>
              </w:rPr>
            </w:pPr>
            <w:r w:rsidRPr="00E10436">
              <w:rPr>
                <w:rFonts w:ascii="Times New Roman" w:hAnsi="Times New Roman" w:cs="Times New Roman"/>
                <w:sz w:val="22"/>
                <w:szCs w:val="22"/>
              </w:rPr>
              <w:t>65y+: 31%</w:t>
            </w:r>
          </w:p>
        </w:tc>
      </w:tr>
      <w:tr w:rsidR="00572149" w:rsidRPr="00330362" w14:paraId="61973FD4" w14:textId="77777777" w:rsidTr="00E10436">
        <w:trPr>
          <w:trHeight w:val="538"/>
        </w:trPr>
        <w:tc>
          <w:tcPr>
            <w:tcW w:w="1818" w:type="pct"/>
            <w:vAlign w:val="center"/>
          </w:tcPr>
          <w:p w14:paraId="35553FFF" w14:textId="5E09070A"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Mean cost per case of Herpes zoster (uncomplicated)</w:t>
            </w:r>
            <w:r w:rsidR="00D56D60">
              <w:rPr>
                <w:rFonts w:ascii="Times New Roman" w:hAnsi="Times New Roman" w:cs="Times New Roman"/>
                <w:szCs w:val="20"/>
                <w:vertAlign w:val="superscript"/>
              </w:rPr>
              <w:t>6</w:t>
            </w:r>
            <w:r w:rsidRPr="00D20704">
              <w:rPr>
                <w:rFonts w:ascii="Times New Roman" w:hAnsi="Times New Roman" w:cs="Times New Roman"/>
                <w:szCs w:val="20"/>
              </w:rPr>
              <w:t xml:space="preserve"> </w:t>
            </w:r>
          </w:p>
        </w:tc>
        <w:tc>
          <w:tcPr>
            <w:tcW w:w="3182" w:type="pct"/>
            <w:gridSpan w:val="13"/>
            <w:vAlign w:val="center"/>
          </w:tcPr>
          <w:p w14:paraId="2284F427"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CHF 491.11 until age 69 years then CHF 534.74 for ≥ 70 years</w:t>
            </w:r>
          </w:p>
        </w:tc>
      </w:tr>
      <w:tr w:rsidR="00572149" w:rsidRPr="00330362" w14:paraId="24BCBDA0" w14:textId="77777777" w:rsidTr="00E10436">
        <w:trPr>
          <w:trHeight w:val="980"/>
        </w:trPr>
        <w:tc>
          <w:tcPr>
            <w:tcW w:w="1818" w:type="pct"/>
            <w:vAlign w:val="center"/>
          </w:tcPr>
          <w:p w14:paraId="027882AF" w14:textId="6285E430"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Mean cost per case of Herpes zoster (complicated with postherpetic neuralgia [PHN])</w:t>
            </w:r>
            <w:r w:rsidR="00D56D60">
              <w:rPr>
                <w:rFonts w:ascii="Times New Roman" w:hAnsi="Times New Roman" w:cs="Times New Roman"/>
                <w:szCs w:val="20"/>
                <w:vertAlign w:val="superscript"/>
              </w:rPr>
              <w:t>6</w:t>
            </w:r>
            <w:r w:rsidRPr="00D20704">
              <w:rPr>
                <w:rFonts w:ascii="Times New Roman" w:hAnsi="Times New Roman" w:cs="Times New Roman"/>
                <w:szCs w:val="20"/>
              </w:rPr>
              <w:t xml:space="preserve"> </w:t>
            </w:r>
          </w:p>
        </w:tc>
        <w:tc>
          <w:tcPr>
            <w:tcW w:w="3182" w:type="pct"/>
            <w:gridSpan w:val="13"/>
            <w:vAlign w:val="center"/>
          </w:tcPr>
          <w:p w14:paraId="643A1ECE" w14:textId="77777777" w:rsidR="00572149" w:rsidRPr="00D20704" w:rsidRDefault="00572149" w:rsidP="00E10436">
            <w:pPr>
              <w:pStyle w:val="TableTextIndented"/>
              <w:spacing w:line="480" w:lineRule="auto"/>
              <w:ind w:left="0"/>
              <w:jc w:val="center"/>
              <w:rPr>
                <w:rFonts w:ascii="Times New Roman" w:hAnsi="Times New Roman"/>
                <w:sz w:val="20"/>
              </w:rPr>
            </w:pPr>
            <w:r w:rsidRPr="00D20704">
              <w:rPr>
                <w:rFonts w:ascii="Times New Roman" w:hAnsi="Times New Roman"/>
                <w:sz w:val="20"/>
              </w:rPr>
              <w:t>CHF 858.02 until age 69 years then CHF 1214.03 for ≥ 70 years</w:t>
            </w:r>
          </w:p>
        </w:tc>
      </w:tr>
      <w:tr w:rsidR="000D35B1" w:rsidRPr="00330362" w14:paraId="3574A369" w14:textId="77777777" w:rsidTr="00E10436">
        <w:trPr>
          <w:trHeight w:val="149"/>
        </w:trPr>
        <w:tc>
          <w:tcPr>
            <w:tcW w:w="1818" w:type="pct"/>
            <w:vMerge w:val="restart"/>
            <w:vAlign w:val="center"/>
          </w:tcPr>
          <w:p w14:paraId="77C3661C" w14:textId="4590008B" w:rsidR="00572149" w:rsidRPr="00D20704" w:rsidRDefault="00572149" w:rsidP="00E10436">
            <w:pPr>
              <w:pStyle w:val="BodyText"/>
              <w:spacing w:after="40" w:line="480" w:lineRule="auto"/>
              <w:rPr>
                <w:rFonts w:ascii="Times New Roman" w:hAnsi="Times New Roman" w:cs="Times New Roman"/>
                <w:szCs w:val="20"/>
              </w:rPr>
            </w:pPr>
            <w:r w:rsidRPr="00D20704">
              <w:rPr>
                <w:rFonts w:ascii="Times New Roman" w:hAnsi="Times New Roman" w:cs="Times New Roman"/>
                <w:szCs w:val="20"/>
              </w:rPr>
              <w:t>Mean Days lost from work due to HZ</w:t>
            </w:r>
            <w:r w:rsidR="00D56D60">
              <w:rPr>
                <w:rFonts w:ascii="Times New Roman" w:hAnsi="Times New Roman" w:cs="Times New Roman"/>
                <w:szCs w:val="20"/>
                <w:vertAlign w:val="superscript"/>
              </w:rPr>
              <w:t>5</w:t>
            </w:r>
          </w:p>
        </w:tc>
        <w:tc>
          <w:tcPr>
            <w:tcW w:w="808" w:type="pct"/>
            <w:gridSpan w:val="4"/>
            <w:vAlign w:val="center"/>
          </w:tcPr>
          <w:p w14:paraId="1E3128D9" w14:textId="77777777" w:rsidR="00572149" w:rsidRPr="00D20704" w:rsidRDefault="00572149" w:rsidP="00E10436">
            <w:pPr>
              <w:pStyle w:val="TableTextIndented"/>
              <w:spacing w:line="480" w:lineRule="auto"/>
              <w:ind w:left="0"/>
              <w:jc w:val="center"/>
              <w:rPr>
                <w:rFonts w:ascii="Times New Roman" w:hAnsi="Times New Roman"/>
                <w:sz w:val="20"/>
                <w:lang w:val="pt-BR"/>
              </w:rPr>
            </w:pPr>
          </w:p>
        </w:tc>
        <w:tc>
          <w:tcPr>
            <w:tcW w:w="758" w:type="pct"/>
            <w:gridSpan w:val="2"/>
            <w:vAlign w:val="center"/>
          </w:tcPr>
          <w:p w14:paraId="5EF8DD3B"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b/>
                <w:bCs/>
                <w:sz w:val="20"/>
              </w:rPr>
              <w:t>&lt;18 yrs</w:t>
            </w:r>
          </w:p>
        </w:tc>
        <w:tc>
          <w:tcPr>
            <w:tcW w:w="808" w:type="pct"/>
            <w:gridSpan w:val="4"/>
            <w:vAlign w:val="center"/>
          </w:tcPr>
          <w:p w14:paraId="0C4BF674"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b/>
                <w:bCs/>
                <w:sz w:val="20"/>
              </w:rPr>
              <w:t>18-64 yrs</w:t>
            </w:r>
          </w:p>
        </w:tc>
        <w:tc>
          <w:tcPr>
            <w:tcW w:w="809" w:type="pct"/>
            <w:gridSpan w:val="3"/>
            <w:vAlign w:val="center"/>
          </w:tcPr>
          <w:p w14:paraId="593A87B2" w14:textId="77777777" w:rsidR="00572149" w:rsidRPr="00D20704" w:rsidRDefault="00572149" w:rsidP="00E10436">
            <w:pPr>
              <w:pStyle w:val="TableTextIndented"/>
              <w:spacing w:line="480" w:lineRule="auto"/>
              <w:ind w:left="0"/>
              <w:jc w:val="center"/>
              <w:rPr>
                <w:rFonts w:ascii="Times New Roman" w:hAnsi="Times New Roman"/>
                <w:sz w:val="20"/>
                <w:lang w:val="pt-BR"/>
              </w:rPr>
            </w:pPr>
            <w:r w:rsidRPr="00D20704">
              <w:rPr>
                <w:rFonts w:ascii="Times New Roman" w:hAnsi="Times New Roman"/>
                <w:b/>
                <w:bCs/>
                <w:sz w:val="20"/>
              </w:rPr>
              <w:t>65+ yrs</w:t>
            </w:r>
          </w:p>
        </w:tc>
      </w:tr>
      <w:tr w:rsidR="000D35B1" w:rsidRPr="00330362" w14:paraId="66D27E38" w14:textId="77777777" w:rsidTr="00E10436">
        <w:trPr>
          <w:trHeight w:val="148"/>
        </w:trPr>
        <w:tc>
          <w:tcPr>
            <w:tcW w:w="1818" w:type="pct"/>
            <w:vMerge/>
            <w:vAlign w:val="center"/>
          </w:tcPr>
          <w:p w14:paraId="56ADD4A0" w14:textId="77777777" w:rsidR="00572149" w:rsidRPr="00D20704" w:rsidRDefault="00572149" w:rsidP="00E10436">
            <w:pPr>
              <w:pStyle w:val="BodyText"/>
              <w:spacing w:after="40" w:line="480" w:lineRule="auto"/>
              <w:rPr>
                <w:rFonts w:ascii="Times New Roman" w:hAnsi="Times New Roman" w:cs="Times New Roman"/>
                <w:szCs w:val="20"/>
              </w:rPr>
            </w:pPr>
          </w:p>
        </w:tc>
        <w:tc>
          <w:tcPr>
            <w:tcW w:w="808" w:type="pct"/>
            <w:gridSpan w:val="4"/>
            <w:vAlign w:val="center"/>
          </w:tcPr>
          <w:p w14:paraId="65C2E407" w14:textId="77777777" w:rsidR="00572149" w:rsidRPr="00E10436" w:rsidRDefault="00572149" w:rsidP="00E10436">
            <w:pPr>
              <w:pStyle w:val="TableTextIndented"/>
              <w:spacing w:line="480" w:lineRule="auto"/>
              <w:ind w:left="0"/>
              <w:jc w:val="center"/>
              <w:rPr>
                <w:rStyle w:val="CommentReference"/>
                <w:rFonts w:ascii="Times New Roman" w:eastAsiaTheme="minorHAnsi" w:hAnsi="Times New Roman"/>
                <w:sz w:val="20"/>
                <w:szCs w:val="20"/>
              </w:rPr>
            </w:pPr>
            <w:r w:rsidRPr="00E10436">
              <w:rPr>
                <w:rFonts w:ascii="Times New Roman" w:hAnsi="Times New Roman"/>
                <w:sz w:val="20"/>
              </w:rPr>
              <w:t>Uncomplicated case</w:t>
            </w:r>
          </w:p>
        </w:tc>
        <w:tc>
          <w:tcPr>
            <w:tcW w:w="758" w:type="pct"/>
            <w:gridSpan w:val="2"/>
            <w:vAlign w:val="center"/>
          </w:tcPr>
          <w:p w14:paraId="00B2BB96" w14:textId="77777777" w:rsidR="00572149" w:rsidRPr="00E10436" w:rsidRDefault="00572149" w:rsidP="00E10436">
            <w:pPr>
              <w:pStyle w:val="TableTextIndented"/>
              <w:spacing w:line="480" w:lineRule="auto"/>
              <w:ind w:left="0"/>
              <w:jc w:val="center"/>
              <w:rPr>
                <w:rStyle w:val="CommentReference"/>
                <w:rFonts w:ascii="Times New Roman" w:eastAsiaTheme="minorHAnsi" w:hAnsi="Times New Roman"/>
                <w:sz w:val="20"/>
                <w:szCs w:val="20"/>
              </w:rPr>
            </w:pPr>
            <w:r w:rsidRPr="00E10436">
              <w:rPr>
                <w:rFonts w:ascii="Times New Roman" w:hAnsi="Times New Roman"/>
                <w:sz w:val="20"/>
              </w:rPr>
              <w:t>0.0</w:t>
            </w:r>
          </w:p>
        </w:tc>
        <w:tc>
          <w:tcPr>
            <w:tcW w:w="808" w:type="pct"/>
            <w:gridSpan w:val="4"/>
            <w:vAlign w:val="center"/>
          </w:tcPr>
          <w:p w14:paraId="63D31134" w14:textId="77777777" w:rsidR="00572149" w:rsidRPr="00E10436" w:rsidRDefault="00572149" w:rsidP="00E10436">
            <w:pPr>
              <w:pStyle w:val="TableTextIndented"/>
              <w:spacing w:line="480" w:lineRule="auto"/>
              <w:ind w:left="0"/>
              <w:jc w:val="center"/>
              <w:rPr>
                <w:rStyle w:val="CommentReference"/>
                <w:rFonts w:ascii="Times New Roman" w:eastAsiaTheme="minorHAnsi" w:hAnsi="Times New Roman"/>
                <w:sz w:val="20"/>
                <w:szCs w:val="20"/>
              </w:rPr>
            </w:pPr>
            <w:r w:rsidRPr="00E10436">
              <w:rPr>
                <w:rFonts w:ascii="Times New Roman" w:hAnsi="Times New Roman"/>
                <w:sz w:val="20"/>
              </w:rPr>
              <w:t>0.3</w:t>
            </w:r>
          </w:p>
        </w:tc>
        <w:tc>
          <w:tcPr>
            <w:tcW w:w="809" w:type="pct"/>
            <w:gridSpan w:val="3"/>
            <w:vAlign w:val="center"/>
          </w:tcPr>
          <w:p w14:paraId="3347DC12" w14:textId="77777777" w:rsidR="00572149" w:rsidRPr="00E10436" w:rsidRDefault="00572149" w:rsidP="00E10436">
            <w:pPr>
              <w:pStyle w:val="TableTextIndented"/>
              <w:spacing w:line="480" w:lineRule="auto"/>
              <w:ind w:left="0"/>
              <w:jc w:val="center"/>
              <w:rPr>
                <w:rStyle w:val="CommentReference"/>
                <w:rFonts w:ascii="Times New Roman" w:eastAsiaTheme="minorHAnsi" w:hAnsi="Times New Roman"/>
                <w:sz w:val="20"/>
                <w:szCs w:val="20"/>
              </w:rPr>
            </w:pPr>
            <w:r w:rsidRPr="00E10436">
              <w:rPr>
                <w:rFonts w:ascii="Times New Roman" w:hAnsi="Times New Roman"/>
                <w:sz w:val="20"/>
              </w:rPr>
              <w:t>0.3</w:t>
            </w:r>
          </w:p>
        </w:tc>
      </w:tr>
      <w:tr w:rsidR="000D35B1" w:rsidRPr="00330362" w14:paraId="0EE725C5" w14:textId="77777777" w:rsidTr="00E10436">
        <w:trPr>
          <w:trHeight w:val="148"/>
        </w:trPr>
        <w:tc>
          <w:tcPr>
            <w:tcW w:w="1818" w:type="pct"/>
            <w:vMerge/>
            <w:vAlign w:val="center"/>
          </w:tcPr>
          <w:p w14:paraId="344128D3" w14:textId="77777777" w:rsidR="00572149" w:rsidRPr="00D20704" w:rsidRDefault="00572149" w:rsidP="00E10436">
            <w:pPr>
              <w:pStyle w:val="BodyText"/>
              <w:spacing w:after="40" w:line="480" w:lineRule="auto"/>
              <w:rPr>
                <w:rFonts w:ascii="Times New Roman" w:hAnsi="Times New Roman" w:cs="Times New Roman"/>
                <w:szCs w:val="20"/>
              </w:rPr>
            </w:pPr>
          </w:p>
        </w:tc>
        <w:tc>
          <w:tcPr>
            <w:tcW w:w="808" w:type="pct"/>
            <w:gridSpan w:val="4"/>
            <w:vAlign w:val="center"/>
          </w:tcPr>
          <w:p w14:paraId="42C7F182" w14:textId="77777777" w:rsidR="00572149" w:rsidRPr="00E10436" w:rsidRDefault="00572149" w:rsidP="00E10436">
            <w:pPr>
              <w:pStyle w:val="TableTextIndented"/>
              <w:spacing w:line="480" w:lineRule="auto"/>
              <w:ind w:left="0"/>
              <w:jc w:val="center"/>
              <w:rPr>
                <w:rStyle w:val="CommentReference"/>
                <w:rFonts w:ascii="Times New Roman" w:eastAsiaTheme="minorHAnsi" w:hAnsi="Times New Roman"/>
                <w:sz w:val="20"/>
                <w:szCs w:val="20"/>
              </w:rPr>
            </w:pPr>
            <w:r w:rsidRPr="00E10436">
              <w:rPr>
                <w:rFonts w:ascii="Times New Roman" w:hAnsi="Times New Roman"/>
                <w:sz w:val="20"/>
              </w:rPr>
              <w:t>HZ with PHN</w:t>
            </w:r>
          </w:p>
        </w:tc>
        <w:tc>
          <w:tcPr>
            <w:tcW w:w="758" w:type="pct"/>
            <w:gridSpan w:val="2"/>
            <w:vAlign w:val="center"/>
          </w:tcPr>
          <w:p w14:paraId="0B88CD50" w14:textId="77777777" w:rsidR="00572149" w:rsidRPr="00E10436" w:rsidRDefault="00572149" w:rsidP="00E10436">
            <w:pPr>
              <w:pStyle w:val="TableTextIndented"/>
              <w:spacing w:line="480" w:lineRule="auto"/>
              <w:ind w:left="0"/>
              <w:jc w:val="center"/>
              <w:rPr>
                <w:rStyle w:val="CommentReference"/>
                <w:rFonts w:ascii="Times New Roman" w:eastAsiaTheme="minorHAnsi" w:hAnsi="Times New Roman"/>
                <w:sz w:val="20"/>
                <w:szCs w:val="20"/>
              </w:rPr>
            </w:pPr>
            <w:r w:rsidRPr="00E10436">
              <w:rPr>
                <w:rFonts w:ascii="Times New Roman" w:hAnsi="Times New Roman"/>
                <w:sz w:val="20"/>
              </w:rPr>
              <w:t>0.0</w:t>
            </w:r>
          </w:p>
        </w:tc>
        <w:tc>
          <w:tcPr>
            <w:tcW w:w="808" w:type="pct"/>
            <w:gridSpan w:val="4"/>
            <w:vAlign w:val="center"/>
          </w:tcPr>
          <w:p w14:paraId="1A393BAC" w14:textId="77777777" w:rsidR="00572149" w:rsidRPr="00E10436" w:rsidRDefault="00572149" w:rsidP="00E10436">
            <w:pPr>
              <w:pStyle w:val="TableTextIndented"/>
              <w:spacing w:line="480" w:lineRule="auto"/>
              <w:ind w:left="0"/>
              <w:jc w:val="center"/>
              <w:rPr>
                <w:rStyle w:val="CommentReference"/>
                <w:rFonts w:ascii="Times New Roman" w:eastAsiaTheme="minorHAnsi" w:hAnsi="Times New Roman"/>
                <w:sz w:val="20"/>
                <w:szCs w:val="20"/>
              </w:rPr>
            </w:pPr>
            <w:r w:rsidRPr="00E10436">
              <w:rPr>
                <w:rFonts w:ascii="Times New Roman" w:hAnsi="Times New Roman"/>
                <w:sz w:val="20"/>
              </w:rPr>
              <w:t>1.9</w:t>
            </w:r>
          </w:p>
        </w:tc>
        <w:tc>
          <w:tcPr>
            <w:tcW w:w="809" w:type="pct"/>
            <w:gridSpan w:val="3"/>
            <w:vAlign w:val="center"/>
          </w:tcPr>
          <w:p w14:paraId="20B30583" w14:textId="77777777" w:rsidR="00572149" w:rsidRPr="00E10436" w:rsidRDefault="00572149" w:rsidP="00E10436">
            <w:pPr>
              <w:pStyle w:val="TableTextIndented"/>
              <w:spacing w:line="480" w:lineRule="auto"/>
              <w:ind w:left="0"/>
              <w:jc w:val="center"/>
              <w:rPr>
                <w:rStyle w:val="CommentReference"/>
                <w:rFonts w:ascii="Times New Roman" w:eastAsiaTheme="minorHAnsi" w:hAnsi="Times New Roman"/>
                <w:sz w:val="20"/>
                <w:szCs w:val="20"/>
              </w:rPr>
            </w:pPr>
            <w:r w:rsidRPr="00E10436">
              <w:rPr>
                <w:rFonts w:ascii="Times New Roman" w:hAnsi="Times New Roman"/>
                <w:sz w:val="20"/>
              </w:rPr>
              <w:t>1.9</w:t>
            </w:r>
          </w:p>
        </w:tc>
      </w:tr>
    </w:tbl>
    <w:p w14:paraId="54A0AC5D" w14:textId="77777777" w:rsidR="00572149" w:rsidRPr="00330362" w:rsidRDefault="00572149" w:rsidP="00E10436">
      <w:pPr>
        <w:pStyle w:val="TableFootnotesAbbreviations"/>
        <w:spacing w:line="480" w:lineRule="auto"/>
        <w:rPr>
          <w:rFonts w:ascii="Times New Roman" w:hAnsi="Times New Roman"/>
        </w:rPr>
      </w:pPr>
      <w:r w:rsidRPr="00330362">
        <w:rPr>
          <w:rFonts w:ascii="Times New Roman" w:hAnsi="Times New Roman"/>
        </w:rPr>
        <w:t>Abbreviations: CHF = Swiss franc; OTC = over-the-counter; Rx = medical prescription.</w:t>
      </w:r>
    </w:p>
    <w:p w14:paraId="330155A9" w14:textId="4623D832" w:rsidR="00572149" w:rsidRDefault="00572149">
      <w:pPr>
        <w:pStyle w:val="TableFootnotesAbbreviations"/>
        <w:spacing w:line="480" w:lineRule="auto"/>
      </w:pPr>
      <w:r w:rsidRPr="00330362">
        <w:rPr>
          <w:rFonts w:ascii="Times New Roman" w:hAnsi="Times New Roman"/>
        </w:rPr>
        <w:t>* Expert opinion; ** calculated based on the proportion of complications and hospitalizations thereof as described in</w:t>
      </w:r>
      <w:r w:rsidRPr="00330362">
        <w:rPr>
          <w:rStyle w:val="CommentReference"/>
          <w:rFonts w:ascii="Times New Roman" w:eastAsiaTheme="minorEastAsia" w:hAnsi="Times New Roman"/>
        </w:rPr>
        <w:t xml:space="preserve"> </w:t>
      </w:r>
      <w:r w:rsidRPr="00330362">
        <w:rPr>
          <w:rFonts w:ascii="Times New Roman" w:hAnsi="Times New Roman"/>
        </w:rPr>
        <w:t>Banz et al</w:t>
      </w:r>
      <w:r w:rsidR="00A311B9" w:rsidRPr="00AB43D9">
        <w:rPr>
          <w:rFonts w:ascii="Times New Roman" w:hAnsi="Times New Roman"/>
          <w:vertAlign w:val="superscript"/>
        </w:rPr>
        <w:t>1</w:t>
      </w:r>
    </w:p>
    <w:p w14:paraId="7BB897A2" w14:textId="77777777" w:rsidR="004200F4" w:rsidRDefault="004200F4">
      <w:pPr>
        <w:pStyle w:val="BodyText"/>
        <w:spacing w:line="480" w:lineRule="auto"/>
        <w:rPr>
          <w:rFonts w:ascii="Times New Roman" w:hAnsi="Times New Roman" w:cs="Times New Roman"/>
          <w:b/>
          <w:bCs/>
          <w:sz w:val="28"/>
          <w:szCs w:val="28"/>
        </w:rPr>
      </w:pPr>
    </w:p>
    <w:p w14:paraId="72397121" w14:textId="77777777" w:rsidR="00D20704" w:rsidRDefault="00D20704" w:rsidP="00A311B9">
      <w:pPr>
        <w:pStyle w:val="BodyText"/>
        <w:spacing w:line="480" w:lineRule="auto"/>
        <w:rPr>
          <w:rFonts w:ascii="Times New Roman" w:hAnsi="Times New Roman" w:cs="Times New Roman"/>
          <w:b/>
          <w:bCs/>
          <w:sz w:val="28"/>
          <w:szCs w:val="28"/>
        </w:rPr>
        <w:sectPr w:rsidR="00D20704" w:rsidSect="00E10436">
          <w:pgSz w:w="16838" w:h="11906" w:orient="landscape"/>
          <w:pgMar w:top="1440" w:right="1440" w:bottom="1440" w:left="1440" w:header="708" w:footer="708" w:gutter="0"/>
          <w:cols w:space="708"/>
          <w:docGrid w:linePitch="360"/>
        </w:sectPr>
      </w:pPr>
    </w:p>
    <w:p w14:paraId="0ABA2975" w14:textId="3355EB58" w:rsidR="00DE5F91" w:rsidRPr="00E10436" w:rsidRDefault="004200F4" w:rsidP="00E10436">
      <w:pPr>
        <w:pStyle w:val="Heading1"/>
        <w:keepNext w:val="0"/>
        <w:spacing w:line="480" w:lineRule="auto"/>
        <w:rPr>
          <w:rFonts w:cs="Times New Roman"/>
          <w:bCs/>
          <w:color w:val="000000" w:themeColor="text1"/>
        </w:rPr>
      </w:pPr>
      <w:r w:rsidRPr="00E10436">
        <w:rPr>
          <w:rFonts w:cs="Times New Roman"/>
          <w:bCs/>
          <w:color w:val="000000" w:themeColor="text1"/>
        </w:rPr>
        <w:lastRenderedPageBreak/>
        <w:t>SDC-</w:t>
      </w:r>
      <w:r w:rsidR="00E10436">
        <w:rPr>
          <w:rFonts w:cs="Times New Roman"/>
          <w:bCs/>
          <w:color w:val="000000" w:themeColor="text1"/>
        </w:rPr>
        <w:t>2</w:t>
      </w:r>
      <w:r w:rsidRPr="00E10436">
        <w:rPr>
          <w:rFonts w:cs="Times New Roman"/>
          <w:bCs/>
          <w:color w:val="000000" w:themeColor="text1"/>
        </w:rPr>
        <w:t xml:space="preserve">: </w:t>
      </w:r>
      <w:r w:rsidR="00DE5F91" w:rsidRPr="00E10436">
        <w:rPr>
          <w:rFonts w:cs="Times New Roman"/>
          <w:bCs/>
          <w:color w:val="000000" w:themeColor="text1"/>
        </w:rPr>
        <w:t xml:space="preserve">Model Calibration </w:t>
      </w:r>
    </w:p>
    <w:p w14:paraId="22D512F8" w14:textId="2E5DDA2A" w:rsidR="00DE5F91" w:rsidRPr="00330362" w:rsidRDefault="00DE5F91">
      <w:pPr>
        <w:pStyle w:val="BodyText"/>
        <w:spacing w:line="480" w:lineRule="auto"/>
        <w:rPr>
          <w:rFonts w:ascii="Times New Roman" w:hAnsi="Times New Roman" w:cs="Times New Roman"/>
          <w:lang w:val="en-GB"/>
        </w:rPr>
      </w:pPr>
      <w:r w:rsidRPr="00330362">
        <w:rPr>
          <w:rFonts w:ascii="Times New Roman" w:hAnsi="Times New Roman" w:cs="Times New Roman"/>
          <w:lang w:val="en-GB"/>
        </w:rPr>
        <w:t>Model calibration was achieved using the output from the force of mortality calculation and several sources of data on pre-vaccination varicella prevalence in Switzerland.</w:t>
      </w:r>
      <w:r w:rsidR="00A311B9">
        <w:rPr>
          <w:rFonts w:ascii="Times New Roman" w:hAnsi="Times New Roman" w:cs="Times New Roman"/>
          <w:vertAlign w:val="superscript"/>
          <w:lang w:val="en-GB"/>
        </w:rPr>
        <w:t>7-9</w:t>
      </w:r>
      <w:r w:rsidRPr="00330362">
        <w:rPr>
          <w:rFonts w:ascii="Times New Roman" w:hAnsi="Times New Roman" w:cs="Times New Roman"/>
          <w:lang w:val="en-GB"/>
        </w:rPr>
        <w:t xml:space="preserve"> It was necessary to combine data from multiple sources, as no single publication contained a complete picture of seroprevalence as broken down by age, which is fundamental to calibrating the underlying dynamic transmission model,</w:t>
      </w:r>
      <w:r w:rsidR="00A311B9">
        <w:rPr>
          <w:rFonts w:ascii="Times New Roman" w:hAnsi="Times New Roman" w:cs="Times New Roman"/>
          <w:vertAlign w:val="superscript"/>
          <w:lang w:val="en-GB"/>
        </w:rPr>
        <w:t>10</w:t>
      </w:r>
      <w:r w:rsidRPr="00330362">
        <w:rPr>
          <w:rFonts w:ascii="Times New Roman" w:hAnsi="Times New Roman" w:cs="Times New Roman"/>
          <w:lang w:val="en-GB"/>
        </w:rPr>
        <w:t xml:space="preserve"> and is central to other approaches to estimating varicella incidence from seroprevalence rates.</w:t>
      </w:r>
      <w:r w:rsidR="00A311B9">
        <w:rPr>
          <w:rFonts w:ascii="Times New Roman" w:hAnsi="Times New Roman" w:cs="Times New Roman"/>
          <w:vertAlign w:val="superscript"/>
          <w:lang w:val="en-GB"/>
        </w:rPr>
        <w:t>8,11</w:t>
      </w:r>
      <w:r w:rsidRPr="00330362">
        <w:rPr>
          <w:rFonts w:ascii="Times New Roman" w:hAnsi="Times New Roman" w:cs="Times New Roman"/>
          <w:lang w:val="en-GB"/>
        </w:rPr>
        <w:t xml:space="preserve"> In order to merge the data sets, we combined them in a single data set, assuming that the reported seroprevalence of each age group was applied at the midpoint of the age group. We then smoothed the data by fitting a simple curve to the data using Mathematica’s </w:t>
      </w:r>
      <w:r w:rsidR="00943E4A" w:rsidRPr="00330362">
        <w:rPr>
          <w:rFonts w:ascii="Times New Roman" w:hAnsi="Times New Roman" w:cs="Times New Roman"/>
          <w:lang w:val="en-GB"/>
        </w:rPr>
        <w:t>Non</w:t>
      </w:r>
      <w:r w:rsidR="00943E4A">
        <w:rPr>
          <w:rFonts w:ascii="Times New Roman" w:hAnsi="Times New Roman" w:cs="Times New Roman"/>
          <w:lang w:val="en-GB"/>
        </w:rPr>
        <w:t>l</w:t>
      </w:r>
      <w:r w:rsidR="00943E4A" w:rsidRPr="00330362">
        <w:rPr>
          <w:rFonts w:ascii="Times New Roman" w:hAnsi="Times New Roman" w:cs="Times New Roman"/>
          <w:lang w:val="en-GB"/>
        </w:rPr>
        <w:t xml:space="preserve">inearModelFit </w:t>
      </w:r>
      <w:r w:rsidRPr="00330362">
        <w:rPr>
          <w:rFonts w:ascii="Times New Roman" w:hAnsi="Times New Roman" w:cs="Times New Roman"/>
          <w:lang w:val="en-GB"/>
        </w:rPr>
        <w:t>routine</w:t>
      </w:r>
      <w:r w:rsidR="00943E4A">
        <w:rPr>
          <w:rFonts w:ascii="Times New Roman" w:hAnsi="Times New Roman" w:cs="Times New Roman"/>
          <w:lang w:val="en-GB"/>
        </w:rPr>
        <w:t>, which implements the Nelder-Mead method</w:t>
      </w:r>
      <w:r w:rsidRPr="00330362">
        <w:rPr>
          <w:rFonts w:ascii="Times New Roman" w:hAnsi="Times New Roman" w:cs="Times New Roman"/>
          <w:lang w:val="en-GB"/>
        </w:rPr>
        <w:t>.</w:t>
      </w:r>
      <w:r w:rsidR="00A311B9" w:rsidRPr="00E10436">
        <w:rPr>
          <w:rFonts w:ascii="Times New Roman" w:hAnsi="Times New Roman" w:cs="Times New Roman"/>
          <w:vertAlign w:val="superscript"/>
          <w:lang w:val="en-GB"/>
        </w:rPr>
        <w:t>12</w:t>
      </w:r>
      <w:r w:rsidRPr="00330362">
        <w:rPr>
          <w:rFonts w:ascii="Times New Roman" w:hAnsi="Times New Roman" w:cs="Times New Roman"/>
          <w:lang w:val="en-GB"/>
        </w:rPr>
        <w:t xml:space="preserve"> The functional form we fit was </w:t>
      </w:r>
    </w:p>
    <w:p w14:paraId="6345870A" w14:textId="77777777" w:rsidR="00DE5F91" w:rsidRPr="00330362" w:rsidRDefault="00DE5F91">
      <w:pPr>
        <w:pStyle w:val="BodyText"/>
        <w:spacing w:line="480" w:lineRule="auto"/>
        <w:rPr>
          <w:rFonts w:ascii="Times New Roman" w:hAnsi="Times New Roman" w:cs="Times New Roman"/>
          <w:lang w:val="en-GB"/>
        </w:rPr>
      </w:pPr>
      <m:oMathPara>
        <m:oMath>
          <m:r>
            <m:rPr>
              <m:sty m:val="p"/>
            </m:rPr>
            <w:rPr>
              <w:rFonts w:ascii="Cambria Math" w:hAnsi="Cambria Math" w:cs="Times New Roman"/>
              <w:lang w:val="en-GB"/>
            </w:rPr>
            <m:t xml:space="preserve">0.976 </m:t>
          </m:r>
          <m:sSup>
            <m:sSupPr>
              <m:ctrlPr>
                <w:rPr>
                  <w:rFonts w:ascii="Cambria Math" w:hAnsi="Cambria Math" w:cs="Times New Roman"/>
                  <w:lang w:val="en-GB"/>
                </w:rPr>
              </m:ctrlPr>
            </m:sSupPr>
            <m:e>
              <m:r>
                <w:rPr>
                  <w:rFonts w:ascii="Cambria Math" w:hAnsi="Cambria Math" w:cs="Times New Roman"/>
                  <w:lang w:val="en-GB"/>
                </w:rPr>
                <m:t>e</m:t>
              </m:r>
            </m:e>
            <m:sup>
              <m:r>
                <m:rPr>
                  <m:sty m:val="p"/>
                </m:rPr>
                <w:rPr>
                  <w:rFonts w:ascii="Cambria Math" w:hAnsi="Cambria Math" w:cs="Times New Roman"/>
                  <w:lang w:val="en-GB"/>
                </w:rPr>
                <m:t>-</m:t>
              </m:r>
              <m:r>
                <w:rPr>
                  <w:rFonts w:ascii="Cambria Math" w:hAnsi="Cambria Math" w:cs="Times New Roman"/>
                  <w:lang w:val="en-GB"/>
                </w:rPr>
                <m:t>a</m:t>
              </m:r>
              <m:r>
                <m:rPr>
                  <m:sty m:val="p"/>
                </m:rP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δ</m:t>
                  </m:r>
                </m:e>
                <m:sub>
                  <m:r>
                    <w:rPr>
                      <w:rFonts w:ascii="Cambria Math" w:hAnsi="Cambria Math" w:cs="Times New Roman"/>
                      <w:lang w:val="en-GB"/>
                    </w:rPr>
                    <m:t>n</m:t>
                  </m:r>
                </m:sub>
              </m:sSub>
            </m:sup>
          </m:sSup>
          <m:r>
            <m:rPr>
              <m:sty m:val="p"/>
            </m:rPr>
            <w:rPr>
              <w:rFonts w:ascii="Cambria Math" w:hAnsi="Cambria Math" w:cs="Times New Roman"/>
              <w:lang w:val="en-GB"/>
            </w:rPr>
            <m:t>+</m:t>
          </m:r>
          <m:d>
            <m:dPr>
              <m:ctrlPr>
                <w:rPr>
                  <w:rFonts w:ascii="Cambria Math" w:hAnsi="Cambria Math" w:cs="Times New Roman"/>
                  <w:lang w:val="en-GB"/>
                </w:rPr>
              </m:ctrlPr>
            </m:dPr>
            <m:e>
              <m:r>
                <m:rPr>
                  <m:sty m:val="p"/>
                </m:rPr>
                <w:rPr>
                  <w:rFonts w:ascii="Cambria Math" w:hAnsi="Cambria Math" w:cs="Times New Roman"/>
                  <w:lang w:val="en-GB"/>
                </w:rPr>
                <m:t>1-</m:t>
              </m:r>
              <m:f>
                <m:fPr>
                  <m:ctrlPr>
                    <w:rPr>
                      <w:rFonts w:ascii="Cambria Math" w:hAnsi="Cambria Math" w:cs="Times New Roman"/>
                      <w:lang w:val="en-GB"/>
                    </w:rPr>
                  </m:ctrlPr>
                </m:fPr>
                <m:num>
                  <m:r>
                    <m:rPr>
                      <m:sty m:val="p"/>
                    </m:rPr>
                    <w:rPr>
                      <w:rFonts w:ascii="Cambria Math" w:hAnsi="Cambria Math" w:cs="Times New Roman"/>
                      <w:lang w:val="en-GB"/>
                    </w:rPr>
                    <m:t>Γ</m:t>
                  </m:r>
                  <m:d>
                    <m:dPr>
                      <m:ctrlPr>
                        <w:rPr>
                          <w:rFonts w:ascii="Cambria Math" w:hAnsi="Cambria Math" w:cs="Times New Roman"/>
                          <w:lang w:val="en-GB"/>
                        </w:rPr>
                      </m:ctrlPr>
                    </m:dPr>
                    <m:e>
                      <m:r>
                        <m:rPr>
                          <m:sty m:val="p"/>
                        </m:rPr>
                        <w:rPr>
                          <w:rFonts w:ascii="Cambria Math" w:hAnsi="Cambria Math" w:cs="Times New Roman"/>
                          <w:lang w:val="en-GB"/>
                        </w:rPr>
                        <m:t>1+</m:t>
                      </m:r>
                      <m:r>
                        <w:rPr>
                          <w:rFonts w:ascii="Cambria Math" w:hAnsi="Cambria Math" w:cs="Times New Roman"/>
                          <w:lang w:val="en-GB"/>
                        </w:rPr>
                        <m:t>b</m:t>
                      </m:r>
                      <m:r>
                        <m:rPr>
                          <m:sty m:val="p"/>
                        </m:rPr>
                        <w:rPr>
                          <w:rFonts w:ascii="Cambria Math" w:hAnsi="Cambria Math" w:cs="Times New Roman"/>
                          <w:lang w:val="en-GB"/>
                        </w:rPr>
                        <m:t xml:space="preserve">, </m:t>
                      </m:r>
                      <m:r>
                        <w:rPr>
                          <w:rFonts w:ascii="Cambria Math" w:hAnsi="Cambria Math" w:cs="Times New Roman"/>
                          <w:lang w:val="en-GB"/>
                        </w:rPr>
                        <m:t>c</m:t>
                      </m:r>
                      <m:r>
                        <m:rPr>
                          <m:sty m:val="p"/>
                        </m:rPr>
                        <w:rPr>
                          <w:rFonts w:ascii="Cambria Math" w:hAnsi="Cambria Math" w:cs="Times New Roman"/>
                          <w:lang w:val="en-GB"/>
                        </w:rPr>
                        <m:t xml:space="preserve"> </m:t>
                      </m:r>
                      <m:r>
                        <w:rPr>
                          <w:rFonts w:ascii="Cambria Math" w:hAnsi="Cambria Math" w:cs="Times New Roman"/>
                          <w:lang w:val="en-GB"/>
                        </w:rPr>
                        <m:t>a</m:t>
                      </m:r>
                    </m:e>
                  </m:d>
                </m:num>
                <m:den>
                  <m:r>
                    <m:rPr>
                      <m:sty m:val="p"/>
                    </m:rPr>
                    <w:rPr>
                      <w:rFonts w:ascii="Cambria Math" w:hAnsi="Cambria Math" w:cs="Times New Roman"/>
                      <w:lang w:val="en-GB"/>
                    </w:rPr>
                    <m:t>Γ</m:t>
                  </m:r>
                  <m:d>
                    <m:dPr>
                      <m:ctrlPr>
                        <w:rPr>
                          <w:rFonts w:ascii="Cambria Math" w:hAnsi="Cambria Math" w:cs="Times New Roman"/>
                          <w:lang w:val="en-GB"/>
                        </w:rPr>
                      </m:ctrlPr>
                    </m:dPr>
                    <m:e>
                      <m:r>
                        <m:rPr>
                          <m:sty m:val="p"/>
                        </m:rPr>
                        <w:rPr>
                          <w:rFonts w:ascii="Cambria Math" w:hAnsi="Cambria Math" w:cs="Times New Roman"/>
                          <w:lang w:val="en-GB"/>
                        </w:rPr>
                        <m:t>1+</m:t>
                      </m:r>
                      <m:r>
                        <w:rPr>
                          <w:rFonts w:ascii="Cambria Math" w:hAnsi="Cambria Math" w:cs="Times New Roman"/>
                          <w:lang w:val="en-GB"/>
                        </w:rPr>
                        <m:t>b</m:t>
                      </m:r>
                    </m:e>
                  </m:d>
                </m:den>
              </m:f>
            </m:e>
          </m:d>
        </m:oMath>
      </m:oMathPara>
    </w:p>
    <w:p w14:paraId="7D5A6764" w14:textId="6799D8CE" w:rsidR="00DE5F91" w:rsidRPr="00330362" w:rsidRDefault="00DE5F91">
      <w:pPr>
        <w:pStyle w:val="BodyText"/>
        <w:spacing w:line="480" w:lineRule="auto"/>
        <w:rPr>
          <w:rFonts w:ascii="Times New Roman" w:hAnsi="Times New Roman" w:cs="Times New Roman"/>
          <w:lang w:val="en-GB"/>
        </w:rPr>
      </w:pPr>
      <w:r w:rsidRPr="00330362">
        <w:rPr>
          <w:rFonts w:ascii="Times New Roman" w:hAnsi="Times New Roman" w:cs="Times New Roman"/>
          <w:lang w:val="en-GB"/>
        </w:rPr>
        <w:t xml:space="preserve">Here </w:t>
      </w:r>
      <m:oMath>
        <m:r>
          <w:rPr>
            <w:rFonts w:ascii="Cambria Math" w:hAnsi="Cambria Math" w:cs="Times New Roman"/>
            <w:lang w:val="en-GB"/>
          </w:rPr>
          <m:t>a</m:t>
        </m:r>
      </m:oMath>
      <w:r w:rsidRPr="00330362">
        <w:rPr>
          <w:rFonts w:ascii="Times New Roman" w:hAnsi="Times New Roman" w:cs="Times New Roman"/>
          <w:lang w:val="en-GB"/>
        </w:rPr>
        <w:t xml:space="preserve"> is age, and we are fitting the parameters </w:t>
      </w:r>
      <m:oMath>
        <m:sSub>
          <m:sSubPr>
            <m:ctrlPr>
              <w:rPr>
                <w:rFonts w:ascii="Cambria Math" w:hAnsi="Cambria Math" w:cs="Times New Roman"/>
                <w:lang w:val="en-GB"/>
              </w:rPr>
            </m:ctrlPr>
          </m:sSubPr>
          <m:e>
            <m:r>
              <w:rPr>
                <w:rFonts w:ascii="Cambria Math" w:hAnsi="Cambria Math" w:cs="Times New Roman"/>
                <w:lang w:val="en-GB"/>
              </w:rPr>
              <m:t>δ</m:t>
            </m:r>
          </m:e>
          <m:sub>
            <m:r>
              <w:rPr>
                <w:rFonts w:ascii="Cambria Math" w:hAnsi="Cambria Math" w:cs="Times New Roman"/>
                <w:lang w:val="en-GB"/>
              </w:rPr>
              <m:t>n</m:t>
            </m:r>
          </m:sub>
        </m:sSub>
      </m:oMath>
      <w:r w:rsidRPr="00330362">
        <w:rPr>
          <w:rFonts w:ascii="Times New Roman" w:hAnsi="Times New Roman" w:cs="Times New Roman"/>
          <w:lang w:val="en-GB"/>
        </w:rPr>
        <w:t xml:space="preserve">, which is the duration of natural immunity, as well as </w:t>
      </w:r>
      <m:oMath>
        <m:r>
          <w:rPr>
            <w:rFonts w:ascii="Cambria Math" w:hAnsi="Cambria Math" w:cs="Times New Roman"/>
            <w:lang w:val="en-GB"/>
          </w:rPr>
          <m:t>b</m:t>
        </m:r>
      </m:oMath>
      <w:r w:rsidRPr="00330362">
        <w:rPr>
          <w:rFonts w:ascii="Times New Roman" w:hAnsi="Times New Roman" w:cs="Times New Roman"/>
          <w:lang w:val="en-GB"/>
        </w:rPr>
        <w:t xml:space="preserve"> and </w:t>
      </w:r>
      <m:oMath>
        <m:r>
          <w:rPr>
            <w:rFonts w:ascii="Cambria Math" w:hAnsi="Cambria Math" w:cs="Times New Roman"/>
            <w:lang w:val="en-GB"/>
          </w:rPr>
          <m:t>c</m:t>
        </m:r>
      </m:oMath>
      <w:r w:rsidRPr="00330362">
        <w:rPr>
          <w:rFonts w:ascii="Times New Roman" w:hAnsi="Times New Roman" w:cs="Times New Roman"/>
          <w:lang w:val="en-GB"/>
        </w:rPr>
        <w:t xml:space="preserve">. The term in brackets is effectively the cumulative distribution function of the Gamma distribution with shape parameters of </w:t>
      </w:r>
      <m:oMath>
        <m:r>
          <w:rPr>
            <w:rFonts w:ascii="Cambria Math" w:hAnsi="Cambria Math" w:cs="Times New Roman"/>
            <w:lang w:val="en-GB"/>
          </w:rPr>
          <m:t>b</m:t>
        </m:r>
        <m:r>
          <m:rPr>
            <m:sty m:val="p"/>
          </m:rPr>
          <w:rPr>
            <w:rFonts w:ascii="Cambria Math" w:hAnsi="Cambria Math" w:cs="Times New Roman"/>
            <w:lang w:val="en-GB"/>
          </w:rPr>
          <m:t>-1</m:t>
        </m:r>
      </m:oMath>
      <w:r w:rsidRPr="00330362">
        <w:rPr>
          <w:rFonts w:ascii="Times New Roman" w:hAnsi="Times New Roman" w:cs="Times New Roman"/>
          <w:lang w:val="en-GB"/>
        </w:rPr>
        <w:t xml:space="preserve"> and </w:t>
      </w:r>
      <m:oMath>
        <m:r>
          <m:rPr>
            <m:sty m:val="p"/>
          </m:rPr>
          <w:rPr>
            <w:rFonts w:ascii="Cambria Math" w:hAnsi="Cambria Math" w:cs="Times New Roman"/>
            <w:lang w:val="en-GB"/>
          </w:rPr>
          <m:t>1/</m:t>
        </m:r>
        <m:r>
          <w:rPr>
            <w:rFonts w:ascii="Cambria Math" w:hAnsi="Cambria Math" w:cs="Times New Roman"/>
            <w:lang w:val="en-GB"/>
          </w:rPr>
          <m:t>c</m:t>
        </m:r>
      </m:oMath>
      <w:r w:rsidRPr="00330362">
        <w:rPr>
          <w:rFonts w:ascii="Times New Roman" w:hAnsi="Times New Roman" w:cs="Times New Roman"/>
          <w:lang w:val="en-GB"/>
        </w:rPr>
        <w:t>. We assume (as in the model) that maternal immunity decays exponentially, and the coefficient 0.976 is an estimate of how many Swiss children are born with maternal immunity, based on the seroprevalence data in Bollaerts et al. (2017)</w:t>
      </w:r>
      <w:r w:rsidR="00A311B9">
        <w:rPr>
          <w:rFonts w:ascii="Times New Roman" w:hAnsi="Times New Roman" w:cs="Times New Roman"/>
          <w:vertAlign w:val="superscript"/>
          <w:lang w:val="en-GB"/>
        </w:rPr>
        <w:t>8</w:t>
      </w:r>
      <w:r w:rsidRPr="00330362">
        <w:rPr>
          <w:rFonts w:ascii="Times New Roman" w:hAnsi="Times New Roman" w:cs="Times New Roman"/>
          <w:lang w:val="en-GB"/>
        </w:rPr>
        <w:t xml:space="preserve"> and the smoothed fertility data. The curve fit is shown plotted against the data in </w:t>
      </w:r>
      <w:r w:rsidRPr="00330362">
        <w:rPr>
          <w:rFonts w:ascii="Times New Roman" w:hAnsi="Times New Roman" w:cs="Times New Roman"/>
          <w:lang w:val="en-GB"/>
        </w:rPr>
        <w:fldChar w:fldCharType="begin"/>
      </w:r>
      <w:r w:rsidRPr="00330362">
        <w:rPr>
          <w:rFonts w:ascii="Times New Roman" w:hAnsi="Times New Roman" w:cs="Times New Roman"/>
          <w:lang w:val="en-GB"/>
        </w:rPr>
        <w:instrText xml:space="preserve"> REF _Ref31711708 \h  \* MERGEFORMAT </w:instrText>
      </w:r>
      <w:r w:rsidRPr="00330362">
        <w:rPr>
          <w:rFonts w:ascii="Times New Roman" w:hAnsi="Times New Roman" w:cs="Times New Roman"/>
          <w:lang w:val="en-GB"/>
        </w:rPr>
      </w:r>
      <w:r w:rsidRPr="00330362">
        <w:rPr>
          <w:rFonts w:ascii="Times New Roman" w:hAnsi="Times New Roman" w:cs="Times New Roman"/>
          <w:lang w:val="en-GB"/>
        </w:rPr>
        <w:fldChar w:fldCharType="separate"/>
      </w:r>
      <w:r w:rsidR="00684E5A" w:rsidRPr="00E10436">
        <w:rPr>
          <w:rFonts w:ascii="Times New Roman" w:hAnsi="Times New Roman" w:cs="Times New Roman"/>
          <w:lang w:val="en-GB"/>
        </w:rPr>
        <w:t>Figure 1</w:t>
      </w:r>
      <w:r w:rsidRPr="00330362">
        <w:rPr>
          <w:rFonts w:ascii="Times New Roman" w:hAnsi="Times New Roman" w:cs="Times New Roman"/>
          <w:lang w:val="en-GB"/>
        </w:rPr>
        <w:fldChar w:fldCharType="end"/>
      </w:r>
      <w:r w:rsidRPr="00330362">
        <w:rPr>
          <w:rFonts w:ascii="Times New Roman" w:hAnsi="Times New Roman" w:cs="Times New Roman"/>
          <w:lang w:val="en-GB"/>
        </w:rPr>
        <w:t>.</w:t>
      </w:r>
    </w:p>
    <w:p w14:paraId="103D6297" w14:textId="615C10D8" w:rsidR="00DE5F91" w:rsidRPr="00E10436" w:rsidRDefault="00DE5F91" w:rsidP="00E10436">
      <w:pPr>
        <w:pStyle w:val="Heading2"/>
        <w:spacing w:line="480" w:lineRule="auto"/>
      </w:pPr>
      <w:bookmarkStart w:id="4" w:name="_Ref31711708"/>
      <w:bookmarkStart w:id="5" w:name="_Toc36551752"/>
      <w:bookmarkStart w:id="6" w:name="_Ref31711701"/>
      <w:r w:rsidRPr="00E10436">
        <w:lastRenderedPageBreak/>
        <w:t xml:space="preserve">Figure </w:t>
      </w:r>
      <w:r w:rsidRPr="00E10436">
        <w:fldChar w:fldCharType="begin"/>
      </w:r>
      <w:r w:rsidRPr="00E10436">
        <w:instrText>SEQ Figure \* ARABIC</w:instrText>
      </w:r>
      <w:r w:rsidRPr="00E10436">
        <w:fldChar w:fldCharType="separate"/>
      </w:r>
      <w:r w:rsidRPr="00E10436">
        <w:t>1</w:t>
      </w:r>
      <w:r w:rsidRPr="00E10436">
        <w:fldChar w:fldCharType="end"/>
      </w:r>
      <w:bookmarkEnd w:id="4"/>
      <w:r w:rsidRPr="00E10436">
        <w:t>. Linear Model of Seroprevalence by Age</w:t>
      </w:r>
      <w:bookmarkEnd w:id="5"/>
      <w:bookmarkEnd w:id="6"/>
    </w:p>
    <w:p w14:paraId="1DFBE6B1" w14:textId="77777777" w:rsidR="00DE5F91" w:rsidRPr="00330362" w:rsidRDefault="00DE5F91">
      <w:pPr>
        <w:pStyle w:val="BodyText"/>
        <w:spacing w:line="480" w:lineRule="auto"/>
        <w:rPr>
          <w:rFonts w:ascii="Times New Roman" w:hAnsi="Times New Roman" w:cs="Times New Roman"/>
          <w:lang w:val="en-GB"/>
        </w:rPr>
      </w:pPr>
      <w:r w:rsidRPr="00330362">
        <w:rPr>
          <w:rFonts w:ascii="Times New Roman" w:hAnsi="Times New Roman" w:cs="Times New Roman"/>
          <w:noProof/>
          <w:lang w:val="de-CH" w:eastAsia="de-CH"/>
        </w:rPr>
        <w:drawing>
          <wp:inline distT="0" distB="0" distL="0" distR="0" wp14:anchorId="7128996C" wp14:editId="3D92AB43">
            <wp:extent cx="5943600" cy="382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29050"/>
                    </a:xfrm>
                    <a:prstGeom prst="rect">
                      <a:avLst/>
                    </a:prstGeom>
                    <a:noFill/>
                    <a:ln>
                      <a:noFill/>
                    </a:ln>
                  </pic:spPr>
                </pic:pic>
              </a:graphicData>
            </a:graphic>
          </wp:inline>
        </w:drawing>
      </w:r>
    </w:p>
    <w:p w14:paraId="63CDD1BD" w14:textId="1EBB4BC2" w:rsidR="00DE5F91" w:rsidRPr="00330362" w:rsidRDefault="00DE5F91">
      <w:pPr>
        <w:pStyle w:val="BodyText"/>
        <w:spacing w:before="240" w:line="480" w:lineRule="auto"/>
        <w:rPr>
          <w:rFonts w:ascii="Times New Roman" w:hAnsi="Times New Roman" w:cs="Times New Roman"/>
          <w:lang w:val="en-GB"/>
        </w:rPr>
      </w:pPr>
      <w:r w:rsidRPr="00330362">
        <w:rPr>
          <w:rFonts w:ascii="Times New Roman" w:hAnsi="Times New Roman" w:cs="Times New Roman"/>
          <w:lang w:val="en-GB"/>
        </w:rPr>
        <w:t xml:space="preserve">The value of </w:t>
      </w:r>
      <m:oMath>
        <m:sSub>
          <m:sSubPr>
            <m:ctrlPr>
              <w:rPr>
                <w:rFonts w:ascii="Cambria Math" w:hAnsi="Cambria Math" w:cs="Times New Roman"/>
                <w:lang w:val="en-GB"/>
              </w:rPr>
            </m:ctrlPr>
          </m:sSubPr>
          <m:e>
            <m:r>
              <w:rPr>
                <w:rFonts w:ascii="Cambria Math" w:hAnsi="Cambria Math" w:cs="Times New Roman"/>
                <w:lang w:val="en-GB"/>
              </w:rPr>
              <m:t>δ</m:t>
            </m:r>
          </m:e>
          <m:sub>
            <m:r>
              <w:rPr>
                <w:rFonts w:ascii="Cambria Math" w:hAnsi="Cambria Math" w:cs="Times New Roman"/>
                <w:lang w:val="en-GB"/>
              </w:rPr>
              <m:t>n</m:t>
            </m:r>
          </m:sub>
        </m:sSub>
      </m:oMath>
      <w:r w:rsidRPr="00330362">
        <w:rPr>
          <w:rFonts w:ascii="Times New Roman" w:hAnsi="Times New Roman" w:cs="Times New Roman"/>
          <w:lang w:val="en-GB"/>
        </w:rPr>
        <w:t xml:space="preserve"> was 4.6 months, close to the model default value of 6 months.</w:t>
      </w:r>
      <w:r w:rsidR="00A311B9">
        <w:rPr>
          <w:rFonts w:ascii="Times New Roman" w:hAnsi="Times New Roman" w:cs="Times New Roman"/>
          <w:vertAlign w:val="superscript"/>
          <w:lang w:val="en-GB"/>
        </w:rPr>
        <w:t>8,13</w:t>
      </w:r>
    </w:p>
    <w:p w14:paraId="69F43DC3" w14:textId="141F3AB8" w:rsidR="00DE5F91" w:rsidRDefault="00DE5F91">
      <w:pPr>
        <w:pStyle w:val="BodyText"/>
        <w:spacing w:line="480" w:lineRule="auto"/>
        <w:rPr>
          <w:rFonts w:ascii="Times New Roman" w:hAnsi="Times New Roman" w:cs="Times New Roman"/>
          <w:lang w:val="en-GB"/>
        </w:rPr>
      </w:pPr>
      <w:r w:rsidRPr="00330362">
        <w:rPr>
          <w:rFonts w:ascii="Times New Roman" w:hAnsi="Times New Roman" w:cs="Times New Roman"/>
          <w:lang w:val="en-GB"/>
        </w:rPr>
        <w:t xml:space="preserve">Once we had a smoothed data set, we could find the implied force of infection the model would require to produce that seroprevalence curve, and from there estimate the age-specific susceptibilities that would give rise to that force of infection assuming an empirically known contact </w:t>
      </w:r>
      <w:r w:rsidR="00943E4A">
        <w:rPr>
          <w:rFonts w:ascii="Times New Roman" w:hAnsi="Times New Roman" w:cs="Times New Roman"/>
          <w:lang w:val="en-GB"/>
        </w:rPr>
        <w:t>matrix for Switzerland</w:t>
      </w:r>
      <w:r w:rsidRPr="00330362">
        <w:rPr>
          <w:rFonts w:ascii="Times New Roman" w:hAnsi="Times New Roman" w:cs="Times New Roman"/>
          <w:lang w:val="en-GB"/>
        </w:rPr>
        <w:t>.</w:t>
      </w:r>
      <w:r w:rsidR="00A311B9">
        <w:rPr>
          <w:rFonts w:ascii="Times New Roman" w:hAnsi="Times New Roman" w:cs="Times New Roman"/>
          <w:vertAlign w:val="superscript"/>
          <w:lang w:val="en-GB"/>
        </w:rPr>
        <w:t>14</w:t>
      </w:r>
      <w:r w:rsidRPr="00330362">
        <w:rPr>
          <w:rFonts w:ascii="Times New Roman" w:hAnsi="Times New Roman" w:cs="Times New Roman"/>
          <w:lang w:val="en-GB"/>
        </w:rPr>
        <w:t xml:space="preserve"> The resulting seroprevalence in the model is plotted against the data from Bollaerts et al. (2017)</w:t>
      </w:r>
      <w:r w:rsidR="00A311B9" w:rsidRPr="00E10436">
        <w:rPr>
          <w:rFonts w:ascii="Times New Roman" w:hAnsi="Times New Roman" w:cs="Times New Roman"/>
          <w:vertAlign w:val="superscript"/>
          <w:lang w:val="en-GB"/>
        </w:rPr>
        <w:t>8</w:t>
      </w:r>
      <w:r w:rsidRPr="00330362">
        <w:rPr>
          <w:rFonts w:ascii="Times New Roman" w:hAnsi="Times New Roman" w:cs="Times New Roman"/>
          <w:lang w:val="en-GB"/>
        </w:rPr>
        <w:t xml:space="preserve"> in </w:t>
      </w:r>
      <w:r w:rsidRPr="00330362">
        <w:rPr>
          <w:rFonts w:ascii="Times New Roman" w:hAnsi="Times New Roman" w:cs="Times New Roman"/>
          <w:lang w:val="en-GB"/>
        </w:rPr>
        <w:fldChar w:fldCharType="begin"/>
      </w:r>
      <w:r w:rsidRPr="00330362">
        <w:rPr>
          <w:rFonts w:ascii="Times New Roman" w:hAnsi="Times New Roman" w:cs="Times New Roman"/>
          <w:lang w:val="en-GB"/>
        </w:rPr>
        <w:instrText xml:space="preserve"> REF _Ref31711749 \h  \* MERGEFORMAT </w:instrText>
      </w:r>
      <w:r w:rsidRPr="00330362">
        <w:rPr>
          <w:rFonts w:ascii="Times New Roman" w:hAnsi="Times New Roman" w:cs="Times New Roman"/>
          <w:lang w:val="en-GB"/>
        </w:rPr>
      </w:r>
      <w:r w:rsidRPr="00330362">
        <w:rPr>
          <w:rFonts w:ascii="Times New Roman" w:hAnsi="Times New Roman" w:cs="Times New Roman"/>
          <w:lang w:val="en-GB"/>
        </w:rPr>
        <w:fldChar w:fldCharType="separate"/>
      </w:r>
      <w:r w:rsidR="00684E5A" w:rsidRPr="00E10436">
        <w:rPr>
          <w:rFonts w:ascii="Times New Roman" w:hAnsi="Times New Roman" w:cs="Times New Roman"/>
          <w:lang w:val="en-GB"/>
        </w:rPr>
        <w:t>Fig</w:t>
      </w:r>
      <w:r w:rsidR="00684E5A" w:rsidRPr="00E10436">
        <w:rPr>
          <w:rFonts w:ascii="Times New Roman" w:hAnsi="Times New Roman" w:cs="Times New Roman"/>
          <w:lang w:val="en-GB"/>
        </w:rPr>
        <w:t>u</w:t>
      </w:r>
      <w:r w:rsidR="00684E5A" w:rsidRPr="00E10436">
        <w:rPr>
          <w:rFonts w:ascii="Times New Roman" w:hAnsi="Times New Roman" w:cs="Times New Roman"/>
          <w:lang w:val="en-GB"/>
        </w:rPr>
        <w:t>re 2</w:t>
      </w:r>
      <w:r w:rsidRPr="00330362">
        <w:rPr>
          <w:rFonts w:ascii="Times New Roman" w:hAnsi="Times New Roman" w:cs="Times New Roman"/>
          <w:lang w:val="en-GB"/>
        </w:rPr>
        <w:fldChar w:fldCharType="end"/>
      </w:r>
      <w:r w:rsidRPr="00330362">
        <w:rPr>
          <w:rFonts w:ascii="Times New Roman" w:hAnsi="Times New Roman" w:cs="Times New Roman"/>
          <w:lang w:val="en-GB"/>
        </w:rPr>
        <w:t>.</w:t>
      </w:r>
    </w:p>
    <w:p w14:paraId="4897D257" w14:textId="036D2309" w:rsidR="00684E5A" w:rsidRDefault="00684E5A">
      <w:pPr>
        <w:pStyle w:val="BodyText"/>
        <w:spacing w:line="480" w:lineRule="auto"/>
        <w:rPr>
          <w:rFonts w:ascii="Times New Roman" w:hAnsi="Times New Roman" w:cs="Times New Roman"/>
          <w:lang w:val="en-GB"/>
        </w:rPr>
      </w:pPr>
    </w:p>
    <w:p w14:paraId="0CE5B211" w14:textId="0C67DB0A" w:rsidR="00684E5A" w:rsidRDefault="00684E5A">
      <w:pPr>
        <w:pStyle w:val="BodyText"/>
        <w:spacing w:line="480" w:lineRule="auto"/>
        <w:rPr>
          <w:rFonts w:ascii="Times New Roman" w:hAnsi="Times New Roman" w:cs="Times New Roman"/>
          <w:lang w:val="en-GB"/>
        </w:rPr>
      </w:pPr>
    </w:p>
    <w:p w14:paraId="074AB4ED" w14:textId="77777777" w:rsidR="00B41973" w:rsidRDefault="00B41973">
      <w:pPr>
        <w:pStyle w:val="BodyText"/>
        <w:spacing w:line="480" w:lineRule="auto"/>
        <w:rPr>
          <w:rFonts w:ascii="Times New Roman" w:hAnsi="Times New Roman" w:cs="Times New Roman"/>
          <w:lang w:val="en-GB"/>
        </w:rPr>
      </w:pPr>
    </w:p>
    <w:p w14:paraId="3CC46B8D" w14:textId="143DC339" w:rsidR="00684E5A" w:rsidRDefault="00684E5A">
      <w:pPr>
        <w:pStyle w:val="BodyText"/>
        <w:spacing w:line="480" w:lineRule="auto"/>
        <w:rPr>
          <w:rFonts w:ascii="Times New Roman" w:hAnsi="Times New Roman" w:cs="Times New Roman"/>
          <w:lang w:val="en-GB"/>
        </w:rPr>
      </w:pPr>
    </w:p>
    <w:p w14:paraId="20772F43" w14:textId="77777777" w:rsidR="00684E5A" w:rsidRPr="00330362" w:rsidRDefault="00684E5A">
      <w:pPr>
        <w:pStyle w:val="BodyText"/>
        <w:spacing w:line="480" w:lineRule="auto"/>
        <w:rPr>
          <w:rFonts w:ascii="Times New Roman" w:hAnsi="Times New Roman" w:cs="Times New Roman"/>
          <w:lang w:val="en-GB"/>
        </w:rPr>
      </w:pPr>
    </w:p>
    <w:p w14:paraId="59F25694" w14:textId="23FF2B9A" w:rsidR="00DE5F91" w:rsidRPr="00E10436" w:rsidRDefault="00DE5F91" w:rsidP="00E10436">
      <w:pPr>
        <w:pStyle w:val="Heading2"/>
        <w:keepNext w:val="0"/>
        <w:keepLines w:val="0"/>
        <w:spacing w:line="480" w:lineRule="auto"/>
      </w:pPr>
      <w:bookmarkStart w:id="7" w:name="_Ref31711749"/>
      <w:bookmarkStart w:id="8" w:name="_Toc36551753"/>
      <w:r w:rsidRPr="00E10436">
        <w:lastRenderedPageBreak/>
        <w:t xml:space="preserve">Figure </w:t>
      </w:r>
      <w:r w:rsidRPr="00E10436">
        <w:fldChar w:fldCharType="begin"/>
      </w:r>
      <w:r w:rsidRPr="00E10436">
        <w:instrText>SEQ Figure \* ARABIC</w:instrText>
      </w:r>
      <w:r w:rsidRPr="00E10436">
        <w:fldChar w:fldCharType="separate"/>
      </w:r>
      <w:r w:rsidRPr="00E10436">
        <w:t>2</w:t>
      </w:r>
      <w:r w:rsidRPr="00E10436">
        <w:fldChar w:fldCharType="end"/>
      </w:r>
      <w:bookmarkEnd w:id="7"/>
      <w:r w:rsidRPr="00E10436">
        <w:t>. Model Seroprevalence Calibration</w:t>
      </w:r>
      <w:bookmarkEnd w:id="8"/>
    </w:p>
    <w:bookmarkEnd w:id="0"/>
    <w:p w14:paraId="5CA55D3D" w14:textId="77777777" w:rsidR="00DE5F91" w:rsidRPr="00330362" w:rsidRDefault="00DE5F91" w:rsidP="00E10436">
      <w:pPr>
        <w:pStyle w:val="BodyText"/>
        <w:spacing w:line="480" w:lineRule="auto"/>
        <w:jc w:val="both"/>
        <w:rPr>
          <w:rFonts w:ascii="Times New Roman" w:hAnsi="Times New Roman" w:cs="Times New Roman"/>
        </w:rPr>
      </w:pPr>
      <w:r w:rsidRPr="00330362">
        <w:rPr>
          <w:rFonts w:ascii="Times New Roman" w:hAnsi="Times New Roman" w:cs="Times New Roman"/>
          <w:noProof/>
          <w:lang w:val="de-CH" w:eastAsia="de-CH"/>
        </w:rPr>
        <w:drawing>
          <wp:inline distT="0" distB="0" distL="0" distR="0" wp14:anchorId="3EC0F9E3" wp14:editId="0C3F5D6C">
            <wp:extent cx="5676684" cy="33915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76684" cy="3391535"/>
                    </a:xfrm>
                    <a:prstGeom prst="rect">
                      <a:avLst/>
                    </a:prstGeom>
                  </pic:spPr>
                </pic:pic>
              </a:graphicData>
            </a:graphic>
          </wp:inline>
        </w:drawing>
      </w:r>
    </w:p>
    <w:p w14:paraId="77C23ED8" w14:textId="77777777" w:rsidR="00DE5F91" w:rsidRDefault="00DE5F91" w:rsidP="00E10436">
      <w:pPr>
        <w:spacing w:line="48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71F1E139" w14:textId="0724B0B4" w:rsidR="00DE5F91" w:rsidRPr="00E10436" w:rsidRDefault="00684E5A" w:rsidP="00E10436">
      <w:pPr>
        <w:pStyle w:val="Heading1"/>
        <w:keepNext w:val="0"/>
        <w:pageBreakBefore/>
        <w:spacing w:line="480" w:lineRule="auto"/>
        <w:rPr>
          <w:rFonts w:cs="Times New Roman"/>
          <w:b w:val="0"/>
          <w:bCs/>
          <w:color w:val="000000" w:themeColor="text1"/>
        </w:rPr>
      </w:pPr>
      <w:r w:rsidRPr="00E10436">
        <w:rPr>
          <w:rFonts w:cs="Times New Roman"/>
          <w:bCs/>
          <w:color w:val="000000" w:themeColor="text1"/>
        </w:rPr>
        <w:lastRenderedPageBreak/>
        <w:t>SDC-</w:t>
      </w:r>
      <w:r w:rsidR="00E10436">
        <w:rPr>
          <w:rFonts w:cs="Times New Roman"/>
          <w:bCs/>
          <w:color w:val="000000" w:themeColor="text1"/>
        </w:rPr>
        <w:t>3</w:t>
      </w:r>
      <w:r w:rsidRPr="00E10436">
        <w:rPr>
          <w:rFonts w:cs="Times New Roman"/>
          <w:bCs/>
          <w:color w:val="000000" w:themeColor="text1"/>
        </w:rPr>
        <w:t xml:space="preserve">: </w:t>
      </w:r>
      <w:r w:rsidR="00C3013D" w:rsidRPr="00E10436">
        <w:rPr>
          <w:rFonts w:cs="Times New Roman"/>
          <w:bCs/>
          <w:color w:val="000000" w:themeColor="text1"/>
        </w:rPr>
        <w:t>S</w:t>
      </w:r>
      <w:r w:rsidR="00DE5F91" w:rsidRPr="00E10436">
        <w:rPr>
          <w:rFonts w:cs="Times New Roman"/>
          <w:bCs/>
          <w:color w:val="000000" w:themeColor="text1"/>
        </w:rPr>
        <w:t>ensitivity analysis</w:t>
      </w:r>
    </w:p>
    <w:p w14:paraId="4CD00458" w14:textId="2E0E8FC6" w:rsidR="00684E5A" w:rsidRPr="006044FA" w:rsidRDefault="00684E5A" w:rsidP="00E10436">
      <w:pPr>
        <w:pStyle w:val="Heading2"/>
        <w:keepNext w:val="0"/>
        <w:spacing w:line="480" w:lineRule="auto"/>
      </w:pPr>
      <w:r w:rsidRPr="006044FA">
        <w:t xml:space="preserve">Table </w:t>
      </w:r>
      <w:r w:rsidR="00E10436">
        <w:t>2</w:t>
      </w:r>
      <w:r w:rsidR="009B1C3E">
        <w:t>:</w:t>
      </w:r>
      <w:r w:rsidRPr="006044FA">
        <w:t xml:space="preserve"> Tabulated Results for One-Way Sensitivity Analysis (for Fig 1 in manuscript)</w:t>
      </w:r>
    </w:p>
    <w:p w14:paraId="63437125" w14:textId="79F14833" w:rsidR="00684E5A" w:rsidRPr="00330362" w:rsidRDefault="00684E5A">
      <w:pPr>
        <w:pStyle w:val="BodyText"/>
        <w:spacing w:line="480" w:lineRule="auto"/>
        <w:rPr>
          <w:rFonts w:ascii="Times New Roman" w:hAnsi="Times New Roman" w:cs="Times New Roman"/>
          <w:lang w:val="en-GB"/>
        </w:rPr>
      </w:pPr>
      <w:r w:rsidRPr="00330362">
        <w:rPr>
          <w:rFonts w:ascii="Times New Roman" w:hAnsi="Times New Roman" w:cs="Times New Roman"/>
          <w:lang w:val="en-GB"/>
        </w:rPr>
        <w:t>The low and high ICERs from the one-way sensitivity analysis for the three UVV strategies compared to BC1 and BC2 are shown below</w:t>
      </w:r>
      <w:r>
        <w:rPr>
          <w:rFonts w:ascii="Times New Roman" w:hAnsi="Times New Roman" w:cs="Times New Roman"/>
          <w:lang w:val="en-GB"/>
        </w:rPr>
        <w:t>.</w:t>
      </w:r>
    </w:p>
    <w:tbl>
      <w:tblPr>
        <w:tblStyle w:val="TableGrid"/>
        <w:tblW w:w="5000" w:type="pct"/>
        <w:tblLook w:val="04A0" w:firstRow="1" w:lastRow="0" w:firstColumn="1" w:lastColumn="0" w:noHBand="0" w:noVBand="1"/>
      </w:tblPr>
      <w:tblGrid>
        <w:gridCol w:w="6622"/>
        <w:gridCol w:w="1197"/>
        <w:gridCol w:w="1197"/>
      </w:tblGrid>
      <w:tr w:rsidR="00684E5A" w:rsidRPr="00330362" w14:paraId="39047660" w14:textId="77777777" w:rsidTr="00E10436">
        <w:trPr>
          <w:trHeight w:val="300"/>
        </w:trPr>
        <w:tc>
          <w:tcPr>
            <w:tcW w:w="3672" w:type="pct"/>
            <w:noWrap/>
            <w:vAlign w:val="center"/>
            <w:hideMark/>
          </w:tcPr>
          <w:p w14:paraId="2D5875BB"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BC1</w:t>
            </w:r>
          </w:p>
        </w:tc>
        <w:tc>
          <w:tcPr>
            <w:tcW w:w="1328" w:type="pct"/>
            <w:gridSpan w:val="2"/>
            <w:noWrap/>
            <w:vAlign w:val="center"/>
            <w:hideMark/>
          </w:tcPr>
          <w:p w14:paraId="35A93FE1"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ICERs</w:t>
            </w:r>
          </w:p>
        </w:tc>
      </w:tr>
      <w:tr w:rsidR="00684E5A" w:rsidRPr="00330362" w14:paraId="53761840" w14:textId="77777777" w:rsidTr="00E10436">
        <w:trPr>
          <w:trHeight w:val="300"/>
        </w:trPr>
        <w:tc>
          <w:tcPr>
            <w:tcW w:w="3672" w:type="pct"/>
            <w:noWrap/>
            <w:vAlign w:val="center"/>
            <w:hideMark/>
          </w:tcPr>
          <w:p w14:paraId="7B3E2055" w14:textId="77777777" w:rsidR="00684E5A" w:rsidRPr="00E10436" w:rsidRDefault="00684E5A" w:rsidP="00E10436">
            <w:pPr>
              <w:spacing w:before="0" w:after="0" w:line="480" w:lineRule="auto"/>
              <w:rPr>
                <w:rFonts w:ascii="Times New Roman" w:eastAsia="Times New Roman" w:hAnsi="Times New Roman" w:cs="Times New Roman"/>
                <w:b/>
                <w:bCs/>
                <w:color w:val="000000"/>
                <w:sz w:val="20"/>
                <w:szCs w:val="20"/>
                <w:lang w:val="en-GB" w:eastAsia="en-GB"/>
              </w:rPr>
            </w:pPr>
          </w:p>
        </w:tc>
        <w:tc>
          <w:tcPr>
            <w:tcW w:w="664" w:type="pct"/>
            <w:noWrap/>
            <w:vAlign w:val="center"/>
            <w:hideMark/>
          </w:tcPr>
          <w:p w14:paraId="196B4675"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Low</w:t>
            </w:r>
          </w:p>
        </w:tc>
        <w:tc>
          <w:tcPr>
            <w:tcW w:w="664" w:type="pct"/>
            <w:noWrap/>
            <w:vAlign w:val="center"/>
            <w:hideMark/>
          </w:tcPr>
          <w:p w14:paraId="437AA76F"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High</w:t>
            </w:r>
          </w:p>
        </w:tc>
      </w:tr>
      <w:tr w:rsidR="00684E5A" w:rsidRPr="00330362" w14:paraId="6A1CFE9B" w14:textId="77777777" w:rsidTr="00E10436">
        <w:trPr>
          <w:trHeight w:val="300"/>
        </w:trPr>
        <w:tc>
          <w:tcPr>
            <w:tcW w:w="5000" w:type="pct"/>
            <w:gridSpan w:val="3"/>
            <w:noWrap/>
            <w:vAlign w:val="center"/>
            <w:hideMark/>
          </w:tcPr>
          <w:p w14:paraId="748D41AA"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UVV-S</w:t>
            </w:r>
          </w:p>
        </w:tc>
      </w:tr>
      <w:tr w:rsidR="00684E5A" w:rsidRPr="00330362" w14:paraId="7C7DFCC1" w14:textId="77777777" w:rsidTr="00E10436">
        <w:trPr>
          <w:trHeight w:val="300"/>
        </w:trPr>
        <w:tc>
          <w:tcPr>
            <w:tcW w:w="3672" w:type="pct"/>
            <w:noWrap/>
            <w:vAlign w:val="center"/>
            <w:hideMark/>
          </w:tcPr>
          <w:p w14:paraId="75607738" w14:textId="37C8AB91"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2 vaccination covera</w:t>
            </w:r>
            <w:r w:rsidR="00684E5A" w:rsidRPr="00E10436">
              <w:rPr>
                <w:rFonts w:ascii="Times New Roman" w:eastAsia="Times New Roman" w:hAnsi="Times New Roman" w:cs="Times New Roman"/>
                <w:color w:val="000000"/>
                <w:sz w:val="20"/>
                <w:szCs w:val="20"/>
                <w:lang w:val="en-GB" w:eastAsia="en-GB"/>
              </w:rPr>
              <w:t>ge</w:t>
            </w:r>
          </w:p>
        </w:tc>
        <w:tc>
          <w:tcPr>
            <w:tcW w:w="664" w:type="pct"/>
            <w:noWrap/>
            <w:vAlign w:val="center"/>
            <w:hideMark/>
          </w:tcPr>
          <w:p w14:paraId="10CA834D" w14:textId="29D207AA"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25,672</w:t>
            </w:r>
          </w:p>
        </w:tc>
        <w:tc>
          <w:tcPr>
            <w:tcW w:w="664" w:type="pct"/>
            <w:noWrap/>
            <w:vAlign w:val="center"/>
            <w:hideMark/>
          </w:tcPr>
          <w:p w14:paraId="441BE070" w14:textId="4366886E"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25,540</w:t>
            </w:r>
          </w:p>
        </w:tc>
      </w:tr>
      <w:tr w:rsidR="00684E5A" w:rsidRPr="00330362" w14:paraId="227E5265" w14:textId="77777777" w:rsidTr="00E10436">
        <w:trPr>
          <w:trHeight w:val="300"/>
        </w:trPr>
        <w:tc>
          <w:tcPr>
            <w:tcW w:w="3672" w:type="pct"/>
            <w:noWrap/>
            <w:vAlign w:val="center"/>
            <w:hideMark/>
          </w:tcPr>
          <w:p w14:paraId="085670AD" w14:textId="1D36E601"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Catch-up coverage</w:t>
            </w:r>
          </w:p>
        </w:tc>
        <w:tc>
          <w:tcPr>
            <w:tcW w:w="664" w:type="pct"/>
            <w:noWrap/>
            <w:vAlign w:val="center"/>
            <w:hideMark/>
          </w:tcPr>
          <w:p w14:paraId="772D5A5C" w14:textId="6690A52D"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25,524</w:t>
            </w:r>
          </w:p>
        </w:tc>
        <w:tc>
          <w:tcPr>
            <w:tcW w:w="664" w:type="pct"/>
            <w:noWrap/>
            <w:vAlign w:val="center"/>
            <w:hideMark/>
          </w:tcPr>
          <w:p w14:paraId="21F0807F" w14:textId="485DEE81"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25,691</w:t>
            </w:r>
          </w:p>
        </w:tc>
      </w:tr>
      <w:tr w:rsidR="00684E5A" w:rsidRPr="00330362" w14:paraId="6C7EE50C" w14:textId="77777777" w:rsidTr="00E10436">
        <w:trPr>
          <w:trHeight w:val="300"/>
        </w:trPr>
        <w:tc>
          <w:tcPr>
            <w:tcW w:w="3672" w:type="pct"/>
            <w:noWrap/>
            <w:vAlign w:val="center"/>
            <w:hideMark/>
          </w:tcPr>
          <w:p w14:paraId="632BA064"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Percent of cases requiring hospitalization or outpatient visit</w:t>
            </w:r>
          </w:p>
        </w:tc>
        <w:tc>
          <w:tcPr>
            <w:tcW w:w="664" w:type="pct"/>
            <w:noWrap/>
            <w:vAlign w:val="center"/>
            <w:hideMark/>
          </w:tcPr>
          <w:p w14:paraId="1BB502E8" w14:textId="778471AF"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26,045</w:t>
            </w:r>
          </w:p>
        </w:tc>
        <w:tc>
          <w:tcPr>
            <w:tcW w:w="664" w:type="pct"/>
            <w:noWrap/>
            <w:vAlign w:val="center"/>
            <w:hideMark/>
          </w:tcPr>
          <w:p w14:paraId="0A3D4B50" w14:textId="352AF5FE"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25,169</w:t>
            </w:r>
          </w:p>
        </w:tc>
      </w:tr>
      <w:tr w:rsidR="00684E5A" w:rsidRPr="00330362" w14:paraId="292D707C" w14:textId="77777777" w:rsidTr="00E10436">
        <w:trPr>
          <w:trHeight w:val="300"/>
        </w:trPr>
        <w:tc>
          <w:tcPr>
            <w:tcW w:w="3672" w:type="pct"/>
            <w:noWrap/>
            <w:vAlign w:val="center"/>
            <w:hideMark/>
          </w:tcPr>
          <w:p w14:paraId="5B25E4E9" w14:textId="69275294"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1 vaccination coverage</w:t>
            </w:r>
          </w:p>
        </w:tc>
        <w:tc>
          <w:tcPr>
            <w:tcW w:w="664" w:type="pct"/>
            <w:noWrap/>
            <w:vAlign w:val="center"/>
            <w:hideMark/>
          </w:tcPr>
          <w:p w14:paraId="57CB99AE" w14:textId="4C186702"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25,814</w:t>
            </w:r>
          </w:p>
        </w:tc>
        <w:tc>
          <w:tcPr>
            <w:tcW w:w="664" w:type="pct"/>
            <w:noWrap/>
            <w:vAlign w:val="center"/>
            <w:hideMark/>
          </w:tcPr>
          <w:p w14:paraId="38D39CA6" w14:textId="7FAFCE9C"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25,328</w:t>
            </w:r>
          </w:p>
        </w:tc>
      </w:tr>
      <w:tr w:rsidR="00684E5A" w:rsidRPr="00330362" w14:paraId="6451AED3" w14:textId="77777777" w:rsidTr="00E10436">
        <w:trPr>
          <w:trHeight w:val="300"/>
        </w:trPr>
        <w:tc>
          <w:tcPr>
            <w:tcW w:w="3672" w:type="pct"/>
            <w:noWrap/>
            <w:vAlign w:val="center"/>
            <w:hideMark/>
          </w:tcPr>
          <w:p w14:paraId="4F411944" w14:textId="703F8E3E"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Cost of work day lost</w:t>
            </w:r>
          </w:p>
        </w:tc>
        <w:tc>
          <w:tcPr>
            <w:tcW w:w="664" w:type="pct"/>
            <w:noWrap/>
            <w:vAlign w:val="center"/>
            <w:hideMark/>
          </w:tcPr>
          <w:p w14:paraId="0F7325D7" w14:textId="1C2E5C44"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26,807</w:t>
            </w:r>
          </w:p>
        </w:tc>
        <w:tc>
          <w:tcPr>
            <w:tcW w:w="664" w:type="pct"/>
            <w:noWrap/>
            <w:vAlign w:val="center"/>
            <w:hideMark/>
          </w:tcPr>
          <w:p w14:paraId="4F7F5E4E" w14:textId="56A2E57A"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24,407</w:t>
            </w:r>
          </w:p>
        </w:tc>
      </w:tr>
      <w:tr w:rsidR="00684E5A" w:rsidRPr="00330362" w14:paraId="41B819F2" w14:textId="77777777" w:rsidTr="00E10436">
        <w:trPr>
          <w:trHeight w:val="300"/>
        </w:trPr>
        <w:tc>
          <w:tcPr>
            <w:tcW w:w="3672" w:type="pct"/>
            <w:noWrap/>
            <w:vAlign w:val="center"/>
            <w:hideMark/>
          </w:tcPr>
          <w:p w14:paraId="2CACC259" w14:textId="41646C75"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Work days lost</w:t>
            </w:r>
          </w:p>
        </w:tc>
        <w:tc>
          <w:tcPr>
            <w:tcW w:w="664" w:type="pct"/>
            <w:noWrap/>
            <w:vAlign w:val="center"/>
            <w:hideMark/>
          </w:tcPr>
          <w:p w14:paraId="7AA8A72C" w14:textId="39C0EDEB"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27,023</w:t>
            </w:r>
          </w:p>
        </w:tc>
        <w:tc>
          <w:tcPr>
            <w:tcW w:w="664" w:type="pct"/>
            <w:noWrap/>
            <w:vAlign w:val="center"/>
            <w:hideMark/>
          </w:tcPr>
          <w:p w14:paraId="332230D5" w14:textId="3875CBF0"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24,190</w:t>
            </w:r>
          </w:p>
        </w:tc>
      </w:tr>
      <w:tr w:rsidR="00684E5A" w:rsidRPr="00330362" w14:paraId="7B6F0F19" w14:textId="77777777" w:rsidTr="00E10436">
        <w:trPr>
          <w:trHeight w:val="300"/>
        </w:trPr>
        <w:tc>
          <w:tcPr>
            <w:tcW w:w="3672" w:type="pct"/>
            <w:noWrap/>
            <w:vAlign w:val="center"/>
            <w:hideMark/>
          </w:tcPr>
          <w:p w14:paraId="4EC82617"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hAnsi="Times New Roman" w:cs="Times New Roman"/>
                <w:sz w:val="20"/>
                <w:szCs w:val="20"/>
              </w:rPr>
              <w:t>MMRV-MSD</w:t>
            </w:r>
            <w:r w:rsidRPr="00E10436">
              <w:rPr>
                <w:rFonts w:ascii="Times New Roman" w:eastAsia="Times New Roman" w:hAnsi="Times New Roman" w:cs="Times New Roman"/>
                <w:color w:val="000000"/>
                <w:sz w:val="20"/>
                <w:szCs w:val="20"/>
                <w:lang w:val="en-GB" w:eastAsia="en-GB"/>
              </w:rPr>
              <w:t xml:space="preserve"> price</w:t>
            </w:r>
          </w:p>
        </w:tc>
        <w:tc>
          <w:tcPr>
            <w:tcW w:w="664" w:type="pct"/>
            <w:noWrap/>
            <w:vAlign w:val="center"/>
            <w:hideMark/>
          </w:tcPr>
          <w:p w14:paraId="6F6A1DA3" w14:textId="7870ADA3"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18,180</w:t>
            </w:r>
          </w:p>
        </w:tc>
        <w:tc>
          <w:tcPr>
            <w:tcW w:w="664" w:type="pct"/>
            <w:noWrap/>
            <w:vAlign w:val="center"/>
            <w:hideMark/>
          </w:tcPr>
          <w:p w14:paraId="54FFFBE3" w14:textId="599B629D"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33,034</w:t>
            </w:r>
          </w:p>
        </w:tc>
      </w:tr>
      <w:tr w:rsidR="00684E5A" w:rsidRPr="00330362" w14:paraId="06A482A5" w14:textId="77777777" w:rsidTr="00E10436">
        <w:trPr>
          <w:trHeight w:val="300"/>
        </w:trPr>
        <w:tc>
          <w:tcPr>
            <w:tcW w:w="5000" w:type="pct"/>
            <w:gridSpan w:val="3"/>
            <w:noWrap/>
            <w:vAlign w:val="center"/>
            <w:hideMark/>
          </w:tcPr>
          <w:p w14:paraId="6EA337E7"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UVV-M</w:t>
            </w:r>
          </w:p>
        </w:tc>
      </w:tr>
      <w:tr w:rsidR="00684E5A" w:rsidRPr="00330362" w14:paraId="20867741" w14:textId="77777777" w:rsidTr="00E10436">
        <w:trPr>
          <w:trHeight w:val="300"/>
        </w:trPr>
        <w:tc>
          <w:tcPr>
            <w:tcW w:w="3672" w:type="pct"/>
            <w:noWrap/>
            <w:vAlign w:val="center"/>
            <w:hideMark/>
          </w:tcPr>
          <w:p w14:paraId="7034B2CE" w14:textId="1E4CDDAC"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 xml:space="preserve">Dose 2 </w:t>
            </w:r>
            <w:r w:rsidR="00684E5A" w:rsidRPr="00E10436">
              <w:rPr>
                <w:rFonts w:ascii="Times New Roman" w:eastAsia="Times New Roman" w:hAnsi="Times New Roman" w:cs="Times New Roman"/>
                <w:color w:val="000000"/>
                <w:sz w:val="20"/>
                <w:szCs w:val="20"/>
                <w:lang w:val="en-GB" w:eastAsia="en-GB"/>
              </w:rPr>
              <w:t>vaccination coverage</w:t>
            </w:r>
          </w:p>
        </w:tc>
        <w:tc>
          <w:tcPr>
            <w:tcW w:w="664" w:type="pct"/>
            <w:noWrap/>
            <w:vAlign w:val="center"/>
            <w:hideMark/>
          </w:tcPr>
          <w:p w14:paraId="30BC71E3" w14:textId="0FBCC101"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25,072</w:t>
            </w:r>
          </w:p>
        </w:tc>
        <w:tc>
          <w:tcPr>
            <w:tcW w:w="664" w:type="pct"/>
            <w:noWrap/>
            <w:vAlign w:val="center"/>
            <w:hideMark/>
          </w:tcPr>
          <w:p w14:paraId="4869DE6A" w14:textId="0DAFB168"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24,907</w:t>
            </w:r>
          </w:p>
        </w:tc>
      </w:tr>
      <w:tr w:rsidR="00684E5A" w:rsidRPr="00330362" w14:paraId="4887204F" w14:textId="77777777" w:rsidTr="00E10436">
        <w:trPr>
          <w:trHeight w:val="300"/>
        </w:trPr>
        <w:tc>
          <w:tcPr>
            <w:tcW w:w="3672" w:type="pct"/>
            <w:noWrap/>
            <w:vAlign w:val="center"/>
            <w:hideMark/>
          </w:tcPr>
          <w:p w14:paraId="6199BDEC" w14:textId="1BCF1B97"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Catch-up coverage</w:t>
            </w:r>
          </w:p>
        </w:tc>
        <w:tc>
          <w:tcPr>
            <w:tcW w:w="664" w:type="pct"/>
            <w:noWrap/>
            <w:vAlign w:val="center"/>
            <w:hideMark/>
          </w:tcPr>
          <w:p w14:paraId="6217E13F" w14:textId="2D2538E1"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24,904</w:t>
            </w:r>
          </w:p>
        </w:tc>
        <w:tc>
          <w:tcPr>
            <w:tcW w:w="664" w:type="pct"/>
            <w:noWrap/>
            <w:vAlign w:val="center"/>
            <w:hideMark/>
          </w:tcPr>
          <w:p w14:paraId="492917E9" w14:textId="17B794DD"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25,078</w:t>
            </w:r>
          </w:p>
        </w:tc>
      </w:tr>
      <w:tr w:rsidR="00684E5A" w:rsidRPr="00330362" w14:paraId="4AB93EFE" w14:textId="77777777" w:rsidTr="00E10436">
        <w:trPr>
          <w:trHeight w:val="300"/>
        </w:trPr>
        <w:tc>
          <w:tcPr>
            <w:tcW w:w="3672" w:type="pct"/>
            <w:noWrap/>
            <w:vAlign w:val="center"/>
            <w:hideMark/>
          </w:tcPr>
          <w:p w14:paraId="02EF484D" w14:textId="1BA3CF7F"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1 vaccination coverage</w:t>
            </w:r>
          </w:p>
        </w:tc>
        <w:tc>
          <w:tcPr>
            <w:tcW w:w="664" w:type="pct"/>
            <w:noWrap/>
            <w:vAlign w:val="center"/>
            <w:hideMark/>
          </w:tcPr>
          <w:p w14:paraId="30B55E08" w14:textId="5EDCA1BD"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25,187</w:t>
            </w:r>
          </w:p>
        </w:tc>
        <w:tc>
          <w:tcPr>
            <w:tcW w:w="664" w:type="pct"/>
            <w:noWrap/>
            <w:vAlign w:val="center"/>
            <w:hideMark/>
          </w:tcPr>
          <w:p w14:paraId="38E52B41" w14:textId="146391C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24,735</w:t>
            </w:r>
          </w:p>
        </w:tc>
      </w:tr>
      <w:tr w:rsidR="00684E5A" w:rsidRPr="00330362" w14:paraId="02925778" w14:textId="77777777" w:rsidTr="00E10436">
        <w:trPr>
          <w:trHeight w:val="300"/>
        </w:trPr>
        <w:tc>
          <w:tcPr>
            <w:tcW w:w="3672" w:type="pct"/>
            <w:noWrap/>
            <w:vAlign w:val="center"/>
            <w:hideMark/>
          </w:tcPr>
          <w:p w14:paraId="3FB28312"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Percent of cases requiring hospitalization or outpatient visit</w:t>
            </w:r>
          </w:p>
        </w:tc>
        <w:tc>
          <w:tcPr>
            <w:tcW w:w="664" w:type="pct"/>
            <w:noWrap/>
            <w:vAlign w:val="center"/>
            <w:hideMark/>
          </w:tcPr>
          <w:p w14:paraId="3E5B197D" w14:textId="7BDC8983"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25,435</w:t>
            </w:r>
          </w:p>
        </w:tc>
        <w:tc>
          <w:tcPr>
            <w:tcW w:w="664" w:type="pct"/>
            <w:noWrap/>
            <w:vAlign w:val="center"/>
            <w:hideMark/>
          </w:tcPr>
          <w:p w14:paraId="47EDA2FB" w14:textId="156F148C"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24,545</w:t>
            </w:r>
          </w:p>
        </w:tc>
      </w:tr>
      <w:tr w:rsidR="00684E5A" w:rsidRPr="00330362" w14:paraId="099CB0B5" w14:textId="77777777" w:rsidTr="00E10436">
        <w:trPr>
          <w:trHeight w:val="300"/>
        </w:trPr>
        <w:tc>
          <w:tcPr>
            <w:tcW w:w="3672" w:type="pct"/>
            <w:noWrap/>
            <w:vAlign w:val="center"/>
            <w:hideMark/>
          </w:tcPr>
          <w:p w14:paraId="433259BB" w14:textId="405C4904"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Cost of work day lost</w:t>
            </w:r>
          </w:p>
        </w:tc>
        <w:tc>
          <w:tcPr>
            <w:tcW w:w="664" w:type="pct"/>
            <w:noWrap/>
            <w:vAlign w:val="center"/>
            <w:hideMark/>
          </w:tcPr>
          <w:p w14:paraId="7DA92B2E" w14:textId="3C1B5143"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26,211</w:t>
            </w:r>
          </w:p>
        </w:tc>
        <w:tc>
          <w:tcPr>
            <w:tcW w:w="664" w:type="pct"/>
            <w:noWrap/>
            <w:vAlign w:val="center"/>
            <w:hideMark/>
          </w:tcPr>
          <w:p w14:paraId="5DEA8928" w14:textId="23E0BEDC"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23,770</w:t>
            </w:r>
          </w:p>
        </w:tc>
      </w:tr>
      <w:tr w:rsidR="00684E5A" w:rsidRPr="00330362" w14:paraId="6DFB0F74" w14:textId="77777777" w:rsidTr="00E10436">
        <w:trPr>
          <w:trHeight w:val="300"/>
        </w:trPr>
        <w:tc>
          <w:tcPr>
            <w:tcW w:w="3672" w:type="pct"/>
            <w:noWrap/>
            <w:vAlign w:val="center"/>
            <w:hideMark/>
          </w:tcPr>
          <w:p w14:paraId="5B33B5D1" w14:textId="10EE1555"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Work days lost</w:t>
            </w:r>
          </w:p>
        </w:tc>
        <w:tc>
          <w:tcPr>
            <w:tcW w:w="664" w:type="pct"/>
            <w:noWrap/>
            <w:vAlign w:val="center"/>
            <w:hideMark/>
          </w:tcPr>
          <w:p w14:paraId="69D2F741" w14:textId="1D239878"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26,428</w:t>
            </w:r>
          </w:p>
        </w:tc>
        <w:tc>
          <w:tcPr>
            <w:tcW w:w="664" w:type="pct"/>
            <w:noWrap/>
            <w:vAlign w:val="center"/>
            <w:hideMark/>
          </w:tcPr>
          <w:p w14:paraId="5D645AC5" w14:textId="15256829"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23,552</w:t>
            </w:r>
          </w:p>
        </w:tc>
      </w:tr>
      <w:tr w:rsidR="00684E5A" w:rsidRPr="00330362" w14:paraId="62F87D02" w14:textId="77777777" w:rsidTr="00E10436">
        <w:trPr>
          <w:trHeight w:val="300"/>
        </w:trPr>
        <w:tc>
          <w:tcPr>
            <w:tcW w:w="3672" w:type="pct"/>
            <w:noWrap/>
            <w:vAlign w:val="center"/>
            <w:hideMark/>
          </w:tcPr>
          <w:p w14:paraId="538CD7D1"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hAnsi="Times New Roman" w:cs="Times New Roman"/>
                <w:sz w:val="20"/>
                <w:szCs w:val="20"/>
              </w:rPr>
              <w:t>MMRV-MSD</w:t>
            </w:r>
            <w:r w:rsidRPr="00E10436">
              <w:rPr>
                <w:rFonts w:ascii="Times New Roman" w:eastAsia="Times New Roman" w:hAnsi="Times New Roman" w:cs="Times New Roman"/>
                <w:color w:val="000000"/>
                <w:sz w:val="20"/>
                <w:szCs w:val="20"/>
                <w:lang w:val="en-GB" w:eastAsia="en-GB"/>
              </w:rPr>
              <w:t xml:space="preserve"> price</w:t>
            </w:r>
          </w:p>
        </w:tc>
        <w:tc>
          <w:tcPr>
            <w:tcW w:w="664" w:type="pct"/>
            <w:noWrap/>
            <w:vAlign w:val="center"/>
            <w:hideMark/>
          </w:tcPr>
          <w:p w14:paraId="5D403E5F" w14:textId="0C5B3780"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17,671</w:t>
            </w:r>
          </w:p>
        </w:tc>
        <w:tc>
          <w:tcPr>
            <w:tcW w:w="664" w:type="pct"/>
            <w:noWrap/>
            <w:vAlign w:val="center"/>
            <w:hideMark/>
          </w:tcPr>
          <w:p w14:paraId="04A5AD5D" w14:textId="43CE06DB"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32,310</w:t>
            </w:r>
          </w:p>
        </w:tc>
      </w:tr>
      <w:tr w:rsidR="00684E5A" w:rsidRPr="00330362" w14:paraId="5268B763" w14:textId="77777777" w:rsidTr="00E10436">
        <w:trPr>
          <w:trHeight w:val="300"/>
        </w:trPr>
        <w:tc>
          <w:tcPr>
            <w:tcW w:w="5000" w:type="pct"/>
            <w:gridSpan w:val="3"/>
            <w:noWrap/>
            <w:vAlign w:val="center"/>
            <w:hideMark/>
          </w:tcPr>
          <w:p w14:paraId="71E0A6B7"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UVV-L</w:t>
            </w:r>
          </w:p>
        </w:tc>
      </w:tr>
      <w:tr w:rsidR="00684E5A" w:rsidRPr="00330362" w14:paraId="7FF86C88" w14:textId="77777777" w:rsidTr="00E10436">
        <w:trPr>
          <w:trHeight w:val="300"/>
        </w:trPr>
        <w:tc>
          <w:tcPr>
            <w:tcW w:w="3672" w:type="pct"/>
            <w:noWrap/>
            <w:vAlign w:val="center"/>
            <w:hideMark/>
          </w:tcPr>
          <w:p w14:paraId="16502304" w14:textId="779548A3"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Catch-up coverage</w:t>
            </w:r>
          </w:p>
        </w:tc>
        <w:tc>
          <w:tcPr>
            <w:tcW w:w="664" w:type="pct"/>
            <w:noWrap/>
            <w:vAlign w:val="center"/>
            <w:hideMark/>
          </w:tcPr>
          <w:p w14:paraId="1B5BFFF6" w14:textId="14AA5FB1"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28,941</w:t>
            </w:r>
          </w:p>
        </w:tc>
        <w:tc>
          <w:tcPr>
            <w:tcW w:w="664" w:type="pct"/>
            <w:noWrap/>
            <w:vAlign w:val="center"/>
            <w:hideMark/>
          </w:tcPr>
          <w:p w14:paraId="337739FD" w14:textId="319F03BD"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29,146</w:t>
            </w:r>
          </w:p>
        </w:tc>
      </w:tr>
      <w:tr w:rsidR="00684E5A" w:rsidRPr="00330362" w14:paraId="40A44C10" w14:textId="77777777" w:rsidTr="00E10436">
        <w:trPr>
          <w:trHeight w:val="300"/>
        </w:trPr>
        <w:tc>
          <w:tcPr>
            <w:tcW w:w="3672" w:type="pct"/>
            <w:noWrap/>
            <w:vAlign w:val="center"/>
            <w:hideMark/>
          </w:tcPr>
          <w:p w14:paraId="7868A480" w14:textId="591B71CA"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2 vaccination coverage</w:t>
            </w:r>
          </w:p>
        </w:tc>
        <w:tc>
          <w:tcPr>
            <w:tcW w:w="664" w:type="pct"/>
            <w:noWrap/>
            <w:vAlign w:val="center"/>
            <w:hideMark/>
          </w:tcPr>
          <w:p w14:paraId="617BAF85" w14:textId="295D88D6"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28,923</w:t>
            </w:r>
          </w:p>
        </w:tc>
        <w:tc>
          <w:tcPr>
            <w:tcW w:w="664" w:type="pct"/>
            <w:noWrap/>
            <w:vAlign w:val="center"/>
            <w:hideMark/>
          </w:tcPr>
          <w:p w14:paraId="6109663E" w14:textId="20CD3F3D"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29,161</w:t>
            </w:r>
          </w:p>
        </w:tc>
      </w:tr>
      <w:tr w:rsidR="00684E5A" w:rsidRPr="00330362" w14:paraId="0A456745" w14:textId="77777777" w:rsidTr="00E10436">
        <w:trPr>
          <w:trHeight w:val="300"/>
        </w:trPr>
        <w:tc>
          <w:tcPr>
            <w:tcW w:w="3672" w:type="pct"/>
            <w:noWrap/>
            <w:vAlign w:val="center"/>
            <w:hideMark/>
          </w:tcPr>
          <w:p w14:paraId="7A06DF18" w14:textId="685AF7FD"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1 vaccination coverage</w:t>
            </w:r>
          </w:p>
        </w:tc>
        <w:tc>
          <w:tcPr>
            <w:tcW w:w="664" w:type="pct"/>
            <w:noWrap/>
            <w:vAlign w:val="center"/>
            <w:hideMark/>
          </w:tcPr>
          <w:p w14:paraId="74A9A163" w14:textId="7EBB166E"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29,293</w:t>
            </w:r>
          </w:p>
        </w:tc>
        <w:tc>
          <w:tcPr>
            <w:tcW w:w="664" w:type="pct"/>
            <w:noWrap/>
            <w:vAlign w:val="center"/>
            <w:hideMark/>
          </w:tcPr>
          <w:p w14:paraId="2AA154F8" w14:textId="5C179440"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28,807</w:t>
            </w:r>
          </w:p>
        </w:tc>
      </w:tr>
      <w:tr w:rsidR="00684E5A" w:rsidRPr="00330362" w14:paraId="103AA4F1" w14:textId="77777777" w:rsidTr="00E10436">
        <w:trPr>
          <w:trHeight w:val="300"/>
        </w:trPr>
        <w:tc>
          <w:tcPr>
            <w:tcW w:w="3672" w:type="pct"/>
            <w:noWrap/>
            <w:vAlign w:val="center"/>
            <w:hideMark/>
          </w:tcPr>
          <w:p w14:paraId="239765E2"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Percent of cases requiring hospitalization or outpatient visit</w:t>
            </w:r>
          </w:p>
        </w:tc>
        <w:tc>
          <w:tcPr>
            <w:tcW w:w="664" w:type="pct"/>
            <w:noWrap/>
            <w:vAlign w:val="center"/>
            <w:hideMark/>
          </w:tcPr>
          <w:p w14:paraId="022C6233" w14:textId="6A629DEA"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29,505</w:t>
            </w:r>
          </w:p>
        </w:tc>
        <w:tc>
          <w:tcPr>
            <w:tcW w:w="664" w:type="pct"/>
            <w:noWrap/>
            <w:vAlign w:val="center"/>
            <w:hideMark/>
          </w:tcPr>
          <w:p w14:paraId="7BC002DC" w14:textId="111D7834"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28,581</w:t>
            </w:r>
          </w:p>
        </w:tc>
      </w:tr>
      <w:tr w:rsidR="00684E5A" w:rsidRPr="00330362" w14:paraId="37DAB821" w14:textId="77777777" w:rsidTr="00E10436">
        <w:trPr>
          <w:trHeight w:val="300"/>
        </w:trPr>
        <w:tc>
          <w:tcPr>
            <w:tcW w:w="3672" w:type="pct"/>
            <w:noWrap/>
            <w:vAlign w:val="center"/>
            <w:hideMark/>
          </w:tcPr>
          <w:p w14:paraId="34D67510" w14:textId="6A279152"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Cost of work day lost</w:t>
            </w:r>
          </w:p>
        </w:tc>
        <w:tc>
          <w:tcPr>
            <w:tcW w:w="664" w:type="pct"/>
            <w:noWrap/>
            <w:vAlign w:val="center"/>
            <w:hideMark/>
          </w:tcPr>
          <w:p w14:paraId="2255B38B" w14:textId="39575F2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30,291</w:t>
            </w:r>
          </w:p>
        </w:tc>
        <w:tc>
          <w:tcPr>
            <w:tcW w:w="664" w:type="pct"/>
            <w:noWrap/>
            <w:vAlign w:val="center"/>
            <w:hideMark/>
          </w:tcPr>
          <w:p w14:paraId="4CD58EF9" w14:textId="1E3FC811"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27,795</w:t>
            </w:r>
          </w:p>
        </w:tc>
      </w:tr>
      <w:tr w:rsidR="00684E5A" w:rsidRPr="00330362" w14:paraId="3A4E2D86" w14:textId="77777777" w:rsidTr="00E10436">
        <w:trPr>
          <w:trHeight w:val="300"/>
        </w:trPr>
        <w:tc>
          <w:tcPr>
            <w:tcW w:w="3672" w:type="pct"/>
            <w:noWrap/>
            <w:vAlign w:val="center"/>
            <w:hideMark/>
          </w:tcPr>
          <w:p w14:paraId="5CD6A360" w14:textId="6EA48A7E"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lastRenderedPageBreak/>
              <w:t>Work days lost</w:t>
            </w:r>
          </w:p>
        </w:tc>
        <w:tc>
          <w:tcPr>
            <w:tcW w:w="664" w:type="pct"/>
            <w:noWrap/>
            <w:vAlign w:val="center"/>
            <w:hideMark/>
          </w:tcPr>
          <w:p w14:paraId="31468E77" w14:textId="42D6D70E"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30,533</w:t>
            </w:r>
          </w:p>
        </w:tc>
        <w:tc>
          <w:tcPr>
            <w:tcW w:w="664" w:type="pct"/>
            <w:noWrap/>
            <w:vAlign w:val="center"/>
            <w:hideMark/>
          </w:tcPr>
          <w:p w14:paraId="7AD436FB" w14:textId="26B4FD20"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27,553</w:t>
            </w:r>
          </w:p>
        </w:tc>
      </w:tr>
      <w:tr w:rsidR="00684E5A" w:rsidRPr="00330362" w14:paraId="56549CBD" w14:textId="77777777" w:rsidTr="00E10436">
        <w:trPr>
          <w:trHeight w:val="300"/>
        </w:trPr>
        <w:tc>
          <w:tcPr>
            <w:tcW w:w="3672" w:type="pct"/>
            <w:noWrap/>
            <w:vAlign w:val="center"/>
            <w:hideMark/>
          </w:tcPr>
          <w:p w14:paraId="64354EB6"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hAnsi="Times New Roman" w:cs="Times New Roman"/>
                <w:sz w:val="20"/>
                <w:szCs w:val="20"/>
              </w:rPr>
              <w:t>MMRV-MSD</w:t>
            </w:r>
            <w:r w:rsidRPr="00E10436">
              <w:rPr>
                <w:rFonts w:ascii="Times New Roman" w:eastAsia="Times New Roman" w:hAnsi="Times New Roman" w:cs="Times New Roman"/>
                <w:color w:val="000000"/>
                <w:sz w:val="20"/>
                <w:szCs w:val="20"/>
                <w:lang w:val="en-GB" w:eastAsia="en-GB"/>
              </w:rPr>
              <w:t xml:space="preserve"> price</w:t>
            </w:r>
          </w:p>
        </w:tc>
        <w:tc>
          <w:tcPr>
            <w:tcW w:w="664" w:type="pct"/>
            <w:noWrap/>
            <w:vAlign w:val="center"/>
            <w:hideMark/>
          </w:tcPr>
          <w:p w14:paraId="6C197E92" w14:textId="5467E2B9"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25,201</w:t>
            </w:r>
          </w:p>
        </w:tc>
        <w:tc>
          <w:tcPr>
            <w:tcW w:w="664" w:type="pct"/>
            <w:noWrap/>
            <w:vAlign w:val="center"/>
            <w:hideMark/>
          </w:tcPr>
          <w:p w14:paraId="29199ACE" w14:textId="1302E2CE"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32,885</w:t>
            </w:r>
          </w:p>
        </w:tc>
      </w:tr>
      <w:tr w:rsidR="00D56D60" w:rsidRPr="00330362" w14:paraId="3F62C64E" w14:textId="77777777" w:rsidTr="00D56D60">
        <w:trPr>
          <w:trHeight w:val="300"/>
        </w:trPr>
        <w:tc>
          <w:tcPr>
            <w:tcW w:w="5000" w:type="pct"/>
            <w:gridSpan w:val="3"/>
            <w:noWrap/>
            <w:vAlign w:val="center"/>
            <w:hideMark/>
          </w:tcPr>
          <w:p w14:paraId="0E507345" w14:textId="77777777" w:rsidR="00D56D60" w:rsidRPr="000D35B1" w:rsidRDefault="00D56D60">
            <w:pPr>
              <w:spacing w:before="0" w:after="0" w:line="480" w:lineRule="auto"/>
              <w:jc w:val="center"/>
              <w:rPr>
                <w:rFonts w:ascii="Times New Roman" w:eastAsia="Times New Roman" w:hAnsi="Times New Roman" w:cs="Times New Roman"/>
                <w:sz w:val="20"/>
                <w:szCs w:val="20"/>
                <w:lang w:val="en-GB" w:eastAsia="en-GB"/>
              </w:rPr>
            </w:pPr>
          </w:p>
        </w:tc>
      </w:tr>
      <w:tr w:rsidR="00684E5A" w:rsidRPr="00330362" w14:paraId="11A9ECE7" w14:textId="77777777" w:rsidTr="00E10436">
        <w:trPr>
          <w:trHeight w:val="300"/>
        </w:trPr>
        <w:tc>
          <w:tcPr>
            <w:tcW w:w="3672" w:type="pct"/>
            <w:noWrap/>
            <w:vAlign w:val="center"/>
            <w:hideMark/>
          </w:tcPr>
          <w:p w14:paraId="4B5E6691"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BC2</w:t>
            </w:r>
          </w:p>
        </w:tc>
        <w:tc>
          <w:tcPr>
            <w:tcW w:w="1328" w:type="pct"/>
            <w:gridSpan w:val="2"/>
            <w:noWrap/>
            <w:vAlign w:val="center"/>
            <w:hideMark/>
          </w:tcPr>
          <w:p w14:paraId="7F91A668"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ICERs</w:t>
            </w:r>
          </w:p>
        </w:tc>
      </w:tr>
      <w:tr w:rsidR="00684E5A" w:rsidRPr="00330362" w14:paraId="1F9E90C0" w14:textId="77777777" w:rsidTr="00E10436">
        <w:trPr>
          <w:trHeight w:val="300"/>
        </w:trPr>
        <w:tc>
          <w:tcPr>
            <w:tcW w:w="3672" w:type="pct"/>
            <w:noWrap/>
            <w:vAlign w:val="center"/>
            <w:hideMark/>
          </w:tcPr>
          <w:p w14:paraId="3EF21CFB" w14:textId="70C3A33E"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p>
        </w:tc>
        <w:tc>
          <w:tcPr>
            <w:tcW w:w="664" w:type="pct"/>
            <w:noWrap/>
            <w:vAlign w:val="center"/>
            <w:hideMark/>
          </w:tcPr>
          <w:p w14:paraId="694E9276"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Low</w:t>
            </w:r>
          </w:p>
        </w:tc>
        <w:tc>
          <w:tcPr>
            <w:tcW w:w="664" w:type="pct"/>
            <w:noWrap/>
            <w:vAlign w:val="center"/>
            <w:hideMark/>
          </w:tcPr>
          <w:p w14:paraId="0655AB70"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High</w:t>
            </w:r>
          </w:p>
        </w:tc>
      </w:tr>
      <w:tr w:rsidR="00684E5A" w:rsidRPr="00330362" w14:paraId="7804E40C" w14:textId="77777777" w:rsidTr="00E10436">
        <w:trPr>
          <w:trHeight w:val="300"/>
        </w:trPr>
        <w:tc>
          <w:tcPr>
            <w:tcW w:w="5000" w:type="pct"/>
            <w:gridSpan w:val="3"/>
            <w:noWrap/>
            <w:vAlign w:val="center"/>
            <w:hideMark/>
          </w:tcPr>
          <w:p w14:paraId="2123DDE8"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UVV-S</w:t>
            </w:r>
          </w:p>
        </w:tc>
      </w:tr>
      <w:tr w:rsidR="00684E5A" w:rsidRPr="00330362" w14:paraId="4F3943A3" w14:textId="77777777" w:rsidTr="00E10436">
        <w:trPr>
          <w:trHeight w:val="300"/>
        </w:trPr>
        <w:tc>
          <w:tcPr>
            <w:tcW w:w="3672" w:type="pct"/>
            <w:noWrap/>
            <w:vAlign w:val="center"/>
            <w:hideMark/>
          </w:tcPr>
          <w:p w14:paraId="6EAD873C" w14:textId="7C656BD9"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2 vaccination coverage</w:t>
            </w:r>
          </w:p>
        </w:tc>
        <w:tc>
          <w:tcPr>
            <w:tcW w:w="664" w:type="pct"/>
            <w:noWrap/>
            <w:vAlign w:val="center"/>
            <w:hideMark/>
          </w:tcPr>
          <w:p w14:paraId="1229F1C6" w14:textId="5615DAFD"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26,317</w:t>
            </w:r>
          </w:p>
        </w:tc>
        <w:tc>
          <w:tcPr>
            <w:tcW w:w="664" w:type="pct"/>
            <w:noWrap/>
            <w:vAlign w:val="center"/>
            <w:hideMark/>
          </w:tcPr>
          <w:p w14:paraId="6E2CFED6" w14:textId="68A8CA40"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26,165</w:t>
            </w:r>
          </w:p>
        </w:tc>
      </w:tr>
      <w:tr w:rsidR="00684E5A" w:rsidRPr="00330362" w14:paraId="03837C59" w14:textId="77777777" w:rsidTr="00E10436">
        <w:trPr>
          <w:trHeight w:val="300"/>
        </w:trPr>
        <w:tc>
          <w:tcPr>
            <w:tcW w:w="3672" w:type="pct"/>
            <w:noWrap/>
            <w:vAlign w:val="center"/>
            <w:hideMark/>
          </w:tcPr>
          <w:p w14:paraId="62E4B3A2" w14:textId="1C012A16"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Catch-up coverage</w:t>
            </w:r>
          </w:p>
        </w:tc>
        <w:tc>
          <w:tcPr>
            <w:tcW w:w="664" w:type="pct"/>
            <w:noWrap/>
            <w:vAlign w:val="center"/>
            <w:hideMark/>
          </w:tcPr>
          <w:p w14:paraId="7ACC2B82" w14:textId="4A51E0BD"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26,152</w:t>
            </w:r>
          </w:p>
        </w:tc>
        <w:tc>
          <w:tcPr>
            <w:tcW w:w="664" w:type="pct"/>
            <w:noWrap/>
            <w:vAlign w:val="center"/>
            <w:hideMark/>
          </w:tcPr>
          <w:p w14:paraId="05AE1C62" w14:textId="0179C55C"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26,335</w:t>
            </w:r>
          </w:p>
        </w:tc>
      </w:tr>
      <w:tr w:rsidR="00684E5A" w:rsidRPr="00330362" w14:paraId="40BAD7C7" w14:textId="77777777" w:rsidTr="00E10436">
        <w:trPr>
          <w:trHeight w:val="300"/>
        </w:trPr>
        <w:tc>
          <w:tcPr>
            <w:tcW w:w="3672" w:type="pct"/>
            <w:noWrap/>
            <w:vAlign w:val="center"/>
            <w:hideMark/>
          </w:tcPr>
          <w:p w14:paraId="66462444"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Percent of cases requiring hospitalization or outpatient visit</w:t>
            </w:r>
          </w:p>
        </w:tc>
        <w:tc>
          <w:tcPr>
            <w:tcW w:w="664" w:type="pct"/>
            <w:noWrap/>
            <w:vAlign w:val="center"/>
            <w:hideMark/>
          </w:tcPr>
          <w:p w14:paraId="2BEA3EEA" w14:textId="6A0CBBB4"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26,670</w:t>
            </w:r>
          </w:p>
        </w:tc>
        <w:tc>
          <w:tcPr>
            <w:tcW w:w="664" w:type="pct"/>
            <w:noWrap/>
            <w:vAlign w:val="center"/>
            <w:hideMark/>
          </w:tcPr>
          <w:p w14:paraId="547C544C" w14:textId="1382455D"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25,809</w:t>
            </w:r>
          </w:p>
        </w:tc>
      </w:tr>
      <w:tr w:rsidR="00684E5A" w:rsidRPr="00330362" w14:paraId="03BC36B3" w14:textId="77777777" w:rsidTr="00E10436">
        <w:trPr>
          <w:trHeight w:val="300"/>
        </w:trPr>
        <w:tc>
          <w:tcPr>
            <w:tcW w:w="3672" w:type="pct"/>
            <w:noWrap/>
            <w:vAlign w:val="center"/>
            <w:hideMark/>
          </w:tcPr>
          <w:p w14:paraId="5AF4C3E9" w14:textId="017A6A54"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1 vaccination coverage</w:t>
            </w:r>
          </w:p>
        </w:tc>
        <w:tc>
          <w:tcPr>
            <w:tcW w:w="664" w:type="pct"/>
            <w:noWrap/>
            <w:vAlign w:val="center"/>
            <w:hideMark/>
          </w:tcPr>
          <w:p w14:paraId="7B0C9A95" w14:textId="62CD2D63"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26,458</w:t>
            </w:r>
          </w:p>
        </w:tc>
        <w:tc>
          <w:tcPr>
            <w:tcW w:w="664" w:type="pct"/>
            <w:noWrap/>
            <w:vAlign w:val="center"/>
            <w:hideMark/>
          </w:tcPr>
          <w:p w14:paraId="2D933746" w14:textId="3382361C"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25,946</w:t>
            </w:r>
          </w:p>
        </w:tc>
      </w:tr>
      <w:tr w:rsidR="00684E5A" w:rsidRPr="00330362" w14:paraId="4E17A43E" w14:textId="77777777" w:rsidTr="00E10436">
        <w:trPr>
          <w:trHeight w:val="300"/>
        </w:trPr>
        <w:tc>
          <w:tcPr>
            <w:tcW w:w="3672" w:type="pct"/>
            <w:noWrap/>
            <w:vAlign w:val="center"/>
            <w:hideMark/>
          </w:tcPr>
          <w:p w14:paraId="668B2254" w14:textId="507884E6"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Cost of work day lost</w:t>
            </w:r>
          </w:p>
        </w:tc>
        <w:tc>
          <w:tcPr>
            <w:tcW w:w="664" w:type="pct"/>
            <w:noWrap/>
            <w:vAlign w:val="center"/>
            <w:hideMark/>
          </w:tcPr>
          <w:p w14:paraId="02B0DE4A" w14:textId="51C2AD8F"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27,403</w:t>
            </w:r>
          </w:p>
        </w:tc>
        <w:tc>
          <w:tcPr>
            <w:tcW w:w="664" w:type="pct"/>
            <w:noWrap/>
            <w:vAlign w:val="center"/>
            <w:hideMark/>
          </w:tcPr>
          <w:p w14:paraId="564C7454" w14:textId="0CF7E8D5"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25,075</w:t>
            </w:r>
          </w:p>
        </w:tc>
      </w:tr>
      <w:tr w:rsidR="00684E5A" w:rsidRPr="00330362" w14:paraId="10DB9278" w14:textId="77777777" w:rsidTr="00E10436">
        <w:trPr>
          <w:trHeight w:val="300"/>
        </w:trPr>
        <w:tc>
          <w:tcPr>
            <w:tcW w:w="3672" w:type="pct"/>
            <w:noWrap/>
            <w:vAlign w:val="center"/>
            <w:hideMark/>
          </w:tcPr>
          <w:p w14:paraId="7C04B450" w14:textId="26435B68"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Work days lost</w:t>
            </w:r>
          </w:p>
        </w:tc>
        <w:tc>
          <w:tcPr>
            <w:tcW w:w="664" w:type="pct"/>
            <w:noWrap/>
            <w:vAlign w:val="center"/>
            <w:hideMark/>
          </w:tcPr>
          <w:p w14:paraId="5B866070" w14:textId="67C125D9"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27,636</w:t>
            </w:r>
          </w:p>
        </w:tc>
        <w:tc>
          <w:tcPr>
            <w:tcW w:w="664" w:type="pct"/>
            <w:noWrap/>
            <w:vAlign w:val="center"/>
            <w:hideMark/>
          </w:tcPr>
          <w:p w14:paraId="4D2EA0CC" w14:textId="63A067B8"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24,843</w:t>
            </w:r>
          </w:p>
        </w:tc>
      </w:tr>
      <w:tr w:rsidR="00684E5A" w:rsidRPr="00330362" w14:paraId="39698630" w14:textId="77777777" w:rsidTr="00E10436">
        <w:trPr>
          <w:trHeight w:val="300"/>
        </w:trPr>
        <w:tc>
          <w:tcPr>
            <w:tcW w:w="3672" w:type="pct"/>
            <w:noWrap/>
            <w:vAlign w:val="center"/>
            <w:hideMark/>
          </w:tcPr>
          <w:p w14:paraId="528ECFB2"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hAnsi="Times New Roman" w:cs="Times New Roman"/>
                <w:sz w:val="20"/>
                <w:szCs w:val="20"/>
              </w:rPr>
              <w:t>MMRV-MSD</w:t>
            </w:r>
            <w:r w:rsidRPr="00E10436">
              <w:rPr>
                <w:rFonts w:ascii="Times New Roman" w:eastAsia="Times New Roman" w:hAnsi="Times New Roman" w:cs="Times New Roman"/>
                <w:color w:val="000000"/>
                <w:sz w:val="20"/>
                <w:szCs w:val="20"/>
                <w:lang w:val="en-GB" w:eastAsia="en-GB"/>
              </w:rPr>
              <w:t xml:space="preserve"> price</w:t>
            </w:r>
          </w:p>
        </w:tc>
        <w:tc>
          <w:tcPr>
            <w:tcW w:w="664" w:type="pct"/>
            <w:noWrap/>
            <w:vAlign w:val="center"/>
            <w:hideMark/>
          </w:tcPr>
          <w:p w14:paraId="4BC2D227" w14:textId="7A0A8184"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18,758</w:t>
            </w:r>
          </w:p>
        </w:tc>
        <w:tc>
          <w:tcPr>
            <w:tcW w:w="664" w:type="pct"/>
            <w:noWrap/>
            <w:vAlign w:val="center"/>
            <w:hideMark/>
          </w:tcPr>
          <w:p w14:paraId="0C0510FE" w14:textId="232B23AE"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33,721</w:t>
            </w:r>
          </w:p>
        </w:tc>
      </w:tr>
      <w:tr w:rsidR="00684E5A" w:rsidRPr="00330362" w14:paraId="6045706A" w14:textId="77777777" w:rsidTr="00E10436">
        <w:trPr>
          <w:trHeight w:val="300"/>
        </w:trPr>
        <w:tc>
          <w:tcPr>
            <w:tcW w:w="5000" w:type="pct"/>
            <w:gridSpan w:val="3"/>
            <w:noWrap/>
            <w:vAlign w:val="center"/>
            <w:hideMark/>
          </w:tcPr>
          <w:p w14:paraId="204DB5D5"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UVV-M</w:t>
            </w:r>
          </w:p>
        </w:tc>
      </w:tr>
      <w:tr w:rsidR="00684E5A" w:rsidRPr="00330362" w14:paraId="4C429A0A" w14:textId="77777777" w:rsidTr="00E10436">
        <w:trPr>
          <w:trHeight w:val="300"/>
        </w:trPr>
        <w:tc>
          <w:tcPr>
            <w:tcW w:w="3672" w:type="pct"/>
            <w:noWrap/>
            <w:vAlign w:val="center"/>
            <w:hideMark/>
          </w:tcPr>
          <w:p w14:paraId="62F669A6" w14:textId="55639E2F"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2 vaccination coverage</w:t>
            </w:r>
          </w:p>
        </w:tc>
        <w:tc>
          <w:tcPr>
            <w:tcW w:w="664" w:type="pct"/>
            <w:noWrap/>
            <w:vAlign w:val="center"/>
            <w:hideMark/>
          </w:tcPr>
          <w:p w14:paraId="223FE8A9" w14:textId="509DD6F9"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25,637</w:t>
            </w:r>
          </w:p>
        </w:tc>
        <w:tc>
          <w:tcPr>
            <w:tcW w:w="664" w:type="pct"/>
            <w:noWrap/>
            <w:vAlign w:val="center"/>
            <w:hideMark/>
          </w:tcPr>
          <w:p w14:paraId="08CD6FB1" w14:textId="6C27D564"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25,448</w:t>
            </w:r>
          </w:p>
        </w:tc>
      </w:tr>
      <w:tr w:rsidR="00684E5A" w:rsidRPr="00330362" w14:paraId="62E2367A" w14:textId="77777777" w:rsidTr="00E10436">
        <w:trPr>
          <w:trHeight w:val="300"/>
        </w:trPr>
        <w:tc>
          <w:tcPr>
            <w:tcW w:w="3672" w:type="pct"/>
            <w:noWrap/>
            <w:vAlign w:val="center"/>
            <w:hideMark/>
          </w:tcPr>
          <w:p w14:paraId="321C4913" w14:textId="615D8AC4"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Catch-up coverage</w:t>
            </w:r>
          </w:p>
        </w:tc>
        <w:tc>
          <w:tcPr>
            <w:tcW w:w="664" w:type="pct"/>
            <w:noWrap/>
            <w:vAlign w:val="center"/>
            <w:hideMark/>
          </w:tcPr>
          <w:p w14:paraId="022C36C5" w14:textId="56FC419A"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25,450</w:t>
            </w:r>
          </w:p>
        </w:tc>
        <w:tc>
          <w:tcPr>
            <w:tcW w:w="664" w:type="pct"/>
            <w:noWrap/>
            <w:vAlign w:val="center"/>
            <w:hideMark/>
          </w:tcPr>
          <w:p w14:paraId="753DE760" w14:textId="55B99870"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25,641</w:t>
            </w:r>
          </w:p>
        </w:tc>
      </w:tr>
      <w:tr w:rsidR="00684E5A" w:rsidRPr="00330362" w14:paraId="64E7963E" w14:textId="77777777" w:rsidTr="00E10436">
        <w:trPr>
          <w:trHeight w:val="300"/>
        </w:trPr>
        <w:tc>
          <w:tcPr>
            <w:tcW w:w="3672" w:type="pct"/>
            <w:noWrap/>
            <w:vAlign w:val="center"/>
            <w:hideMark/>
          </w:tcPr>
          <w:p w14:paraId="1B50C6C1"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Percent of cases requiring hospitalization or outpatient visit</w:t>
            </w:r>
          </w:p>
        </w:tc>
        <w:tc>
          <w:tcPr>
            <w:tcW w:w="664" w:type="pct"/>
            <w:noWrap/>
            <w:vAlign w:val="center"/>
            <w:hideMark/>
          </w:tcPr>
          <w:p w14:paraId="04E5AB31" w14:textId="17EC92B1"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25,980</w:t>
            </w:r>
          </w:p>
        </w:tc>
        <w:tc>
          <w:tcPr>
            <w:tcW w:w="664" w:type="pct"/>
            <w:noWrap/>
            <w:vAlign w:val="center"/>
            <w:hideMark/>
          </w:tcPr>
          <w:p w14:paraId="79E51871" w14:textId="29661B19"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25,102</w:t>
            </w:r>
          </w:p>
        </w:tc>
      </w:tr>
      <w:tr w:rsidR="00684E5A" w:rsidRPr="00330362" w14:paraId="75C00900" w14:textId="77777777" w:rsidTr="00E10436">
        <w:trPr>
          <w:trHeight w:val="300"/>
        </w:trPr>
        <w:tc>
          <w:tcPr>
            <w:tcW w:w="3672" w:type="pct"/>
            <w:noWrap/>
            <w:vAlign w:val="center"/>
            <w:hideMark/>
          </w:tcPr>
          <w:p w14:paraId="237BB7A5" w14:textId="3967560B"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1 vaccination coverage</w:t>
            </w:r>
          </w:p>
        </w:tc>
        <w:tc>
          <w:tcPr>
            <w:tcW w:w="664" w:type="pct"/>
            <w:noWrap/>
            <w:vAlign w:val="center"/>
            <w:hideMark/>
          </w:tcPr>
          <w:p w14:paraId="5C40F6BA" w14:textId="69AEB648"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25,749</w:t>
            </w:r>
          </w:p>
        </w:tc>
        <w:tc>
          <w:tcPr>
            <w:tcW w:w="664" w:type="pct"/>
            <w:noWrap/>
            <w:vAlign w:val="center"/>
            <w:hideMark/>
          </w:tcPr>
          <w:p w14:paraId="434629D8" w14:textId="39B09554"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25,272</w:t>
            </w:r>
          </w:p>
        </w:tc>
      </w:tr>
      <w:tr w:rsidR="00684E5A" w:rsidRPr="00330362" w14:paraId="31597217" w14:textId="77777777" w:rsidTr="00E10436">
        <w:trPr>
          <w:trHeight w:val="300"/>
        </w:trPr>
        <w:tc>
          <w:tcPr>
            <w:tcW w:w="3672" w:type="pct"/>
            <w:noWrap/>
            <w:vAlign w:val="center"/>
            <w:hideMark/>
          </w:tcPr>
          <w:p w14:paraId="6326346B" w14:textId="1A9B670F"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Cost of work day lost</w:t>
            </w:r>
          </w:p>
        </w:tc>
        <w:tc>
          <w:tcPr>
            <w:tcW w:w="664" w:type="pct"/>
            <w:noWrap/>
            <w:vAlign w:val="center"/>
            <w:hideMark/>
          </w:tcPr>
          <w:p w14:paraId="4BB5CA9B" w14:textId="0F6758AE"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26,728</w:t>
            </w:r>
          </w:p>
        </w:tc>
        <w:tc>
          <w:tcPr>
            <w:tcW w:w="664" w:type="pct"/>
            <w:noWrap/>
            <w:vAlign w:val="center"/>
            <w:hideMark/>
          </w:tcPr>
          <w:p w14:paraId="182A7F11" w14:textId="486F1892"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24,354</w:t>
            </w:r>
          </w:p>
        </w:tc>
      </w:tr>
      <w:tr w:rsidR="00684E5A" w:rsidRPr="00330362" w14:paraId="06CC580E" w14:textId="77777777" w:rsidTr="00E10436">
        <w:trPr>
          <w:trHeight w:val="300"/>
        </w:trPr>
        <w:tc>
          <w:tcPr>
            <w:tcW w:w="3672" w:type="pct"/>
            <w:noWrap/>
            <w:vAlign w:val="center"/>
            <w:hideMark/>
          </w:tcPr>
          <w:p w14:paraId="4F7A97B3" w14:textId="20459703"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Work days lost</w:t>
            </w:r>
          </w:p>
        </w:tc>
        <w:tc>
          <w:tcPr>
            <w:tcW w:w="664" w:type="pct"/>
            <w:noWrap/>
            <w:vAlign w:val="center"/>
            <w:hideMark/>
          </w:tcPr>
          <w:p w14:paraId="2D1A8279" w14:textId="6B8AA5B3"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26,962</w:t>
            </w:r>
          </w:p>
        </w:tc>
        <w:tc>
          <w:tcPr>
            <w:tcW w:w="664" w:type="pct"/>
            <w:noWrap/>
            <w:vAlign w:val="center"/>
            <w:hideMark/>
          </w:tcPr>
          <w:p w14:paraId="6D0C2AA1" w14:textId="46417790"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24,121</w:t>
            </w:r>
          </w:p>
        </w:tc>
      </w:tr>
      <w:tr w:rsidR="00684E5A" w:rsidRPr="00330362" w14:paraId="059AF216" w14:textId="77777777" w:rsidTr="00E10436">
        <w:trPr>
          <w:trHeight w:val="300"/>
        </w:trPr>
        <w:tc>
          <w:tcPr>
            <w:tcW w:w="3672" w:type="pct"/>
            <w:noWrap/>
            <w:vAlign w:val="center"/>
            <w:hideMark/>
          </w:tcPr>
          <w:p w14:paraId="685AC469"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hAnsi="Times New Roman" w:cs="Times New Roman"/>
                <w:sz w:val="20"/>
                <w:szCs w:val="20"/>
              </w:rPr>
              <w:t>MMRV-MSD</w:t>
            </w:r>
            <w:r w:rsidRPr="00E10436">
              <w:rPr>
                <w:rFonts w:ascii="Times New Roman" w:eastAsia="Times New Roman" w:hAnsi="Times New Roman" w:cs="Times New Roman"/>
                <w:color w:val="000000"/>
                <w:sz w:val="20"/>
                <w:szCs w:val="20"/>
                <w:lang w:val="en-GB" w:eastAsia="en-GB"/>
              </w:rPr>
              <w:t xml:space="preserve"> price</w:t>
            </w:r>
          </w:p>
        </w:tc>
        <w:tc>
          <w:tcPr>
            <w:tcW w:w="664" w:type="pct"/>
            <w:noWrap/>
            <w:vAlign w:val="center"/>
            <w:hideMark/>
          </w:tcPr>
          <w:p w14:paraId="7D2DDA3D" w14:textId="5AA5A94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18,181</w:t>
            </w:r>
          </w:p>
        </w:tc>
        <w:tc>
          <w:tcPr>
            <w:tcW w:w="664" w:type="pct"/>
            <w:noWrap/>
            <w:vAlign w:val="center"/>
            <w:hideMark/>
          </w:tcPr>
          <w:p w14:paraId="631A5E27" w14:textId="02317A16"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32,901</w:t>
            </w:r>
          </w:p>
        </w:tc>
      </w:tr>
      <w:tr w:rsidR="00684E5A" w:rsidRPr="00330362" w14:paraId="29179266" w14:textId="77777777" w:rsidTr="00E10436">
        <w:trPr>
          <w:trHeight w:val="300"/>
        </w:trPr>
        <w:tc>
          <w:tcPr>
            <w:tcW w:w="5000" w:type="pct"/>
            <w:gridSpan w:val="3"/>
            <w:noWrap/>
            <w:vAlign w:val="center"/>
            <w:hideMark/>
          </w:tcPr>
          <w:p w14:paraId="2445E965"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UVV-L</w:t>
            </w:r>
          </w:p>
        </w:tc>
      </w:tr>
      <w:tr w:rsidR="00684E5A" w:rsidRPr="00330362" w14:paraId="28B2F632" w14:textId="77777777" w:rsidTr="00E10436">
        <w:trPr>
          <w:trHeight w:val="300"/>
        </w:trPr>
        <w:tc>
          <w:tcPr>
            <w:tcW w:w="3672" w:type="pct"/>
            <w:noWrap/>
            <w:vAlign w:val="center"/>
            <w:hideMark/>
          </w:tcPr>
          <w:p w14:paraId="08580A35" w14:textId="45CB0565"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Catch-up cove</w:t>
            </w:r>
            <w:r w:rsidR="00684E5A" w:rsidRPr="00E10436">
              <w:rPr>
                <w:rFonts w:ascii="Times New Roman" w:eastAsia="Times New Roman" w:hAnsi="Times New Roman" w:cs="Times New Roman"/>
                <w:color w:val="000000"/>
                <w:sz w:val="20"/>
                <w:szCs w:val="20"/>
                <w:lang w:val="en-GB" w:eastAsia="en-GB"/>
              </w:rPr>
              <w:t>rage</w:t>
            </w:r>
          </w:p>
        </w:tc>
        <w:tc>
          <w:tcPr>
            <w:tcW w:w="664" w:type="pct"/>
            <w:noWrap/>
            <w:vAlign w:val="center"/>
            <w:hideMark/>
          </w:tcPr>
          <w:p w14:paraId="348C3ABE" w14:textId="13E46F18"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30,015</w:t>
            </w:r>
          </w:p>
        </w:tc>
        <w:tc>
          <w:tcPr>
            <w:tcW w:w="664" w:type="pct"/>
            <w:noWrap/>
            <w:vAlign w:val="center"/>
            <w:hideMark/>
          </w:tcPr>
          <w:p w14:paraId="02B65A4D" w14:textId="6FE99A98"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30,243</w:t>
            </w:r>
          </w:p>
        </w:tc>
      </w:tr>
      <w:tr w:rsidR="00684E5A" w:rsidRPr="00330362" w14:paraId="5BA383F8" w14:textId="77777777" w:rsidTr="00E10436">
        <w:trPr>
          <w:trHeight w:val="300"/>
        </w:trPr>
        <w:tc>
          <w:tcPr>
            <w:tcW w:w="3672" w:type="pct"/>
            <w:noWrap/>
            <w:vAlign w:val="center"/>
            <w:hideMark/>
          </w:tcPr>
          <w:p w14:paraId="749B94CF" w14:textId="0683A3CE"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2 vaccination coverage</w:t>
            </w:r>
          </w:p>
        </w:tc>
        <w:tc>
          <w:tcPr>
            <w:tcW w:w="664" w:type="pct"/>
            <w:noWrap/>
            <w:vAlign w:val="center"/>
            <w:hideMark/>
          </w:tcPr>
          <w:p w14:paraId="0FA8C655" w14:textId="7E809B7B"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29,993</w:t>
            </w:r>
          </w:p>
        </w:tc>
        <w:tc>
          <w:tcPr>
            <w:tcW w:w="664" w:type="pct"/>
            <w:noWrap/>
            <w:vAlign w:val="center"/>
            <w:hideMark/>
          </w:tcPr>
          <w:p w14:paraId="58CD6B8A" w14:textId="0C33A9BF"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30,261</w:t>
            </w:r>
          </w:p>
        </w:tc>
      </w:tr>
      <w:tr w:rsidR="00684E5A" w:rsidRPr="00330362" w14:paraId="67EF22C8" w14:textId="77777777" w:rsidTr="00E10436">
        <w:trPr>
          <w:trHeight w:val="300"/>
        </w:trPr>
        <w:tc>
          <w:tcPr>
            <w:tcW w:w="3672" w:type="pct"/>
            <w:noWrap/>
            <w:vAlign w:val="center"/>
            <w:hideMark/>
          </w:tcPr>
          <w:p w14:paraId="2B0A9E15"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Percent of cases requiring hospitalization or outpatient visit</w:t>
            </w:r>
          </w:p>
        </w:tc>
        <w:tc>
          <w:tcPr>
            <w:tcW w:w="664" w:type="pct"/>
            <w:noWrap/>
            <w:vAlign w:val="center"/>
            <w:hideMark/>
          </w:tcPr>
          <w:p w14:paraId="515F4F10" w14:textId="6CA2B495"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30,583</w:t>
            </w:r>
          </w:p>
        </w:tc>
        <w:tc>
          <w:tcPr>
            <w:tcW w:w="664" w:type="pct"/>
            <w:noWrap/>
            <w:vAlign w:val="center"/>
            <w:hideMark/>
          </w:tcPr>
          <w:p w14:paraId="506904EF" w14:textId="689DAE25"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29,666</w:t>
            </w:r>
          </w:p>
        </w:tc>
      </w:tr>
      <w:tr w:rsidR="00684E5A" w:rsidRPr="00330362" w14:paraId="36B102C8" w14:textId="77777777" w:rsidTr="00E10436">
        <w:trPr>
          <w:trHeight w:val="300"/>
        </w:trPr>
        <w:tc>
          <w:tcPr>
            <w:tcW w:w="3672" w:type="pct"/>
            <w:noWrap/>
            <w:vAlign w:val="center"/>
            <w:hideMark/>
          </w:tcPr>
          <w:p w14:paraId="5C164A51" w14:textId="5BF18C3B"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Dose 1 vaccination coverage</w:t>
            </w:r>
          </w:p>
        </w:tc>
        <w:tc>
          <w:tcPr>
            <w:tcW w:w="664" w:type="pct"/>
            <w:noWrap/>
            <w:vAlign w:val="center"/>
            <w:hideMark/>
          </w:tcPr>
          <w:p w14:paraId="5E2DE256" w14:textId="0BB18334"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30,377</w:t>
            </w:r>
          </w:p>
        </w:tc>
        <w:tc>
          <w:tcPr>
            <w:tcW w:w="664" w:type="pct"/>
            <w:noWrap/>
            <w:vAlign w:val="center"/>
            <w:hideMark/>
          </w:tcPr>
          <w:p w14:paraId="2150E013" w14:textId="7354FFF8"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29,896</w:t>
            </w:r>
          </w:p>
        </w:tc>
      </w:tr>
      <w:tr w:rsidR="00684E5A" w:rsidRPr="00330362" w14:paraId="085BDC4C" w14:textId="77777777" w:rsidTr="00E10436">
        <w:trPr>
          <w:trHeight w:val="300"/>
        </w:trPr>
        <w:tc>
          <w:tcPr>
            <w:tcW w:w="3672" w:type="pct"/>
            <w:noWrap/>
            <w:vAlign w:val="center"/>
            <w:hideMark/>
          </w:tcPr>
          <w:p w14:paraId="3FC4903E" w14:textId="279CECEE"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Cost of work day lost</w:t>
            </w:r>
          </w:p>
        </w:tc>
        <w:tc>
          <w:tcPr>
            <w:tcW w:w="664" w:type="pct"/>
            <w:noWrap/>
            <w:vAlign w:val="center"/>
            <w:hideMark/>
          </w:tcPr>
          <w:p w14:paraId="72DE6F57" w14:textId="790C024A"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31,342</w:t>
            </w:r>
          </w:p>
        </w:tc>
        <w:tc>
          <w:tcPr>
            <w:tcW w:w="664" w:type="pct"/>
            <w:noWrap/>
            <w:vAlign w:val="center"/>
            <w:hideMark/>
          </w:tcPr>
          <w:p w14:paraId="5A624E1F" w14:textId="68D7D0B4"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28,907</w:t>
            </w:r>
          </w:p>
        </w:tc>
      </w:tr>
      <w:tr w:rsidR="00684E5A" w:rsidRPr="00330362" w14:paraId="029B825A" w14:textId="77777777" w:rsidTr="00E10436">
        <w:trPr>
          <w:trHeight w:val="300"/>
        </w:trPr>
        <w:tc>
          <w:tcPr>
            <w:tcW w:w="3672" w:type="pct"/>
            <w:noWrap/>
            <w:vAlign w:val="center"/>
            <w:hideMark/>
          </w:tcPr>
          <w:p w14:paraId="471F0BB4" w14:textId="326C3913" w:rsidR="00684E5A" w:rsidRPr="00E10436" w:rsidRDefault="000D35B1">
            <w:pPr>
              <w:spacing w:before="0" w:after="0" w:line="480" w:lineRule="auto"/>
              <w:rPr>
                <w:rFonts w:ascii="Times New Roman" w:eastAsia="Times New Roman" w:hAnsi="Times New Roman" w:cs="Times New Roman"/>
                <w:color w:val="000000"/>
                <w:sz w:val="20"/>
                <w:szCs w:val="20"/>
                <w:lang w:val="en-GB" w:eastAsia="en-GB"/>
              </w:rPr>
            </w:pPr>
            <w:r w:rsidRPr="000D35B1">
              <w:rPr>
                <w:rFonts w:ascii="Times New Roman" w:eastAsia="Times New Roman" w:hAnsi="Times New Roman" w:cs="Times New Roman"/>
                <w:color w:val="000000"/>
                <w:sz w:val="20"/>
                <w:szCs w:val="20"/>
                <w:lang w:val="en-GB" w:eastAsia="en-GB"/>
              </w:rPr>
              <w:t>Work days lost</w:t>
            </w:r>
          </w:p>
        </w:tc>
        <w:tc>
          <w:tcPr>
            <w:tcW w:w="664" w:type="pct"/>
            <w:noWrap/>
            <w:vAlign w:val="center"/>
            <w:hideMark/>
          </w:tcPr>
          <w:p w14:paraId="0D10C5CC" w14:textId="3CA1896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31,603</w:t>
            </w:r>
          </w:p>
        </w:tc>
        <w:tc>
          <w:tcPr>
            <w:tcW w:w="664" w:type="pct"/>
            <w:noWrap/>
            <w:vAlign w:val="center"/>
            <w:hideMark/>
          </w:tcPr>
          <w:p w14:paraId="5780C893" w14:textId="3894C986"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28,645</w:t>
            </w:r>
          </w:p>
        </w:tc>
      </w:tr>
      <w:tr w:rsidR="00684E5A" w:rsidRPr="00330362" w14:paraId="0DEC5EAB" w14:textId="77777777" w:rsidTr="00E10436">
        <w:trPr>
          <w:trHeight w:val="300"/>
        </w:trPr>
        <w:tc>
          <w:tcPr>
            <w:tcW w:w="3672" w:type="pct"/>
            <w:noWrap/>
            <w:vAlign w:val="center"/>
            <w:hideMark/>
          </w:tcPr>
          <w:p w14:paraId="22E46D18"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hAnsi="Times New Roman" w:cs="Times New Roman"/>
                <w:sz w:val="20"/>
                <w:szCs w:val="20"/>
              </w:rPr>
              <w:t>MMRV-MSD</w:t>
            </w:r>
            <w:r w:rsidRPr="00E10436">
              <w:rPr>
                <w:rFonts w:ascii="Times New Roman" w:eastAsia="Times New Roman" w:hAnsi="Times New Roman" w:cs="Times New Roman"/>
                <w:color w:val="000000"/>
                <w:sz w:val="20"/>
                <w:szCs w:val="20"/>
                <w:lang w:val="en-GB" w:eastAsia="en-GB"/>
              </w:rPr>
              <w:t xml:space="preserve"> price</w:t>
            </w:r>
          </w:p>
        </w:tc>
        <w:tc>
          <w:tcPr>
            <w:tcW w:w="664" w:type="pct"/>
            <w:noWrap/>
            <w:vAlign w:val="center"/>
            <w:hideMark/>
          </w:tcPr>
          <w:p w14:paraId="303A069E" w14:textId="147FB40E"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26,692</w:t>
            </w:r>
          </w:p>
        </w:tc>
        <w:tc>
          <w:tcPr>
            <w:tcW w:w="664" w:type="pct"/>
            <w:noWrap/>
            <w:vAlign w:val="center"/>
            <w:hideMark/>
          </w:tcPr>
          <w:p w14:paraId="3D1C9E29" w14:textId="4D0440B8"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33,556</w:t>
            </w:r>
          </w:p>
        </w:tc>
      </w:tr>
    </w:tbl>
    <w:p w14:paraId="2B5C4D4E" w14:textId="09E59643" w:rsidR="00B41973" w:rsidRPr="00B41973" w:rsidRDefault="00B41973" w:rsidP="00E10436">
      <w:pPr>
        <w:pStyle w:val="Heading2"/>
        <w:spacing w:line="480" w:lineRule="auto"/>
      </w:pPr>
      <w:r w:rsidRPr="00E10436">
        <w:lastRenderedPageBreak/>
        <w:t>Probabilistic sensitivity analysis (PSA)</w:t>
      </w:r>
    </w:p>
    <w:p w14:paraId="62A1404D" w14:textId="61AFA282" w:rsidR="004B3816" w:rsidRDefault="00B41973" w:rsidP="009B1C3E">
      <w:pPr>
        <w:pStyle w:val="BodyText"/>
        <w:spacing w:before="240" w:line="480" w:lineRule="auto"/>
        <w:rPr>
          <w:rFonts w:cs="Times New Roman"/>
        </w:rPr>
      </w:pPr>
      <w:r w:rsidRPr="00330362">
        <w:rPr>
          <w:rFonts w:ascii="Times New Roman" w:hAnsi="Times New Roman" w:cs="Times New Roman"/>
        </w:rPr>
        <w:t>ICER scatter plots and cost-effectiveness acceptability curves (CEACs) from the PSA are presented in Figure</w:t>
      </w:r>
      <w:r>
        <w:rPr>
          <w:rFonts w:ascii="Times New Roman" w:hAnsi="Times New Roman" w:cs="Times New Roman"/>
        </w:rPr>
        <w:t xml:space="preserve"> C1 and C2</w:t>
      </w:r>
      <w:r w:rsidRPr="00330362">
        <w:rPr>
          <w:rFonts w:ascii="Times New Roman" w:hAnsi="Times New Roman" w:cs="Times New Roman"/>
        </w:rPr>
        <w:t>. The mean for the generated ICERs are slightly lower than for the base-case, and the ICER scatter plots show a considerable amount of dispersion along the QALY axis. Both phenomena are due to the high variability in the base-case, and the correspondingly long tail of lower coverages sampled. Very high vaccine coverage rates are often subject to diminishing returns, as incremental improvements deliver doses to people who already benefit from a substantial degree of herd protection.</w:t>
      </w:r>
    </w:p>
    <w:p w14:paraId="5B410B0A" w14:textId="77777777" w:rsidR="009B1C3E" w:rsidRDefault="009B1C3E" w:rsidP="009B1C3E">
      <w:pPr>
        <w:pStyle w:val="BodyText"/>
        <w:spacing w:before="240" w:line="480" w:lineRule="auto"/>
        <w:rPr>
          <w:rFonts w:ascii="Times New Roman" w:eastAsiaTheme="majorEastAsia" w:hAnsi="Times New Roman" w:cs="Times New Roman"/>
          <w:b/>
          <w:sz w:val="24"/>
          <w:szCs w:val="26"/>
        </w:rPr>
      </w:pPr>
    </w:p>
    <w:p w14:paraId="6AE3F364" w14:textId="29FA2EEB" w:rsidR="00DE5F91" w:rsidRPr="00E10436" w:rsidRDefault="00DE5F91" w:rsidP="00E10436">
      <w:pPr>
        <w:pStyle w:val="Heading2"/>
        <w:keepNext w:val="0"/>
        <w:spacing w:line="480" w:lineRule="auto"/>
      </w:pPr>
      <w:r w:rsidRPr="00E10436">
        <w:t xml:space="preserve">Table </w:t>
      </w:r>
      <w:r w:rsidR="00E10436">
        <w:t>3</w:t>
      </w:r>
      <w:r w:rsidR="009B1C3E">
        <w:t>:</w:t>
      </w:r>
      <w:r w:rsidRPr="00E10436">
        <w:t xml:space="preserve"> PSA Parameter Distributions</w:t>
      </w:r>
    </w:p>
    <w:tbl>
      <w:tblPr>
        <w:tblStyle w:val="TableGrid1"/>
        <w:tblW w:w="5000" w:type="pct"/>
        <w:tblLook w:val="04A0" w:firstRow="1" w:lastRow="0" w:firstColumn="1" w:lastColumn="0" w:noHBand="0" w:noVBand="1"/>
      </w:tblPr>
      <w:tblGrid>
        <w:gridCol w:w="2400"/>
        <w:gridCol w:w="3437"/>
        <w:gridCol w:w="3179"/>
      </w:tblGrid>
      <w:tr w:rsidR="00DE5F91" w:rsidRPr="00330362" w14:paraId="64E99015" w14:textId="77777777" w:rsidTr="00E10436">
        <w:trPr>
          <w:tblHeader/>
        </w:trPr>
        <w:tc>
          <w:tcPr>
            <w:tcW w:w="1331" w:type="pct"/>
            <w:hideMark/>
          </w:tcPr>
          <w:p w14:paraId="45FD3A3D" w14:textId="77777777" w:rsidR="00DE5F91" w:rsidRPr="00330362" w:rsidRDefault="00DE5F91" w:rsidP="00E10436">
            <w:pPr>
              <w:pStyle w:val="TableTextIndented"/>
              <w:spacing w:line="480" w:lineRule="auto"/>
              <w:ind w:left="0"/>
              <w:rPr>
                <w:rFonts w:ascii="Times New Roman" w:hAnsi="Times New Roman"/>
                <w:b/>
                <w:bCs/>
                <w:sz w:val="20"/>
              </w:rPr>
            </w:pPr>
            <w:r w:rsidRPr="00330362">
              <w:rPr>
                <w:rFonts w:ascii="Times New Roman" w:hAnsi="Times New Roman"/>
                <w:b/>
                <w:bCs/>
                <w:sz w:val="20"/>
              </w:rPr>
              <w:t>Parameter</w:t>
            </w:r>
          </w:p>
        </w:tc>
        <w:tc>
          <w:tcPr>
            <w:tcW w:w="3669" w:type="pct"/>
            <w:gridSpan w:val="2"/>
            <w:hideMark/>
          </w:tcPr>
          <w:p w14:paraId="1EB01A31" w14:textId="77777777" w:rsidR="00DE5F91" w:rsidRPr="00330362" w:rsidRDefault="00DE5F91" w:rsidP="00E10436">
            <w:pPr>
              <w:pStyle w:val="TableTextIndented"/>
              <w:spacing w:line="480" w:lineRule="auto"/>
              <w:ind w:left="0"/>
              <w:rPr>
                <w:rFonts w:ascii="Times New Roman" w:hAnsi="Times New Roman"/>
                <w:b/>
                <w:bCs/>
                <w:sz w:val="20"/>
              </w:rPr>
            </w:pPr>
            <w:r w:rsidRPr="00330362">
              <w:rPr>
                <w:rFonts w:ascii="Times New Roman" w:hAnsi="Times New Roman"/>
                <w:b/>
                <w:bCs/>
                <w:sz w:val="20"/>
              </w:rPr>
              <w:t>Distribution</w:t>
            </w:r>
          </w:p>
        </w:tc>
      </w:tr>
      <w:tr w:rsidR="00DE5F91" w:rsidRPr="00330362" w14:paraId="686E505A" w14:textId="77777777" w:rsidTr="00E10436">
        <w:tc>
          <w:tcPr>
            <w:tcW w:w="1331" w:type="pct"/>
            <w:hideMark/>
          </w:tcPr>
          <w:p w14:paraId="6F495E00"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Workdays lost</w:t>
            </w:r>
          </w:p>
        </w:tc>
        <w:tc>
          <w:tcPr>
            <w:tcW w:w="1906" w:type="pct"/>
            <w:hideMark/>
          </w:tcPr>
          <w:p w14:paraId="6CA8272D"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&lt;15 years old</w:t>
            </w:r>
          </w:p>
        </w:tc>
        <w:tc>
          <w:tcPr>
            <w:tcW w:w="1763" w:type="pct"/>
            <w:hideMark/>
          </w:tcPr>
          <w:p w14:paraId="09F3C8E3"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15 or older</w:t>
            </w:r>
          </w:p>
        </w:tc>
      </w:tr>
      <w:tr w:rsidR="00DE5F91" w:rsidRPr="00330362" w14:paraId="76FE7C92" w14:textId="77777777" w:rsidTr="00E10436">
        <w:tc>
          <w:tcPr>
            <w:tcW w:w="1331" w:type="pct"/>
            <w:hideMark/>
          </w:tcPr>
          <w:p w14:paraId="6B0D8D1F" w14:textId="77777777" w:rsidR="00DE5F91" w:rsidRPr="00330362" w:rsidRDefault="00DE5F91">
            <w:pPr>
              <w:pStyle w:val="BodyText"/>
              <w:spacing w:after="40" w:line="480" w:lineRule="auto"/>
              <w:ind w:left="330"/>
              <w:rPr>
                <w:rFonts w:ascii="Times New Roman" w:hAnsi="Times New Roman" w:cs="Times New Roman"/>
                <w:szCs w:val="20"/>
              </w:rPr>
            </w:pPr>
            <w:r w:rsidRPr="00330362">
              <w:rPr>
                <w:rFonts w:ascii="Times New Roman" w:hAnsi="Times New Roman" w:cs="Times New Roman"/>
                <w:szCs w:val="20"/>
              </w:rPr>
              <w:t>Outpatient treatment</w:t>
            </w:r>
          </w:p>
        </w:tc>
        <w:tc>
          <w:tcPr>
            <w:tcW w:w="1906" w:type="pct"/>
            <w:hideMark/>
          </w:tcPr>
          <w:p w14:paraId="01EBC4D8"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Gamma Distribution [96.04, 0.0033]</w:t>
            </w:r>
          </w:p>
        </w:tc>
        <w:tc>
          <w:tcPr>
            <w:tcW w:w="1763" w:type="pct"/>
            <w:hideMark/>
          </w:tcPr>
          <w:p w14:paraId="4CEB3935"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Gamma Distribution [96.04, 0.0267]</w:t>
            </w:r>
          </w:p>
        </w:tc>
      </w:tr>
      <w:tr w:rsidR="00DE5F91" w:rsidRPr="00330362" w14:paraId="142E0222" w14:textId="77777777" w:rsidTr="00E10436">
        <w:tc>
          <w:tcPr>
            <w:tcW w:w="1331" w:type="pct"/>
            <w:hideMark/>
          </w:tcPr>
          <w:p w14:paraId="1BFDE779" w14:textId="77777777" w:rsidR="00DE5F91" w:rsidRPr="00330362" w:rsidRDefault="00DE5F91">
            <w:pPr>
              <w:pStyle w:val="BodyText"/>
              <w:spacing w:after="40" w:line="480" w:lineRule="auto"/>
              <w:ind w:left="330"/>
              <w:rPr>
                <w:rFonts w:ascii="Times New Roman" w:hAnsi="Times New Roman" w:cs="Times New Roman"/>
                <w:szCs w:val="20"/>
              </w:rPr>
            </w:pPr>
            <w:r w:rsidRPr="00330362">
              <w:rPr>
                <w:rFonts w:ascii="Times New Roman" w:hAnsi="Times New Roman" w:cs="Times New Roman"/>
                <w:szCs w:val="20"/>
              </w:rPr>
              <w:t>Inpatient treatment</w:t>
            </w:r>
          </w:p>
        </w:tc>
        <w:tc>
          <w:tcPr>
            <w:tcW w:w="1906" w:type="pct"/>
            <w:hideMark/>
          </w:tcPr>
          <w:p w14:paraId="76A5DF4D"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Gamma Distribution [96.04, 0.0512]</w:t>
            </w:r>
          </w:p>
        </w:tc>
        <w:tc>
          <w:tcPr>
            <w:tcW w:w="1763" w:type="pct"/>
            <w:hideMark/>
          </w:tcPr>
          <w:p w14:paraId="54747EB7"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Gamma Distribution [96.04, 0.0764]</w:t>
            </w:r>
          </w:p>
        </w:tc>
      </w:tr>
      <w:tr w:rsidR="00DE5F91" w:rsidRPr="00330362" w14:paraId="73BEED9F" w14:textId="77777777" w:rsidTr="00E10436">
        <w:tc>
          <w:tcPr>
            <w:tcW w:w="1331" w:type="pct"/>
            <w:hideMark/>
          </w:tcPr>
          <w:p w14:paraId="4414890D"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Cost per lost workday</w:t>
            </w:r>
          </w:p>
        </w:tc>
        <w:tc>
          <w:tcPr>
            <w:tcW w:w="3669" w:type="pct"/>
            <w:gridSpan w:val="2"/>
            <w:hideMark/>
          </w:tcPr>
          <w:p w14:paraId="62DA8220"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Log Normal Distribution [5.582, 0.102]</w:t>
            </w:r>
          </w:p>
        </w:tc>
      </w:tr>
      <w:tr w:rsidR="00DE5F91" w:rsidRPr="00330362" w14:paraId="1079EA5B" w14:textId="77777777" w:rsidTr="00E10436">
        <w:tc>
          <w:tcPr>
            <w:tcW w:w="1331" w:type="pct"/>
            <w:vMerge w:val="restart"/>
            <w:hideMark/>
          </w:tcPr>
          <w:p w14:paraId="7EAEF175"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Cases requiring hospitalization</w:t>
            </w:r>
          </w:p>
        </w:tc>
        <w:tc>
          <w:tcPr>
            <w:tcW w:w="1906" w:type="pct"/>
            <w:hideMark/>
          </w:tcPr>
          <w:p w14:paraId="187209B8"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&lt;15 years old</w:t>
            </w:r>
          </w:p>
        </w:tc>
        <w:tc>
          <w:tcPr>
            <w:tcW w:w="1763" w:type="pct"/>
            <w:hideMark/>
          </w:tcPr>
          <w:p w14:paraId="69EBA731"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15 or older</w:t>
            </w:r>
          </w:p>
        </w:tc>
      </w:tr>
      <w:tr w:rsidR="00DE5F91" w:rsidRPr="00330362" w14:paraId="1F11611E" w14:textId="77777777" w:rsidTr="00E10436">
        <w:tc>
          <w:tcPr>
            <w:tcW w:w="1331" w:type="pct"/>
            <w:vMerge/>
          </w:tcPr>
          <w:p w14:paraId="30205996" w14:textId="77777777" w:rsidR="00DE5F91" w:rsidRPr="00330362" w:rsidRDefault="00DE5F91">
            <w:pPr>
              <w:pStyle w:val="BodyText"/>
              <w:spacing w:after="40" w:line="480" w:lineRule="auto"/>
              <w:rPr>
                <w:rFonts w:ascii="Times New Roman" w:hAnsi="Times New Roman" w:cs="Times New Roman"/>
                <w:szCs w:val="20"/>
              </w:rPr>
            </w:pPr>
          </w:p>
        </w:tc>
        <w:tc>
          <w:tcPr>
            <w:tcW w:w="1906" w:type="pct"/>
            <w:hideMark/>
          </w:tcPr>
          <w:p w14:paraId="64198FA1"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Beta Distribution [95.88, 61290]</w:t>
            </w:r>
          </w:p>
        </w:tc>
        <w:tc>
          <w:tcPr>
            <w:tcW w:w="1763" w:type="pct"/>
            <w:hideMark/>
          </w:tcPr>
          <w:p w14:paraId="43A7FFE9"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Beta Distribution [92.83, 2720]</w:t>
            </w:r>
          </w:p>
        </w:tc>
      </w:tr>
      <w:tr w:rsidR="00DE5F91" w:rsidRPr="00330362" w14:paraId="0D3A7FCA" w14:textId="77777777" w:rsidTr="00E10436">
        <w:tc>
          <w:tcPr>
            <w:tcW w:w="1331" w:type="pct"/>
            <w:hideMark/>
          </w:tcPr>
          <w:p w14:paraId="78C77CB5"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Primary coverage</w:t>
            </w:r>
          </w:p>
        </w:tc>
        <w:tc>
          <w:tcPr>
            <w:tcW w:w="3669" w:type="pct"/>
            <w:gridSpan w:val="2"/>
            <w:hideMark/>
          </w:tcPr>
          <w:p w14:paraId="18083088"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Beta Distribution [75.87, 3.993]</w:t>
            </w:r>
          </w:p>
        </w:tc>
      </w:tr>
      <w:tr w:rsidR="00DE5F91" w:rsidRPr="00330362" w14:paraId="0E23163B" w14:textId="77777777" w:rsidTr="00E10436">
        <w:tc>
          <w:tcPr>
            <w:tcW w:w="1331" w:type="pct"/>
            <w:hideMark/>
          </w:tcPr>
          <w:p w14:paraId="18452C92"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Booster coverage</w:t>
            </w:r>
          </w:p>
        </w:tc>
        <w:tc>
          <w:tcPr>
            <w:tcW w:w="3669" w:type="pct"/>
            <w:gridSpan w:val="2"/>
            <w:hideMark/>
          </w:tcPr>
          <w:p w14:paraId="30CB9BC1"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Beta Distribution [79.93, 4.440]</w:t>
            </w:r>
          </w:p>
        </w:tc>
      </w:tr>
      <w:tr w:rsidR="00DE5F91" w:rsidRPr="00330362" w14:paraId="726897F6" w14:textId="77777777" w:rsidTr="00E10436">
        <w:tc>
          <w:tcPr>
            <w:tcW w:w="1331" w:type="pct"/>
            <w:hideMark/>
          </w:tcPr>
          <w:p w14:paraId="7318841C"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rPr>
              <w:t>MMRV-MSD</w:t>
            </w:r>
            <w:r w:rsidRPr="00330362" w:rsidDel="00FC1F5A">
              <w:rPr>
                <w:rFonts w:ascii="Times New Roman" w:hAnsi="Times New Roman" w:cs="Times New Roman"/>
                <w:szCs w:val="20"/>
              </w:rPr>
              <w:t xml:space="preserve"> </w:t>
            </w:r>
            <w:r w:rsidRPr="00330362">
              <w:rPr>
                <w:rFonts w:ascii="Times New Roman" w:hAnsi="Times New Roman" w:cs="Times New Roman"/>
                <w:szCs w:val="20"/>
              </w:rPr>
              <w:t>price</w:t>
            </w:r>
          </w:p>
        </w:tc>
        <w:tc>
          <w:tcPr>
            <w:tcW w:w="3669" w:type="pct"/>
            <w:gridSpan w:val="2"/>
            <w:hideMark/>
          </w:tcPr>
          <w:p w14:paraId="0E912C99"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Log Normal Distribution [4.245, 0.1018]</w:t>
            </w:r>
          </w:p>
        </w:tc>
      </w:tr>
      <w:tr w:rsidR="00DE5F91" w:rsidRPr="00330362" w14:paraId="140976D9" w14:textId="77777777" w:rsidTr="00E10436">
        <w:tc>
          <w:tcPr>
            <w:tcW w:w="1331" w:type="pct"/>
            <w:hideMark/>
          </w:tcPr>
          <w:p w14:paraId="319AA2EB"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Catch-up coverage</w:t>
            </w:r>
          </w:p>
        </w:tc>
        <w:tc>
          <w:tcPr>
            <w:tcW w:w="3669" w:type="pct"/>
            <w:gridSpan w:val="2"/>
            <w:hideMark/>
          </w:tcPr>
          <w:p w14:paraId="1468D03D"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Beta Distribution [491, 231]</w:t>
            </w:r>
          </w:p>
        </w:tc>
      </w:tr>
      <w:tr w:rsidR="00DE5F91" w:rsidRPr="00330362" w14:paraId="403032F2" w14:textId="77777777" w:rsidTr="00E10436">
        <w:tc>
          <w:tcPr>
            <w:tcW w:w="1331" w:type="pct"/>
            <w:hideMark/>
          </w:tcPr>
          <w:p w14:paraId="4A212FA2"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Catch-up booster coverage</w:t>
            </w:r>
          </w:p>
        </w:tc>
        <w:tc>
          <w:tcPr>
            <w:tcW w:w="3669" w:type="pct"/>
            <w:gridSpan w:val="2"/>
            <w:hideMark/>
          </w:tcPr>
          <w:p w14:paraId="762D3AA8" w14:textId="77777777" w:rsidR="00DE5F91" w:rsidRPr="00330362" w:rsidRDefault="00DE5F91">
            <w:pPr>
              <w:pStyle w:val="BodyText"/>
              <w:spacing w:after="40" w:line="480" w:lineRule="auto"/>
              <w:rPr>
                <w:rFonts w:ascii="Times New Roman" w:hAnsi="Times New Roman" w:cs="Times New Roman"/>
                <w:szCs w:val="20"/>
              </w:rPr>
            </w:pPr>
            <w:r w:rsidRPr="00330362">
              <w:rPr>
                <w:rFonts w:ascii="Times New Roman" w:hAnsi="Times New Roman" w:cs="Times New Roman"/>
                <w:szCs w:val="20"/>
              </w:rPr>
              <w:t>Beta Distribution [998, 1854]</w:t>
            </w:r>
          </w:p>
        </w:tc>
      </w:tr>
    </w:tbl>
    <w:p w14:paraId="77D229E3" w14:textId="77777777" w:rsidR="004200F4" w:rsidRDefault="004200F4">
      <w:pPr>
        <w:spacing w:before="0" w:after="160" w:line="480" w:lineRule="auto"/>
        <w:rPr>
          <w:rFonts w:ascii="Times New Roman" w:hAnsi="Times New Roman" w:cs="Times New Roman"/>
          <w:b/>
          <w:bCs/>
        </w:rPr>
      </w:pPr>
    </w:p>
    <w:p w14:paraId="767D1AE9" w14:textId="77777777" w:rsidR="00C3013D" w:rsidRDefault="00C3013D" w:rsidP="00E10436">
      <w:pPr>
        <w:spacing w:before="0" w:after="160" w:line="480" w:lineRule="auto"/>
        <w:rPr>
          <w:rFonts w:ascii="Times New Roman" w:eastAsia="Times New Roman" w:hAnsi="Times New Roman" w:cs="Times New Roman"/>
          <w:b/>
          <w:bCs/>
          <w:sz w:val="24"/>
          <w:szCs w:val="24"/>
        </w:rPr>
      </w:pPr>
      <w:bookmarkStart w:id="9" w:name="_Ref44333391"/>
      <w:r>
        <w:rPr>
          <w:rFonts w:ascii="Times New Roman" w:hAnsi="Times New Roman"/>
        </w:rPr>
        <w:br w:type="page"/>
      </w:r>
    </w:p>
    <w:p w14:paraId="6F8F2F3F" w14:textId="0716D9C1" w:rsidR="00C3013D" w:rsidRPr="00E10436" w:rsidRDefault="00C3013D" w:rsidP="00E10436">
      <w:pPr>
        <w:pStyle w:val="Heading2"/>
        <w:keepNext w:val="0"/>
        <w:spacing w:line="480" w:lineRule="auto"/>
      </w:pPr>
      <w:r w:rsidRPr="00E10436">
        <w:lastRenderedPageBreak/>
        <w:t xml:space="preserve">Figure </w:t>
      </w:r>
      <w:bookmarkEnd w:id="9"/>
      <w:r w:rsidR="00E10436">
        <w:t>3.</w:t>
      </w:r>
      <w:r w:rsidRPr="00E10436">
        <w:t>Probabilistic Sensitivity Analysis Showing the ICER Scatter Plots and Cost-Effectiveness Acceptability Curves for UVV Compared to BC1 (orange circles and lines refer to mean values)</w:t>
      </w:r>
    </w:p>
    <w:tbl>
      <w:tblPr>
        <w:tblStyle w:val="Eviera-2018"/>
        <w:tblW w:w="10152" w:type="dxa"/>
        <w:tblLook w:val="04A0" w:firstRow="1" w:lastRow="0" w:firstColumn="1" w:lastColumn="0" w:noHBand="0" w:noVBand="1"/>
      </w:tblPr>
      <w:tblGrid>
        <w:gridCol w:w="5076"/>
        <w:gridCol w:w="5076"/>
      </w:tblGrid>
      <w:tr w:rsidR="00C3013D" w:rsidRPr="00330362" w14:paraId="71EE147D" w14:textId="77777777" w:rsidTr="004200F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5076" w:type="dxa"/>
            <w:shd w:val="clear" w:color="auto" w:fill="auto"/>
            <w:vAlign w:val="top"/>
          </w:tcPr>
          <w:p w14:paraId="631484FD" w14:textId="77777777" w:rsidR="00C3013D" w:rsidRPr="00330362" w:rsidRDefault="00C3013D" w:rsidP="00E10436">
            <w:pPr>
              <w:pStyle w:val="BodyText"/>
              <w:spacing w:before="240" w:line="480" w:lineRule="auto"/>
              <w:ind w:left="-113"/>
              <w:jc w:val="both"/>
              <w:rPr>
                <w:rFonts w:ascii="Times New Roman" w:hAnsi="Times New Roman" w:cs="Times New Roman"/>
                <w:color w:val="auto"/>
              </w:rPr>
            </w:pPr>
            <w:r w:rsidRPr="00330362">
              <w:rPr>
                <w:rFonts w:ascii="Times New Roman" w:hAnsi="Times New Roman" w:cs="Times New Roman"/>
                <w:noProof/>
                <w:lang w:val="de-CH" w:eastAsia="de-CH"/>
              </w:rPr>
              <w:drawing>
                <wp:inline distT="0" distB="0" distL="0" distR="0" wp14:anchorId="1A6F1514" wp14:editId="32885D42">
                  <wp:extent cx="3081528" cy="1728216"/>
                  <wp:effectExtent l="0" t="0" r="5080" b="5715"/>
                  <wp:docPr id="1362600687" name="Picture 136260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0068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1528" cy="1728216"/>
                          </a:xfrm>
                          <a:prstGeom prst="rect">
                            <a:avLst/>
                          </a:prstGeom>
                        </pic:spPr>
                      </pic:pic>
                    </a:graphicData>
                  </a:graphic>
                </wp:inline>
              </w:drawing>
            </w:r>
          </w:p>
        </w:tc>
        <w:tc>
          <w:tcPr>
            <w:tcW w:w="5076" w:type="dxa"/>
            <w:shd w:val="clear" w:color="auto" w:fill="auto"/>
          </w:tcPr>
          <w:p w14:paraId="253EB68D" w14:textId="77777777" w:rsidR="00C3013D" w:rsidRPr="00330362" w:rsidRDefault="00C3013D" w:rsidP="00E10436">
            <w:pPr>
              <w:pStyle w:val="BodyText"/>
              <w:spacing w:before="240" w:line="480" w:lineRule="auto"/>
              <w:ind w:lef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30362">
              <w:rPr>
                <w:rFonts w:ascii="Times New Roman" w:hAnsi="Times New Roman" w:cs="Times New Roman"/>
                <w:noProof/>
                <w:lang w:val="de-CH" w:eastAsia="de-CH"/>
              </w:rPr>
              <w:drawing>
                <wp:inline distT="0" distB="0" distL="0" distR="0" wp14:anchorId="346E8146" wp14:editId="0E621B2C">
                  <wp:extent cx="3072384" cy="1728216"/>
                  <wp:effectExtent l="0" t="0" r="0" b="5715"/>
                  <wp:docPr id="1362600685" name="Picture 1362600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0068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2384" cy="1728216"/>
                          </a:xfrm>
                          <a:prstGeom prst="rect">
                            <a:avLst/>
                          </a:prstGeom>
                        </pic:spPr>
                      </pic:pic>
                    </a:graphicData>
                  </a:graphic>
                </wp:inline>
              </w:drawing>
            </w:r>
          </w:p>
        </w:tc>
      </w:tr>
      <w:tr w:rsidR="00C3013D" w:rsidRPr="00330362" w14:paraId="326BFC6A" w14:textId="77777777" w:rsidTr="004200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6" w:type="dxa"/>
            <w:vAlign w:val="top"/>
          </w:tcPr>
          <w:p w14:paraId="5594F45F" w14:textId="77777777" w:rsidR="00C3013D" w:rsidRPr="00330362" w:rsidRDefault="00C3013D" w:rsidP="00E10436">
            <w:pPr>
              <w:pStyle w:val="BodyText"/>
              <w:spacing w:before="240" w:line="480" w:lineRule="auto"/>
              <w:ind w:left="-113"/>
              <w:jc w:val="both"/>
              <w:rPr>
                <w:rFonts w:ascii="Times New Roman" w:hAnsi="Times New Roman" w:cs="Times New Roman"/>
              </w:rPr>
            </w:pPr>
            <w:r w:rsidRPr="00330362">
              <w:rPr>
                <w:rFonts w:ascii="Times New Roman" w:hAnsi="Times New Roman" w:cs="Times New Roman"/>
                <w:noProof/>
                <w:lang w:val="de-CH" w:eastAsia="de-CH"/>
              </w:rPr>
              <w:drawing>
                <wp:inline distT="0" distB="0" distL="0" distR="0" wp14:anchorId="64B9180F" wp14:editId="2BDCF6AE">
                  <wp:extent cx="3081528" cy="1728216"/>
                  <wp:effectExtent l="0" t="0" r="5080" b="5715"/>
                  <wp:docPr id="1362600692" name="Picture 136260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006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1528" cy="1728216"/>
                          </a:xfrm>
                          <a:prstGeom prst="rect">
                            <a:avLst/>
                          </a:prstGeom>
                        </pic:spPr>
                      </pic:pic>
                    </a:graphicData>
                  </a:graphic>
                </wp:inline>
              </w:drawing>
            </w:r>
          </w:p>
        </w:tc>
        <w:tc>
          <w:tcPr>
            <w:tcW w:w="5076" w:type="dxa"/>
            <w:vAlign w:val="top"/>
          </w:tcPr>
          <w:p w14:paraId="4E6FCF2E" w14:textId="77777777" w:rsidR="00C3013D" w:rsidRPr="00330362" w:rsidRDefault="00C3013D" w:rsidP="00E10436">
            <w:pPr>
              <w:pStyle w:val="BodyText"/>
              <w:spacing w:before="240" w:line="480" w:lineRule="auto"/>
              <w:ind w:lef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0362">
              <w:rPr>
                <w:rFonts w:ascii="Times New Roman" w:hAnsi="Times New Roman" w:cs="Times New Roman"/>
                <w:noProof/>
                <w:lang w:val="de-CH" w:eastAsia="de-CH"/>
              </w:rPr>
              <w:drawing>
                <wp:inline distT="0" distB="0" distL="0" distR="0" wp14:anchorId="56F03505" wp14:editId="582EE96A">
                  <wp:extent cx="3072384" cy="1728216"/>
                  <wp:effectExtent l="0" t="0" r="0" b="5715"/>
                  <wp:docPr id="1362600690" name="Picture 136260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0069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72384" cy="1728216"/>
                          </a:xfrm>
                          <a:prstGeom prst="rect">
                            <a:avLst/>
                          </a:prstGeom>
                        </pic:spPr>
                      </pic:pic>
                    </a:graphicData>
                  </a:graphic>
                </wp:inline>
              </w:drawing>
            </w:r>
          </w:p>
        </w:tc>
      </w:tr>
      <w:tr w:rsidR="00C3013D" w:rsidRPr="00330362" w14:paraId="386F88E8" w14:textId="77777777" w:rsidTr="004200F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6" w:type="dxa"/>
            <w:vAlign w:val="top"/>
          </w:tcPr>
          <w:p w14:paraId="73BF4D24" w14:textId="77777777" w:rsidR="00C3013D" w:rsidRPr="00330362" w:rsidRDefault="00C3013D" w:rsidP="00E10436">
            <w:pPr>
              <w:pStyle w:val="BodyText"/>
              <w:spacing w:before="240" w:line="480" w:lineRule="auto"/>
              <w:ind w:left="-113"/>
              <w:jc w:val="both"/>
              <w:rPr>
                <w:rFonts w:ascii="Times New Roman" w:hAnsi="Times New Roman" w:cs="Times New Roman"/>
              </w:rPr>
            </w:pPr>
            <w:r w:rsidRPr="00330362">
              <w:rPr>
                <w:rFonts w:ascii="Times New Roman" w:hAnsi="Times New Roman" w:cs="Times New Roman"/>
                <w:noProof/>
                <w:lang w:val="de-CH" w:eastAsia="de-CH"/>
              </w:rPr>
              <w:drawing>
                <wp:inline distT="0" distB="0" distL="0" distR="0" wp14:anchorId="1ABD773A" wp14:editId="7193BF3D">
                  <wp:extent cx="3081528" cy="1728216"/>
                  <wp:effectExtent l="0" t="0" r="5080" b="5715"/>
                  <wp:docPr id="1362600696" name="Picture 1362600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0069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1528" cy="1728216"/>
                          </a:xfrm>
                          <a:prstGeom prst="rect">
                            <a:avLst/>
                          </a:prstGeom>
                        </pic:spPr>
                      </pic:pic>
                    </a:graphicData>
                  </a:graphic>
                </wp:inline>
              </w:drawing>
            </w:r>
          </w:p>
        </w:tc>
        <w:tc>
          <w:tcPr>
            <w:tcW w:w="5076" w:type="dxa"/>
            <w:vAlign w:val="top"/>
          </w:tcPr>
          <w:p w14:paraId="0CFF47BB" w14:textId="77777777" w:rsidR="00C3013D" w:rsidRPr="00330362" w:rsidRDefault="00C3013D" w:rsidP="00E10436">
            <w:pPr>
              <w:pStyle w:val="BodyText"/>
              <w:spacing w:before="240" w:line="480" w:lineRule="auto"/>
              <w:ind w:left="-113"/>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30362">
              <w:rPr>
                <w:rFonts w:ascii="Times New Roman" w:hAnsi="Times New Roman" w:cs="Times New Roman"/>
                <w:noProof/>
                <w:lang w:val="de-CH" w:eastAsia="de-CH"/>
              </w:rPr>
              <w:drawing>
                <wp:inline distT="0" distB="0" distL="0" distR="0" wp14:anchorId="4C1C78D3" wp14:editId="7B54259E">
                  <wp:extent cx="3081528" cy="1728216"/>
                  <wp:effectExtent l="0" t="0" r="5080" b="5715"/>
                  <wp:docPr id="1362600694" name="Picture 136260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0069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1528" cy="1728216"/>
                          </a:xfrm>
                          <a:prstGeom prst="rect">
                            <a:avLst/>
                          </a:prstGeom>
                        </pic:spPr>
                      </pic:pic>
                    </a:graphicData>
                  </a:graphic>
                </wp:inline>
              </w:drawing>
            </w:r>
          </w:p>
        </w:tc>
      </w:tr>
    </w:tbl>
    <w:p w14:paraId="29E3FA0F" w14:textId="3ED37428" w:rsidR="00C3013D" w:rsidRPr="00330362" w:rsidRDefault="00C3013D" w:rsidP="00E10436">
      <w:pPr>
        <w:pStyle w:val="Heading2"/>
        <w:keepNext w:val="0"/>
        <w:spacing w:line="480" w:lineRule="auto"/>
      </w:pPr>
      <w:r w:rsidRPr="00330362">
        <w:rPr>
          <w:i/>
          <w:iCs/>
        </w:rPr>
        <w:br w:type="page"/>
      </w:r>
      <w:r w:rsidRPr="00330362">
        <w:lastRenderedPageBreak/>
        <w:t xml:space="preserve">Figure </w:t>
      </w:r>
      <w:r w:rsidR="00E10436">
        <w:t>4.</w:t>
      </w:r>
      <w:r w:rsidRPr="00330362">
        <w:t xml:space="preserve"> Probabilistic Sensitivity Analysis Showing the ICER Scatter Plots and Cost-Effectiveness Acceptability Curves for UVV Compared to BC1 (orange circles and lines refer to mean values)</w:t>
      </w:r>
    </w:p>
    <w:tbl>
      <w:tblPr>
        <w:tblStyle w:val="Eviera-2018"/>
        <w:tblW w:w="9502" w:type="dxa"/>
        <w:tblLook w:val="04A0" w:firstRow="1" w:lastRow="0" w:firstColumn="1" w:lastColumn="0" w:noHBand="0" w:noVBand="1"/>
      </w:tblPr>
      <w:tblGrid>
        <w:gridCol w:w="5076"/>
        <w:gridCol w:w="5076"/>
      </w:tblGrid>
      <w:tr w:rsidR="00C3013D" w:rsidRPr="00330362" w14:paraId="38F82190" w14:textId="77777777" w:rsidTr="004200F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751" w:type="dxa"/>
            <w:shd w:val="clear" w:color="auto" w:fill="auto"/>
            <w:vAlign w:val="top"/>
          </w:tcPr>
          <w:p w14:paraId="29FCD9C2" w14:textId="77777777" w:rsidR="00C3013D" w:rsidRPr="00330362" w:rsidRDefault="00C3013D">
            <w:pPr>
              <w:pStyle w:val="BodyText"/>
              <w:spacing w:before="240" w:line="480" w:lineRule="auto"/>
              <w:jc w:val="both"/>
              <w:rPr>
                <w:rFonts w:ascii="Times New Roman" w:hAnsi="Times New Roman" w:cs="Times New Roman"/>
                <w:b w:val="0"/>
              </w:rPr>
            </w:pPr>
            <w:r w:rsidRPr="00330362">
              <w:rPr>
                <w:rFonts w:ascii="Times New Roman" w:hAnsi="Times New Roman" w:cs="Times New Roman"/>
                <w:noProof/>
                <w:lang w:val="de-CH" w:eastAsia="de-CH"/>
              </w:rPr>
              <w:drawing>
                <wp:inline distT="0" distB="0" distL="0" distR="0" wp14:anchorId="66341EF9" wp14:editId="78952AF8">
                  <wp:extent cx="3072384" cy="1728216"/>
                  <wp:effectExtent l="0" t="0" r="0" b="5715"/>
                  <wp:docPr id="1362600698" name="Picture 1362600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0069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72384" cy="1728216"/>
                          </a:xfrm>
                          <a:prstGeom prst="rect">
                            <a:avLst/>
                          </a:prstGeom>
                        </pic:spPr>
                      </pic:pic>
                    </a:graphicData>
                  </a:graphic>
                </wp:inline>
              </w:drawing>
            </w:r>
          </w:p>
        </w:tc>
        <w:tc>
          <w:tcPr>
            <w:tcW w:w="4751" w:type="dxa"/>
            <w:shd w:val="clear" w:color="auto" w:fill="auto"/>
          </w:tcPr>
          <w:p w14:paraId="643AA5D1" w14:textId="77777777" w:rsidR="00C3013D" w:rsidRPr="00330362" w:rsidRDefault="00C3013D">
            <w:pPr>
              <w:pStyle w:val="BodyText"/>
              <w:spacing w:before="24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30362">
              <w:rPr>
                <w:rFonts w:ascii="Times New Roman" w:hAnsi="Times New Roman" w:cs="Times New Roman"/>
                <w:noProof/>
                <w:lang w:val="de-CH" w:eastAsia="de-CH"/>
              </w:rPr>
              <w:drawing>
                <wp:inline distT="0" distB="0" distL="0" distR="0" wp14:anchorId="0D9E573F" wp14:editId="0E85B5C6">
                  <wp:extent cx="3072384" cy="1728216"/>
                  <wp:effectExtent l="0" t="0" r="0" b="5715"/>
                  <wp:docPr id="1362600700" name="Picture 136260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0070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72384" cy="1728216"/>
                          </a:xfrm>
                          <a:prstGeom prst="rect">
                            <a:avLst/>
                          </a:prstGeom>
                        </pic:spPr>
                      </pic:pic>
                    </a:graphicData>
                  </a:graphic>
                </wp:inline>
              </w:drawing>
            </w:r>
          </w:p>
        </w:tc>
      </w:tr>
      <w:tr w:rsidR="00C3013D" w:rsidRPr="00330362" w14:paraId="021EF869" w14:textId="77777777" w:rsidTr="004200F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05" w:type="dxa"/>
            <w:vAlign w:val="top"/>
          </w:tcPr>
          <w:p w14:paraId="222C549A" w14:textId="77777777" w:rsidR="00C3013D" w:rsidRPr="00330362" w:rsidRDefault="00C3013D">
            <w:pPr>
              <w:pStyle w:val="BodyText"/>
              <w:spacing w:before="240" w:line="480" w:lineRule="auto"/>
              <w:jc w:val="both"/>
              <w:rPr>
                <w:rFonts w:ascii="Times New Roman" w:hAnsi="Times New Roman" w:cs="Times New Roman"/>
              </w:rPr>
            </w:pPr>
            <w:r w:rsidRPr="00330362">
              <w:rPr>
                <w:rFonts w:ascii="Times New Roman" w:hAnsi="Times New Roman" w:cs="Times New Roman"/>
                <w:noProof/>
                <w:lang w:val="de-CH" w:eastAsia="de-CH"/>
              </w:rPr>
              <w:drawing>
                <wp:inline distT="0" distB="0" distL="0" distR="0" wp14:anchorId="3A9B3503" wp14:editId="6F4D83E3">
                  <wp:extent cx="3072384" cy="1728216"/>
                  <wp:effectExtent l="0" t="0" r="0" b="5715"/>
                  <wp:docPr id="1362600702" name="Picture 136260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60070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72384" cy="1728216"/>
                          </a:xfrm>
                          <a:prstGeom prst="rect">
                            <a:avLst/>
                          </a:prstGeom>
                        </pic:spPr>
                      </pic:pic>
                    </a:graphicData>
                  </a:graphic>
                </wp:inline>
              </w:drawing>
            </w:r>
          </w:p>
        </w:tc>
        <w:tc>
          <w:tcPr>
            <w:tcW w:w="4678" w:type="dxa"/>
            <w:vAlign w:val="top"/>
          </w:tcPr>
          <w:p w14:paraId="19B64FC5" w14:textId="77777777" w:rsidR="00C3013D" w:rsidRPr="00330362" w:rsidRDefault="00C3013D">
            <w:pPr>
              <w:pStyle w:val="BodyText"/>
              <w:spacing w:before="240"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0362">
              <w:rPr>
                <w:rFonts w:ascii="Times New Roman" w:hAnsi="Times New Roman" w:cs="Times New Roman"/>
                <w:noProof/>
                <w:lang w:val="de-CH" w:eastAsia="de-CH"/>
              </w:rPr>
              <w:drawing>
                <wp:inline distT="0" distB="0" distL="0" distR="0" wp14:anchorId="0BC98677" wp14:editId="4D384564">
                  <wp:extent cx="3072384" cy="1728216"/>
                  <wp:effectExtent l="0" t="0" r="0" b="5715"/>
                  <wp:docPr id="1441043712" name="Picture 144104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04371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72384" cy="1728216"/>
                          </a:xfrm>
                          <a:prstGeom prst="rect">
                            <a:avLst/>
                          </a:prstGeom>
                        </pic:spPr>
                      </pic:pic>
                    </a:graphicData>
                  </a:graphic>
                </wp:inline>
              </w:drawing>
            </w:r>
          </w:p>
        </w:tc>
      </w:tr>
      <w:tr w:rsidR="00C3013D" w:rsidRPr="00330362" w14:paraId="3A71385A" w14:textId="77777777" w:rsidTr="004200F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05" w:type="dxa"/>
            <w:vAlign w:val="top"/>
          </w:tcPr>
          <w:p w14:paraId="792C7E53" w14:textId="77777777" w:rsidR="00C3013D" w:rsidRPr="00330362" w:rsidRDefault="00C3013D">
            <w:pPr>
              <w:pStyle w:val="BodyText"/>
              <w:spacing w:before="240" w:line="480" w:lineRule="auto"/>
              <w:jc w:val="both"/>
              <w:rPr>
                <w:rFonts w:ascii="Times New Roman" w:hAnsi="Times New Roman" w:cs="Times New Roman"/>
              </w:rPr>
            </w:pPr>
            <w:r w:rsidRPr="00330362">
              <w:rPr>
                <w:rFonts w:ascii="Times New Roman" w:hAnsi="Times New Roman" w:cs="Times New Roman"/>
                <w:noProof/>
                <w:lang w:val="de-CH" w:eastAsia="de-CH"/>
              </w:rPr>
              <w:drawing>
                <wp:inline distT="0" distB="0" distL="0" distR="0" wp14:anchorId="02CAF615" wp14:editId="3F4F348F">
                  <wp:extent cx="3081528" cy="1728216"/>
                  <wp:effectExtent l="0" t="0" r="5080" b="5715"/>
                  <wp:docPr id="1441043714" name="Picture 144104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04371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81528" cy="1728216"/>
                          </a:xfrm>
                          <a:prstGeom prst="rect">
                            <a:avLst/>
                          </a:prstGeom>
                        </pic:spPr>
                      </pic:pic>
                    </a:graphicData>
                  </a:graphic>
                </wp:inline>
              </w:drawing>
            </w:r>
          </w:p>
        </w:tc>
        <w:tc>
          <w:tcPr>
            <w:tcW w:w="4678" w:type="dxa"/>
            <w:vAlign w:val="top"/>
          </w:tcPr>
          <w:p w14:paraId="3AF74079" w14:textId="77777777" w:rsidR="00C3013D" w:rsidRPr="00330362" w:rsidRDefault="00C3013D">
            <w:pPr>
              <w:pStyle w:val="BodyText"/>
              <w:spacing w:before="240"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30362">
              <w:rPr>
                <w:rFonts w:ascii="Times New Roman" w:hAnsi="Times New Roman" w:cs="Times New Roman"/>
                <w:noProof/>
                <w:lang w:val="de-CH" w:eastAsia="de-CH"/>
              </w:rPr>
              <w:drawing>
                <wp:inline distT="0" distB="0" distL="0" distR="0" wp14:anchorId="5CA01CE1" wp14:editId="0580C6CC">
                  <wp:extent cx="3081528" cy="1728216"/>
                  <wp:effectExtent l="0" t="0" r="5080" b="5715"/>
                  <wp:docPr id="1441043716" name="Picture 144104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04371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81528" cy="1728216"/>
                          </a:xfrm>
                          <a:prstGeom prst="rect">
                            <a:avLst/>
                          </a:prstGeom>
                        </pic:spPr>
                      </pic:pic>
                    </a:graphicData>
                  </a:graphic>
                </wp:inline>
              </w:drawing>
            </w:r>
          </w:p>
        </w:tc>
      </w:tr>
    </w:tbl>
    <w:p w14:paraId="248B98BB" w14:textId="580B949B" w:rsidR="00C3013D" w:rsidRDefault="00C3013D">
      <w:pPr>
        <w:pStyle w:val="TableFootnotesAbbreviations"/>
        <w:spacing w:line="480" w:lineRule="auto"/>
        <w:rPr>
          <w:rFonts w:ascii="Times New Roman" w:hAnsi="Times New Roman"/>
        </w:rPr>
      </w:pPr>
    </w:p>
    <w:p w14:paraId="4F50D41A" w14:textId="6AE5C275" w:rsidR="00B41973" w:rsidRDefault="00B41973">
      <w:pPr>
        <w:pStyle w:val="TableFootnotesAbbreviations"/>
        <w:spacing w:line="480" w:lineRule="auto"/>
        <w:rPr>
          <w:rFonts w:ascii="Times New Roman" w:hAnsi="Times New Roman"/>
        </w:rPr>
      </w:pPr>
    </w:p>
    <w:p w14:paraId="0B61FA9E" w14:textId="77777777" w:rsidR="00B41973" w:rsidRPr="00330362" w:rsidRDefault="00B41973">
      <w:pPr>
        <w:pStyle w:val="TableFootnotesAbbreviations"/>
        <w:spacing w:line="480" w:lineRule="auto"/>
        <w:rPr>
          <w:rFonts w:ascii="Times New Roman" w:hAnsi="Times New Roman"/>
        </w:rPr>
      </w:pPr>
    </w:p>
    <w:p w14:paraId="78211612" w14:textId="38C2F9B7" w:rsidR="00684E5A" w:rsidRPr="00E10436" w:rsidRDefault="00684E5A" w:rsidP="00E10436">
      <w:pPr>
        <w:pStyle w:val="Heading1"/>
        <w:keepNext w:val="0"/>
        <w:pageBreakBefore/>
        <w:spacing w:line="480" w:lineRule="auto"/>
        <w:rPr>
          <w:rFonts w:cs="Times New Roman"/>
          <w:bCs/>
          <w:color w:val="000000" w:themeColor="text1"/>
        </w:rPr>
      </w:pPr>
      <w:r w:rsidRPr="00E10436">
        <w:rPr>
          <w:rFonts w:cs="Times New Roman"/>
          <w:bCs/>
          <w:color w:val="000000" w:themeColor="text1"/>
        </w:rPr>
        <w:lastRenderedPageBreak/>
        <w:t>SDC-</w:t>
      </w:r>
      <w:r w:rsidR="00E10436">
        <w:rPr>
          <w:rFonts w:cs="Times New Roman"/>
          <w:bCs/>
          <w:color w:val="000000" w:themeColor="text1"/>
        </w:rPr>
        <w:t>4</w:t>
      </w:r>
      <w:r w:rsidRPr="00E10436">
        <w:rPr>
          <w:rFonts w:cs="Times New Roman"/>
          <w:bCs/>
          <w:color w:val="000000" w:themeColor="text1"/>
        </w:rPr>
        <w:t xml:space="preserve">: </w:t>
      </w:r>
      <w:r w:rsidR="00B41973" w:rsidRPr="00E10436">
        <w:rPr>
          <w:rFonts w:cs="Times New Roman"/>
          <w:bCs/>
          <w:color w:val="000000" w:themeColor="text1"/>
        </w:rPr>
        <w:t>Results over 25</w:t>
      </w:r>
      <w:r w:rsidR="00A311B9">
        <w:rPr>
          <w:rFonts w:cs="Times New Roman"/>
          <w:bCs/>
          <w:color w:val="000000" w:themeColor="text1"/>
        </w:rPr>
        <w:t>-</w:t>
      </w:r>
      <w:r w:rsidR="00B41973" w:rsidRPr="00E10436">
        <w:rPr>
          <w:rFonts w:cs="Times New Roman"/>
          <w:bCs/>
          <w:color w:val="000000" w:themeColor="text1"/>
        </w:rPr>
        <w:t xml:space="preserve"> and 100</w:t>
      </w:r>
      <w:r w:rsidR="00A311B9">
        <w:rPr>
          <w:rFonts w:cs="Times New Roman"/>
          <w:bCs/>
          <w:color w:val="000000" w:themeColor="text1"/>
        </w:rPr>
        <w:t>-</w:t>
      </w:r>
      <w:r w:rsidR="00B41973" w:rsidRPr="00E10436">
        <w:rPr>
          <w:rFonts w:cs="Times New Roman"/>
          <w:bCs/>
          <w:color w:val="000000" w:themeColor="text1"/>
        </w:rPr>
        <w:t xml:space="preserve">Year </w:t>
      </w:r>
      <w:r w:rsidR="00A311B9">
        <w:rPr>
          <w:rFonts w:cs="Times New Roman"/>
          <w:bCs/>
          <w:color w:val="000000" w:themeColor="text1"/>
        </w:rPr>
        <w:t>T</w:t>
      </w:r>
      <w:r w:rsidR="00B41973" w:rsidRPr="00E10436">
        <w:rPr>
          <w:rFonts w:cs="Times New Roman"/>
          <w:bCs/>
          <w:color w:val="000000" w:themeColor="text1"/>
        </w:rPr>
        <w:t>ime Horizon</w:t>
      </w:r>
    </w:p>
    <w:p w14:paraId="2858B9BC" w14:textId="69515C5E" w:rsidR="00684E5A" w:rsidRDefault="00684E5A">
      <w:pPr>
        <w:spacing w:line="480" w:lineRule="auto"/>
        <w:rPr>
          <w:rFonts w:ascii="Times New Roman" w:hAnsi="Times New Roman" w:cs="Times New Roman"/>
        </w:rPr>
      </w:pPr>
      <w:r w:rsidRPr="00330362">
        <w:rPr>
          <w:rFonts w:ascii="Times New Roman" w:hAnsi="Times New Roman" w:cs="Times New Roman"/>
        </w:rPr>
        <w:t xml:space="preserve">The results in the table below are the costs, QALYs and ICERs from the two cost perspectives over 25-year and 100-year time horizons. </w:t>
      </w:r>
    </w:p>
    <w:p w14:paraId="715164E7" w14:textId="77777777" w:rsidR="009B1C3E" w:rsidRDefault="009B1C3E">
      <w:pPr>
        <w:spacing w:line="480" w:lineRule="auto"/>
        <w:rPr>
          <w:rFonts w:ascii="Times New Roman" w:hAnsi="Times New Roman" w:cs="Times New Roman"/>
        </w:rPr>
      </w:pPr>
    </w:p>
    <w:p w14:paraId="5675A374" w14:textId="7DE6B11A" w:rsidR="006044FA" w:rsidRPr="00E10436" w:rsidRDefault="006044FA" w:rsidP="00E10436">
      <w:pPr>
        <w:pStyle w:val="Heading2"/>
        <w:keepNext w:val="0"/>
        <w:spacing w:line="480" w:lineRule="auto"/>
      </w:pPr>
      <w:r w:rsidRPr="00E10436">
        <w:t xml:space="preserve">Table </w:t>
      </w:r>
      <w:r w:rsidR="00E10436">
        <w:t>4</w:t>
      </w:r>
      <w:r w:rsidR="009B1C3E">
        <w:t>:</w:t>
      </w:r>
      <w:r w:rsidRPr="00E10436">
        <w:t xml:space="preserve"> 25-year and 100-year societal costs</w:t>
      </w:r>
    </w:p>
    <w:tbl>
      <w:tblPr>
        <w:tblStyle w:val="TableGrid"/>
        <w:tblW w:w="5000" w:type="pct"/>
        <w:tblLook w:val="04A0" w:firstRow="1" w:lastRow="0" w:firstColumn="1" w:lastColumn="0" w:noHBand="0" w:noVBand="1"/>
      </w:tblPr>
      <w:tblGrid>
        <w:gridCol w:w="1584"/>
        <w:gridCol w:w="1477"/>
        <w:gridCol w:w="1477"/>
        <w:gridCol w:w="1477"/>
        <w:gridCol w:w="1477"/>
        <w:gridCol w:w="1524"/>
      </w:tblGrid>
      <w:tr w:rsidR="00684E5A" w:rsidRPr="00D56D60" w14:paraId="42BA1ACE" w14:textId="77777777" w:rsidTr="00E10436">
        <w:trPr>
          <w:trHeight w:val="283"/>
        </w:trPr>
        <w:tc>
          <w:tcPr>
            <w:tcW w:w="5000" w:type="pct"/>
            <w:gridSpan w:val="6"/>
            <w:noWrap/>
            <w:hideMark/>
          </w:tcPr>
          <w:p w14:paraId="6EDA2B40"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25 years Societal</w:t>
            </w:r>
          </w:p>
        </w:tc>
      </w:tr>
      <w:tr w:rsidR="00684E5A" w:rsidRPr="00D56D60" w14:paraId="69D75F57" w14:textId="77777777" w:rsidTr="00E10436">
        <w:trPr>
          <w:trHeight w:val="283"/>
        </w:trPr>
        <w:tc>
          <w:tcPr>
            <w:tcW w:w="879" w:type="pct"/>
            <w:noWrap/>
            <w:hideMark/>
          </w:tcPr>
          <w:p w14:paraId="78A321AE"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 </w:t>
            </w:r>
          </w:p>
        </w:tc>
        <w:tc>
          <w:tcPr>
            <w:tcW w:w="819" w:type="pct"/>
            <w:noWrap/>
            <w:hideMark/>
          </w:tcPr>
          <w:p w14:paraId="2550100A"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Costs</w:t>
            </w:r>
          </w:p>
        </w:tc>
        <w:tc>
          <w:tcPr>
            <w:tcW w:w="819" w:type="pct"/>
            <w:noWrap/>
            <w:hideMark/>
          </w:tcPr>
          <w:p w14:paraId="0B8424FB"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QALYs</w:t>
            </w:r>
          </w:p>
        </w:tc>
        <w:tc>
          <w:tcPr>
            <w:tcW w:w="819" w:type="pct"/>
            <w:noWrap/>
            <w:hideMark/>
          </w:tcPr>
          <w:p w14:paraId="678B6063"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ΔCosts</w:t>
            </w:r>
          </w:p>
        </w:tc>
        <w:tc>
          <w:tcPr>
            <w:tcW w:w="819" w:type="pct"/>
            <w:noWrap/>
            <w:hideMark/>
          </w:tcPr>
          <w:p w14:paraId="68FDA070"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ΔQALYs</w:t>
            </w:r>
          </w:p>
        </w:tc>
        <w:tc>
          <w:tcPr>
            <w:tcW w:w="845" w:type="pct"/>
            <w:noWrap/>
            <w:hideMark/>
          </w:tcPr>
          <w:p w14:paraId="6500C6CC"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ICER</w:t>
            </w:r>
          </w:p>
        </w:tc>
      </w:tr>
      <w:tr w:rsidR="00684E5A" w:rsidRPr="00D56D60" w14:paraId="7E452DCD" w14:textId="77777777" w:rsidTr="00E10436">
        <w:trPr>
          <w:trHeight w:val="283"/>
        </w:trPr>
        <w:tc>
          <w:tcPr>
            <w:tcW w:w="879" w:type="pct"/>
            <w:noWrap/>
            <w:hideMark/>
          </w:tcPr>
          <w:p w14:paraId="067187A4"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BC1</w:t>
            </w:r>
          </w:p>
        </w:tc>
        <w:tc>
          <w:tcPr>
            <w:tcW w:w="819" w:type="pct"/>
            <w:noWrap/>
            <w:hideMark/>
          </w:tcPr>
          <w:p w14:paraId="4C6D5BC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20.17 CHF</w:t>
            </w:r>
          </w:p>
        </w:tc>
        <w:tc>
          <w:tcPr>
            <w:tcW w:w="819" w:type="pct"/>
            <w:noWrap/>
            <w:hideMark/>
          </w:tcPr>
          <w:p w14:paraId="1A6763F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-0.0012</w:t>
            </w:r>
          </w:p>
        </w:tc>
        <w:tc>
          <w:tcPr>
            <w:tcW w:w="819" w:type="pct"/>
            <w:noWrap/>
            <w:hideMark/>
          </w:tcPr>
          <w:p w14:paraId="0B7215A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819" w:type="pct"/>
            <w:noWrap/>
            <w:hideMark/>
          </w:tcPr>
          <w:p w14:paraId="32B5803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845" w:type="pct"/>
            <w:noWrap/>
            <w:hideMark/>
          </w:tcPr>
          <w:p w14:paraId="78054C1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r>
      <w:tr w:rsidR="00684E5A" w:rsidRPr="00D56D60" w14:paraId="40876FFA" w14:textId="77777777" w:rsidTr="00E10436">
        <w:trPr>
          <w:trHeight w:val="283"/>
        </w:trPr>
        <w:tc>
          <w:tcPr>
            <w:tcW w:w="879" w:type="pct"/>
            <w:noWrap/>
            <w:hideMark/>
          </w:tcPr>
          <w:p w14:paraId="3EFAFFB1"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BC2</w:t>
            </w:r>
          </w:p>
        </w:tc>
        <w:tc>
          <w:tcPr>
            <w:tcW w:w="819" w:type="pct"/>
            <w:noWrap/>
            <w:hideMark/>
          </w:tcPr>
          <w:p w14:paraId="3E300AA2"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22.53 CHF</w:t>
            </w:r>
          </w:p>
        </w:tc>
        <w:tc>
          <w:tcPr>
            <w:tcW w:w="819" w:type="pct"/>
            <w:noWrap/>
            <w:hideMark/>
          </w:tcPr>
          <w:p w14:paraId="5414C0D1"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-0.0011</w:t>
            </w:r>
          </w:p>
        </w:tc>
        <w:tc>
          <w:tcPr>
            <w:tcW w:w="819" w:type="pct"/>
            <w:noWrap/>
            <w:hideMark/>
          </w:tcPr>
          <w:p w14:paraId="3B35F53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819" w:type="pct"/>
            <w:noWrap/>
            <w:hideMark/>
          </w:tcPr>
          <w:p w14:paraId="200CBF9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845" w:type="pct"/>
            <w:noWrap/>
            <w:hideMark/>
          </w:tcPr>
          <w:p w14:paraId="241E7BF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r>
      <w:tr w:rsidR="00684E5A" w:rsidRPr="00D56D60" w14:paraId="3B7E2934" w14:textId="77777777" w:rsidTr="00E10436">
        <w:trPr>
          <w:trHeight w:val="283"/>
        </w:trPr>
        <w:tc>
          <w:tcPr>
            <w:tcW w:w="879" w:type="pct"/>
            <w:noWrap/>
            <w:hideMark/>
          </w:tcPr>
          <w:p w14:paraId="26DFA635"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UVV-1 Vs BC1</w:t>
            </w:r>
          </w:p>
        </w:tc>
        <w:tc>
          <w:tcPr>
            <w:tcW w:w="819" w:type="pct"/>
            <w:noWrap/>
            <w:hideMark/>
          </w:tcPr>
          <w:p w14:paraId="6CF817A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44.45 CHF</w:t>
            </w:r>
          </w:p>
        </w:tc>
        <w:tc>
          <w:tcPr>
            <w:tcW w:w="819" w:type="pct"/>
            <w:noWrap/>
            <w:hideMark/>
          </w:tcPr>
          <w:p w14:paraId="04B0E1DA"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19" w:type="pct"/>
            <w:noWrap/>
            <w:hideMark/>
          </w:tcPr>
          <w:p w14:paraId="10D51CE0"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24.28 CHF</w:t>
            </w:r>
          </w:p>
        </w:tc>
        <w:tc>
          <w:tcPr>
            <w:tcW w:w="819" w:type="pct"/>
            <w:noWrap/>
            <w:hideMark/>
          </w:tcPr>
          <w:p w14:paraId="5AC1651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0.0009</w:t>
            </w:r>
          </w:p>
        </w:tc>
        <w:tc>
          <w:tcPr>
            <w:tcW w:w="845" w:type="pct"/>
            <w:noWrap/>
            <w:hideMark/>
          </w:tcPr>
          <w:p w14:paraId="484FE12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28,005.52 CHF</w:t>
            </w:r>
          </w:p>
        </w:tc>
      </w:tr>
      <w:tr w:rsidR="00684E5A" w:rsidRPr="00D56D60" w14:paraId="7333776B" w14:textId="77777777" w:rsidTr="00E10436">
        <w:trPr>
          <w:trHeight w:val="283"/>
        </w:trPr>
        <w:tc>
          <w:tcPr>
            <w:tcW w:w="879" w:type="pct"/>
            <w:noWrap/>
            <w:hideMark/>
          </w:tcPr>
          <w:p w14:paraId="71FF9005"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UVV-2 Vs BC1</w:t>
            </w:r>
          </w:p>
        </w:tc>
        <w:tc>
          <w:tcPr>
            <w:tcW w:w="819" w:type="pct"/>
            <w:noWrap/>
            <w:hideMark/>
          </w:tcPr>
          <w:p w14:paraId="744511B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43.76 CHF</w:t>
            </w:r>
          </w:p>
        </w:tc>
        <w:tc>
          <w:tcPr>
            <w:tcW w:w="819" w:type="pct"/>
            <w:noWrap/>
            <w:hideMark/>
          </w:tcPr>
          <w:p w14:paraId="18C67EA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-0.0003</w:t>
            </w:r>
          </w:p>
        </w:tc>
        <w:tc>
          <w:tcPr>
            <w:tcW w:w="819" w:type="pct"/>
            <w:noWrap/>
            <w:hideMark/>
          </w:tcPr>
          <w:p w14:paraId="11F6151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23.59 CHF</w:t>
            </w:r>
          </w:p>
        </w:tc>
        <w:tc>
          <w:tcPr>
            <w:tcW w:w="819" w:type="pct"/>
            <w:noWrap/>
            <w:hideMark/>
          </w:tcPr>
          <w:p w14:paraId="28945C0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0.0009</w:t>
            </w:r>
          </w:p>
        </w:tc>
        <w:tc>
          <w:tcPr>
            <w:tcW w:w="845" w:type="pct"/>
            <w:noWrap/>
            <w:hideMark/>
          </w:tcPr>
          <w:p w14:paraId="5E9AC990"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26,979.07 CHF</w:t>
            </w:r>
          </w:p>
        </w:tc>
      </w:tr>
      <w:tr w:rsidR="00684E5A" w:rsidRPr="00D56D60" w14:paraId="2FF7F1E7" w14:textId="77777777" w:rsidTr="00E10436">
        <w:trPr>
          <w:trHeight w:val="283"/>
        </w:trPr>
        <w:tc>
          <w:tcPr>
            <w:tcW w:w="879" w:type="pct"/>
            <w:noWrap/>
            <w:hideMark/>
          </w:tcPr>
          <w:p w14:paraId="18794979"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UVV-3 Vs BC1</w:t>
            </w:r>
          </w:p>
        </w:tc>
        <w:tc>
          <w:tcPr>
            <w:tcW w:w="819" w:type="pct"/>
            <w:noWrap/>
            <w:hideMark/>
          </w:tcPr>
          <w:p w14:paraId="0004555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46.63 CHF</w:t>
            </w:r>
          </w:p>
        </w:tc>
        <w:tc>
          <w:tcPr>
            <w:tcW w:w="819" w:type="pct"/>
            <w:noWrap/>
            <w:hideMark/>
          </w:tcPr>
          <w:p w14:paraId="414AAECA"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-0.0003</w:t>
            </w:r>
          </w:p>
        </w:tc>
        <w:tc>
          <w:tcPr>
            <w:tcW w:w="819" w:type="pct"/>
            <w:noWrap/>
            <w:hideMark/>
          </w:tcPr>
          <w:p w14:paraId="6920607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26.47 CHF</w:t>
            </w:r>
          </w:p>
        </w:tc>
        <w:tc>
          <w:tcPr>
            <w:tcW w:w="819" w:type="pct"/>
            <w:noWrap/>
            <w:hideMark/>
          </w:tcPr>
          <w:p w14:paraId="1A2177D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0.0009</w:t>
            </w:r>
          </w:p>
        </w:tc>
        <w:tc>
          <w:tcPr>
            <w:tcW w:w="845" w:type="pct"/>
            <w:noWrap/>
            <w:hideMark/>
          </w:tcPr>
          <w:p w14:paraId="10FF5F4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30,279.53 CHF</w:t>
            </w:r>
          </w:p>
        </w:tc>
      </w:tr>
      <w:tr w:rsidR="00684E5A" w:rsidRPr="00D56D60" w14:paraId="66904516" w14:textId="77777777" w:rsidTr="00E10436">
        <w:trPr>
          <w:trHeight w:val="283"/>
        </w:trPr>
        <w:tc>
          <w:tcPr>
            <w:tcW w:w="879" w:type="pct"/>
            <w:noWrap/>
            <w:hideMark/>
          </w:tcPr>
          <w:p w14:paraId="5607F818"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UVV-1 Vs BC2</w:t>
            </w:r>
          </w:p>
        </w:tc>
        <w:tc>
          <w:tcPr>
            <w:tcW w:w="819" w:type="pct"/>
            <w:noWrap/>
            <w:hideMark/>
          </w:tcPr>
          <w:p w14:paraId="0AC58E02"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44.45 CHF</w:t>
            </w:r>
          </w:p>
        </w:tc>
        <w:tc>
          <w:tcPr>
            <w:tcW w:w="819" w:type="pct"/>
            <w:noWrap/>
            <w:hideMark/>
          </w:tcPr>
          <w:p w14:paraId="57E59BA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19" w:type="pct"/>
            <w:noWrap/>
            <w:hideMark/>
          </w:tcPr>
          <w:p w14:paraId="1E91F120"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21.92 CHF</w:t>
            </w:r>
          </w:p>
        </w:tc>
        <w:tc>
          <w:tcPr>
            <w:tcW w:w="819" w:type="pct"/>
            <w:noWrap/>
            <w:hideMark/>
          </w:tcPr>
          <w:p w14:paraId="5FDC11B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0.0008</w:t>
            </w:r>
          </w:p>
        </w:tc>
        <w:tc>
          <w:tcPr>
            <w:tcW w:w="845" w:type="pct"/>
            <w:noWrap/>
            <w:hideMark/>
          </w:tcPr>
          <w:p w14:paraId="18A0A96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28,553.55 CHF</w:t>
            </w:r>
          </w:p>
        </w:tc>
      </w:tr>
      <w:tr w:rsidR="00684E5A" w:rsidRPr="00D56D60" w14:paraId="07C29508" w14:textId="77777777" w:rsidTr="00E10436">
        <w:trPr>
          <w:trHeight w:val="283"/>
        </w:trPr>
        <w:tc>
          <w:tcPr>
            <w:tcW w:w="879" w:type="pct"/>
            <w:noWrap/>
            <w:hideMark/>
          </w:tcPr>
          <w:p w14:paraId="47B74751"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UVV-2 Vs BC2</w:t>
            </w:r>
          </w:p>
        </w:tc>
        <w:tc>
          <w:tcPr>
            <w:tcW w:w="819" w:type="pct"/>
            <w:noWrap/>
            <w:hideMark/>
          </w:tcPr>
          <w:p w14:paraId="5D37BE99"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43.76 CHF</w:t>
            </w:r>
          </w:p>
        </w:tc>
        <w:tc>
          <w:tcPr>
            <w:tcW w:w="819" w:type="pct"/>
            <w:noWrap/>
            <w:hideMark/>
          </w:tcPr>
          <w:p w14:paraId="3E97DB0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-0.0003</w:t>
            </w:r>
          </w:p>
        </w:tc>
        <w:tc>
          <w:tcPr>
            <w:tcW w:w="819" w:type="pct"/>
            <w:noWrap/>
            <w:hideMark/>
          </w:tcPr>
          <w:p w14:paraId="62BBA25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21.23 CHF</w:t>
            </w:r>
          </w:p>
        </w:tc>
        <w:tc>
          <w:tcPr>
            <w:tcW w:w="819" w:type="pct"/>
            <w:noWrap/>
            <w:hideMark/>
          </w:tcPr>
          <w:p w14:paraId="5350DAC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0.0008</w:t>
            </w:r>
          </w:p>
        </w:tc>
        <w:tc>
          <w:tcPr>
            <w:tcW w:w="845" w:type="pct"/>
            <w:noWrap/>
            <w:hideMark/>
          </w:tcPr>
          <w:p w14:paraId="5FE5A39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27,390.40 CHF</w:t>
            </w:r>
          </w:p>
        </w:tc>
      </w:tr>
      <w:tr w:rsidR="00684E5A" w:rsidRPr="00D56D60" w14:paraId="357117B4" w14:textId="77777777" w:rsidTr="00E10436">
        <w:trPr>
          <w:trHeight w:val="283"/>
        </w:trPr>
        <w:tc>
          <w:tcPr>
            <w:tcW w:w="879" w:type="pct"/>
            <w:noWrap/>
            <w:hideMark/>
          </w:tcPr>
          <w:p w14:paraId="4EDC02F6"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UVV-3 Vs BC2</w:t>
            </w:r>
          </w:p>
        </w:tc>
        <w:tc>
          <w:tcPr>
            <w:tcW w:w="819" w:type="pct"/>
            <w:noWrap/>
            <w:hideMark/>
          </w:tcPr>
          <w:p w14:paraId="696A73E7"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46.63 CHF</w:t>
            </w:r>
          </w:p>
        </w:tc>
        <w:tc>
          <w:tcPr>
            <w:tcW w:w="819" w:type="pct"/>
            <w:noWrap/>
            <w:hideMark/>
          </w:tcPr>
          <w:p w14:paraId="33ED4B4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-0.0003</w:t>
            </w:r>
          </w:p>
        </w:tc>
        <w:tc>
          <w:tcPr>
            <w:tcW w:w="819" w:type="pct"/>
            <w:noWrap/>
            <w:hideMark/>
          </w:tcPr>
          <w:p w14:paraId="316D748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24.11 CHF</w:t>
            </w:r>
          </w:p>
        </w:tc>
        <w:tc>
          <w:tcPr>
            <w:tcW w:w="819" w:type="pct"/>
            <w:noWrap/>
            <w:hideMark/>
          </w:tcPr>
          <w:p w14:paraId="4F1D20E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0.0008</w:t>
            </w:r>
          </w:p>
        </w:tc>
        <w:tc>
          <w:tcPr>
            <w:tcW w:w="845" w:type="pct"/>
            <w:noWrap/>
            <w:hideMark/>
          </w:tcPr>
          <w:p w14:paraId="2B855741"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31,113.79 CHF</w:t>
            </w:r>
          </w:p>
        </w:tc>
      </w:tr>
      <w:tr w:rsidR="00684E5A" w:rsidRPr="00D56D60" w14:paraId="7E4F22FB" w14:textId="77777777" w:rsidTr="00E10436">
        <w:trPr>
          <w:trHeight w:val="283"/>
        </w:trPr>
        <w:tc>
          <w:tcPr>
            <w:tcW w:w="5000" w:type="pct"/>
            <w:gridSpan w:val="6"/>
            <w:noWrap/>
            <w:hideMark/>
          </w:tcPr>
          <w:p w14:paraId="4EA72BFB" w14:textId="644DA0E1"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100 years Societal</w:t>
            </w:r>
          </w:p>
        </w:tc>
      </w:tr>
      <w:tr w:rsidR="00684E5A" w:rsidRPr="00D56D60" w14:paraId="1FCF94E9" w14:textId="77777777" w:rsidTr="00E10436">
        <w:trPr>
          <w:trHeight w:val="283"/>
        </w:trPr>
        <w:tc>
          <w:tcPr>
            <w:tcW w:w="879" w:type="pct"/>
            <w:noWrap/>
            <w:hideMark/>
          </w:tcPr>
          <w:p w14:paraId="3CFDFF7B"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 </w:t>
            </w:r>
          </w:p>
        </w:tc>
        <w:tc>
          <w:tcPr>
            <w:tcW w:w="819" w:type="pct"/>
            <w:noWrap/>
            <w:hideMark/>
          </w:tcPr>
          <w:p w14:paraId="773ED4BE"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Costs</w:t>
            </w:r>
          </w:p>
        </w:tc>
        <w:tc>
          <w:tcPr>
            <w:tcW w:w="819" w:type="pct"/>
            <w:noWrap/>
            <w:hideMark/>
          </w:tcPr>
          <w:p w14:paraId="40746CAB"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QALYs</w:t>
            </w:r>
          </w:p>
        </w:tc>
        <w:tc>
          <w:tcPr>
            <w:tcW w:w="819" w:type="pct"/>
            <w:noWrap/>
            <w:hideMark/>
          </w:tcPr>
          <w:p w14:paraId="4D79A879"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ΔCosts</w:t>
            </w:r>
          </w:p>
        </w:tc>
        <w:tc>
          <w:tcPr>
            <w:tcW w:w="819" w:type="pct"/>
            <w:noWrap/>
            <w:hideMark/>
          </w:tcPr>
          <w:p w14:paraId="4F410751"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ΔQALYs</w:t>
            </w:r>
          </w:p>
        </w:tc>
        <w:tc>
          <w:tcPr>
            <w:tcW w:w="845" w:type="pct"/>
            <w:noWrap/>
            <w:hideMark/>
          </w:tcPr>
          <w:p w14:paraId="0CC294B5"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ICER</w:t>
            </w:r>
          </w:p>
        </w:tc>
      </w:tr>
      <w:tr w:rsidR="00684E5A" w:rsidRPr="00D56D60" w14:paraId="0C7E885F" w14:textId="77777777" w:rsidTr="00E10436">
        <w:trPr>
          <w:trHeight w:val="283"/>
        </w:trPr>
        <w:tc>
          <w:tcPr>
            <w:tcW w:w="879" w:type="pct"/>
            <w:noWrap/>
            <w:hideMark/>
          </w:tcPr>
          <w:p w14:paraId="7990681D"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BC1</w:t>
            </w:r>
          </w:p>
        </w:tc>
        <w:tc>
          <w:tcPr>
            <w:tcW w:w="819" w:type="pct"/>
            <w:noWrap/>
            <w:hideMark/>
          </w:tcPr>
          <w:p w14:paraId="33F70697"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36.41 CHF</w:t>
            </w:r>
          </w:p>
        </w:tc>
        <w:tc>
          <w:tcPr>
            <w:tcW w:w="819" w:type="pct"/>
            <w:noWrap/>
            <w:hideMark/>
          </w:tcPr>
          <w:p w14:paraId="26C4919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-0.0022</w:t>
            </w:r>
          </w:p>
        </w:tc>
        <w:tc>
          <w:tcPr>
            <w:tcW w:w="819" w:type="pct"/>
            <w:noWrap/>
            <w:hideMark/>
          </w:tcPr>
          <w:p w14:paraId="5E132E2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819" w:type="pct"/>
            <w:noWrap/>
            <w:hideMark/>
          </w:tcPr>
          <w:p w14:paraId="20DF044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845" w:type="pct"/>
            <w:noWrap/>
            <w:hideMark/>
          </w:tcPr>
          <w:p w14:paraId="26B518A0"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r>
      <w:tr w:rsidR="00684E5A" w:rsidRPr="00D56D60" w14:paraId="6BB34CBA" w14:textId="77777777" w:rsidTr="00E10436">
        <w:trPr>
          <w:trHeight w:val="283"/>
        </w:trPr>
        <w:tc>
          <w:tcPr>
            <w:tcW w:w="879" w:type="pct"/>
            <w:noWrap/>
            <w:hideMark/>
          </w:tcPr>
          <w:p w14:paraId="6D425A9C"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BC2</w:t>
            </w:r>
          </w:p>
        </w:tc>
        <w:tc>
          <w:tcPr>
            <w:tcW w:w="819" w:type="pct"/>
            <w:noWrap/>
            <w:hideMark/>
          </w:tcPr>
          <w:p w14:paraId="259AF20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40.64 CHF</w:t>
            </w:r>
          </w:p>
        </w:tc>
        <w:tc>
          <w:tcPr>
            <w:tcW w:w="819" w:type="pct"/>
            <w:noWrap/>
            <w:hideMark/>
          </w:tcPr>
          <w:p w14:paraId="4444E5C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-0.0020</w:t>
            </w:r>
          </w:p>
        </w:tc>
        <w:tc>
          <w:tcPr>
            <w:tcW w:w="819" w:type="pct"/>
            <w:noWrap/>
            <w:hideMark/>
          </w:tcPr>
          <w:p w14:paraId="222F728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819" w:type="pct"/>
            <w:noWrap/>
            <w:hideMark/>
          </w:tcPr>
          <w:p w14:paraId="1148CB0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845" w:type="pct"/>
            <w:noWrap/>
            <w:hideMark/>
          </w:tcPr>
          <w:p w14:paraId="30A2AC2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r>
      <w:tr w:rsidR="00684E5A" w:rsidRPr="00D56D60" w14:paraId="04F0840C" w14:textId="77777777" w:rsidTr="00E10436">
        <w:trPr>
          <w:trHeight w:val="283"/>
        </w:trPr>
        <w:tc>
          <w:tcPr>
            <w:tcW w:w="879" w:type="pct"/>
            <w:noWrap/>
            <w:hideMark/>
          </w:tcPr>
          <w:p w14:paraId="58935F60"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UVV-1 Vs BC1</w:t>
            </w:r>
          </w:p>
        </w:tc>
        <w:tc>
          <w:tcPr>
            <w:tcW w:w="819" w:type="pct"/>
            <w:noWrap/>
            <w:hideMark/>
          </w:tcPr>
          <w:p w14:paraId="28BEBD9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80.56 CHF</w:t>
            </w:r>
          </w:p>
        </w:tc>
        <w:tc>
          <w:tcPr>
            <w:tcW w:w="819" w:type="pct"/>
            <w:noWrap/>
            <w:hideMark/>
          </w:tcPr>
          <w:p w14:paraId="387D24C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19" w:type="pct"/>
            <w:noWrap/>
            <w:hideMark/>
          </w:tcPr>
          <w:p w14:paraId="33F8999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44.15 CHF</w:t>
            </w:r>
          </w:p>
        </w:tc>
        <w:tc>
          <w:tcPr>
            <w:tcW w:w="819" w:type="pct"/>
            <w:noWrap/>
            <w:hideMark/>
          </w:tcPr>
          <w:p w14:paraId="632A2C7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0.0018</w:t>
            </w:r>
          </w:p>
        </w:tc>
        <w:tc>
          <w:tcPr>
            <w:tcW w:w="845" w:type="pct"/>
            <w:noWrap/>
            <w:hideMark/>
          </w:tcPr>
          <w:p w14:paraId="63F9E5C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24,952.55 CHF</w:t>
            </w:r>
          </w:p>
        </w:tc>
      </w:tr>
      <w:tr w:rsidR="00684E5A" w:rsidRPr="00D56D60" w14:paraId="7921A99F" w14:textId="77777777" w:rsidTr="00E10436">
        <w:trPr>
          <w:trHeight w:val="283"/>
        </w:trPr>
        <w:tc>
          <w:tcPr>
            <w:tcW w:w="879" w:type="pct"/>
            <w:noWrap/>
            <w:hideMark/>
          </w:tcPr>
          <w:p w14:paraId="1A066CCB"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UVV-2 Vs BC1</w:t>
            </w:r>
          </w:p>
        </w:tc>
        <w:tc>
          <w:tcPr>
            <w:tcW w:w="819" w:type="pct"/>
            <w:noWrap/>
            <w:hideMark/>
          </w:tcPr>
          <w:p w14:paraId="0388769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79.59 CHF</w:t>
            </w:r>
          </w:p>
        </w:tc>
        <w:tc>
          <w:tcPr>
            <w:tcW w:w="819" w:type="pct"/>
            <w:noWrap/>
            <w:hideMark/>
          </w:tcPr>
          <w:p w14:paraId="25399C2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19" w:type="pct"/>
            <w:noWrap/>
            <w:hideMark/>
          </w:tcPr>
          <w:p w14:paraId="2E293BB9"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43.19 CHF</w:t>
            </w:r>
          </w:p>
        </w:tc>
        <w:tc>
          <w:tcPr>
            <w:tcW w:w="819" w:type="pct"/>
            <w:noWrap/>
            <w:hideMark/>
          </w:tcPr>
          <w:p w14:paraId="7EE4E5B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0.0018</w:t>
            </w:r>
          </w:p>
        </w:tc>
        <w:tc>
          <w:tcPr>
            <w:tcW w:w="845" w:type="pct"/>
            <w:noWrap/>
            <w:hideMark/>
          </w:tcPr>
          <w:p w14:paraId="2E4DC8E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24,291.79 CHF</w:t>
            </w:r>
          </w:p>
        </w:tc>
      </w:tr>
      <w:tr w:rsidR="00684E5A" w:rsidRPr="00D56D60" w14:paraId="0D84AF0D" w14:textId="77777777" w:rsidTr="00E10436">
        <w:trPr>
          <w:trHeight w:val="283"/>
        </w:trPr>
        <w:tc>
          <w:tcPr>
            <w:tcW w:w="879" w:type="pct"/>
            <w:noWrap/>
            <w:hideMark/>
          </w:tcPr>
          <w:p w14:paraId="1B753931"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UVV-3 Vs BC1</w:t>
            </w:r>
          </w:p>
        </w:tc>
        <w:tc>
          <w:tcPr>
            <w:tcW w:w="819" w:type="pct"/>
            <w:noWrap/>
            <w:hideMark/>
          </w:tcPr>
          <w:p w14:paraId="7B1FCD29"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85.99 CHF</w:t>
            </w:r>
          </w:p>
        </w:tc>
        <w:tc>
          <w:tcPr>
            <w:tcW w:w="819" w:type="pct"/>
            <w:noWrap/>
            <w:hideMark/>
          </w:tcPr>
          <w:p w14:paraId="0E0E9F39"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19" w:type="pct"/>
            <w:noWrap/>
            <w:hideMark/>
          </w:tcPr>
          <w:p w14:paraId="61FF14F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49.58 CHF</w:t>
            </w:r>
          </w:p>
        </w:tc>
        <w:tc>
          <w:tcPr>
            <w:tcW w:w="819" w:type="pct"/>
            <w:noWrap/>
            <w:hideMark/>
          </w:tcPr>
          <w:p w14:paraId="11D4179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0.0018</w:t>
            </w:r>
          </w:p>
        </w:tc>
        <w:tc>
          <w:tcPr>
            <w:tcW w:w="845" w:type="pct"/>
            <w:noWrap/>
            <w:hideMark/>
          </w:tcPr>
          <w:p w14:paraId="109A60EA"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27,862.82 CHF</w:t>
            </w:r>
          </w:p>
        </w:tc>
      </w:tr>
      <w:tr w:rsidR="00684E5A" w:rsidRPr="00D56D60" w14:paraId="56362DE2" w14:textId="77777777" w:rsidTr="00E10436">
        <w:trPr>
          <w:trHeight w:val="283"/>
        </w:trPr>
        <w:tc>
          <w:tcPr>
            <w:tcW w:w="879" w:type="pct"/>
            <w:noWrap/>
            <w:hideMark/>
          </w:tcPr>
          <w:p w14:paraId="363C487C"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UVV-1 Vs BC2</w:t>
            </w:r>
          </w:p>
        </w:tc>
        <w:tc>
          <w:tcPr>
            <w:tcW w:w="819" w:type="pct"/>
            <w:noWrap/>
            <w:hideMark/>
          </w:tcPr>
          <w:p w14:paraId="41B590D1"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80.56 CHF</w:t>
            </w:r>
          </w:p>
        </w:tc>
        <w:tc>
          <w:tcPr>
            <w:tcW w:w="819" w:type="pct"/>
            <w:noWrap/>
            <w:hideMark/>
          </w:tcPr>
          <w:p w14:paraId="6D817E9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19" w:type="pct"/>
            <w:noWrap/>
            <w:hideMark/>
          </w:tcPr>
          <w:p w14:paraId="1BE31AF7"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39.92 CHF</w:t>
            </w:r>
          </w:p>
        </w:tc>
        <w:tc>
          <w:tcPr>
            <w:tcW w:w="819" w:type="pct"/>
            <w:noWrap/>
            <w:hideMark/>
          </w:tcPr>
          <w:p w14:paraId="728E259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0.0016</w:t>
            </w:r>
          </w:p>
        </w:tc>
        <w:tc>
          <w:tcPr>
            <w:tcW w:w="845" w:type="pct"/>
            <w:noWrap/>
            <w:hideMark/>
          </w:tcPr>
          <w:p w14:paraId="5245AE22"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25,344.55 CHF</w:t>
            </w:r>
          </w:p>
        </w:tc>
      </w:tr>
      <w:tr w:rsidR="00684E5A" w:rsidRPr="00D56D60" w14:paraId="6393A5D2" w14:textId="77777777" w:rsidTr="00E10436">
        <w:trPr>
          <w:trHeight w:val="283"/>
        </w:trPr>
        <w:tc>
          <w:tcPr>
            <w:tcW w:w="879" w:type="pct"/>
            <w:noWrap/>
            <w:hideMark/>
          </w:tcPr>
          <w:p w14:paraId="778B27A4"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UVV-2 Vs BC2</w:t>
            </w:r>
          </w:p>
        </w:tc>
        <w:tc>
          <w:tcPr>
            <w:tcW w:w="819" w:type="pct"/>
            <w:noWrap/>
            <w:hideMark/>
          </w:tcPr>
          <w:p w14:paraId="307CB80A"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79.59 CHF</w:t>
            </w:r>
          </w:p>
        </w:tc>
        <w:tc>
          <w:tcPr>
            <w:tcW w:w="819" w:type="pct"/>
            <w:noWrap/>
            <w:hideMark/>
          </w:tcPr>
          <w:p w14:paraId="3BAD1C0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19" w:type="pct"/>
            <w:noWrap/>
            <w:hideMark/>
          </w:tcPr>
          <w:p w14:paraId="7B19A59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38.96 CHF</w:t>
            </w:r>
          </w:p>
        </w:tc>
        <w:tc>
          <w:tcPr>
            <w:tcW w:w="819" w:type="pct"/>
            <w:noWrap/>
            <w:hideMark/>
          </w:tcPr>
          <w:p w14:paraId="21F36D2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0.0016</w:t>
            </w:r>
          </w:p>
        </w:tc>
        <w:tc>
          <w:tcPr>
            <w:tcW w:w="845" w:type="pct"/>
            <w:noWrap/>
            <w:hideMark/>
          </w:tcPr>
          <w:p w14:paraId="12AF210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24,600.63 CHF</w:t>
            </w:r>
          </w:p>
        </w:tc>
      </w:tr>
      <w:tr w:rsidR="00684E5A" w:rsidRPr="00D56D60" w14:paraId="789ADCAE" w14:textId="77777777" w:rsidTr="00E10436">
        <w:trPr>
          <w:trHeight w:val="283"/>
        </w:trPr>
        <w:tc>
          <w:tcPr>
            <w:tcW w:w="879" w:type="pct"/>
            <w:noWrap/>
            <w:hideMark/>
          </w:tcPr>
          <w:p w14:paraId="324D48AD"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UVV-3 Vs BC2</w:t>
            </w:r>
          </w:p>
        </w:tc>
        <w:tc>
          <w:tcPr>
            <w:tcW w:w="819" w:type="pct"/>
            <w:noWrap/>
            <w:hideMark/>
          </w:tcPr>
          <w:p w14:paraId="59E9D117"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85.99 CHF</w:t>
            </w:r>
          </w:p>
        </w:tc>
        <w:tc>
          <w:tcPr>
            <w:tcW w:w="819" w:type="pct"/>
            <w:noWrap/>
            <w:hideMark/>
          </w:tcPr>
          <w:p w14:paraId="7A073AB1"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19" w:type="pct"/>
            <w:noWrap/>
            <w:hideMark/>
          </w:tcPr>
          <w:p w14:paraId="02638241"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45.35 CHF</w:t>
            </w:r>
          </w:p>
        </w:tc>
        <w:tc>
          <w:tcPr>
            <w:tcW w:w="819" w:type="pct"/>
            <w:noWrap/>
            <w:hideMark/>
          </w:tcPr>
          <w:p w14:paraId="3E88A51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0.0016</w:t>
            </w:r>
          </w:p>
        </w:tc>
        <w:tc>
          <w:tcPr>
            <w:tcW w:w="845" w:type="pct"/>
            <w:noWrap/>
            <w:hideMark/>
          </w:tcPr>
          <w:p w14:paraId="1B326D61"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28,608.92 CHF</w:t>
            </w:r>
          </w:p>
        </w:tc>
      </w:tr>
    </w:tbl>
    <w:p w14:paraId="6810F31F" w14:textId="133625DF" w:rsidR="00684E5A" w:rsidRDefault="00684E5A" w:rsidP="00A311B9">
      <w:pPr>
        <w:spacing w:before="0" w:after="160" w:line="480" w:lineRule="auto"/>
        <w:rPr>
          <w:rFonts w:ascii="Times New Roman" w:hAnsi="Times New Roman" w:cs="Times New Roman"/>
        </w:rPr>
      </w:pPr>
    </w:p>
    <w:p w14:paraId="1F57A525" w14:textId="3D498A9F" w:rsidR="00D56D60" w:rsidRDefault="00D56D60" w:rsidP="00A311B9">
      <w:pPr>
        <w:spacing w:before="0" w:after="160" w:line="480" w:lineRule="auto"/>
        <w:rPr>
          <w:rFonts w:ascii="Times New Roman" w:hAnsi="Times New Roman" w:cs="Times New Roman"/>
        </w:rPr>
      </w:pPr>
    </w:p>
    <w:p w14:paraId="4957DB4A" w14:textId="77777777" w:rsidR="00A311B9" w:rsidRDefault="00A311B9">
      <w:pPr>
        <w:spacing w:before="0" w:after="160" w:line="480" w:lineRule="auto"/>
        <w:rPr>
          <w:rFonts w:ascii="Times New Roman" w:hAnsi="Times New Roman" w:cs="Times New Roman"/>
        </w:rPr>
      </w:pPr>
    </w:p>
    <w:p w14:paraId="492F0EE5" w14:textId="16253A71" w:rsidR="006044FA" w:rsidRPr="00330362" w:rsidRDefault="006044FA" w:rsidP="00E10436">
      <w:pPr>
        <w:pStyle w:val="Heading2"/>
        <w:keepNext w:val="0"/>
        <w:spacing w:line="480" w:lineRule="auto"/>
        <w:rPr>
          <w:rFonts w:cs="Times New Roman"/>
        </w:rPr>
      </w:pPr>
      <w:r w:rsidRPr="00E10436">
        <w:t xml:space="preserve">Table </w:t>
      </w:r>
      <w:r w:rsidR="00E10436">
        <w:t>5</w:t>
      </w:r>
      <w:r w:rsidR="009B1C3E">
        <w:t>:</w:t>
      </w:r>
      <w:r w:rsidRPr="00E10436">
        <w:t xml:space="preserve"> 25-year and 100-year payer costs</w:t>
      </w:r>
      <w:r w:rsidRPr="00E10436" w:rsidDel="009B0C9A">
        <w:t xml:space="preserve"> </w:t>
      </w:r>
    </w:p>
    <w:tbl>
      <w:tblPr>
        <w:tblStyle w:val="TableGrid"/>
        <w:tblW w:w="5000" w:type="pct"/>
        <w:tblLook w:val="04A0" w:firstRow="1" w:lastRow="0" w:firstColumn="1" w:lastColumn="0" w:noHBand="0" w:noVBand="1"/>
      </w:tblPr>
      <w:tblGrid>
        <w:gridCol w:w="1769"/>
        <w:gridCol w:w="1531"/>
        <w:gridCol w:w="1078"/>
        <w:gridCol w:w="1531"/>
        <w:gridCol w:w="1111"/>
        <w:gridCol w:w="1996"/>
      </w:tblGrid>
      <w:tr w:rsidR="00684E5A" w:rsidRPr="00D56D60" w14:paraId="14BB62E8" w14:textId="77777777" w:rsidTr="00E10436">
        <w:trPr>
          <w:trHeight w:val="300"/>
        </w:trPr>
        <w:tc>
          <w:tcPr>
            <w:tcW w:w="5000" w:type="pct"/>
            <w:gridSpan w:val="6"/>
            <w:noWrap/>
            <w:hideMark/>
          </w:tcPr>
          <w:p w14:paraId="6D4BEC76"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25 years Payer</w:t>
            </w:r>
          </w:p>
        </w:tc>
      </w:tr>
      <w:tr w:rsidR="00684E5A" w:rsidRPr="00D56D60" w14:paraId="5C19124F" w14:textId="77777777" w:rsidTr="00E10436">
        <w:trPr>
          <w:trHeight w:val="300"/>
        </w:trPr>
        <w:tc>
          <w:tcPr>
            <w:tcW w:w="981" w:type="pct"/>
            <w:noWrap/>
            <w:hideMark/>
          </w:tcPr>
          <w:p w14:paraId="73CE1174"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 </w:t>
            </w:r>
          </w:p>
        </w:tc>
        <w:tc>
          <w:tcPr>
            <w:tcW w:w="849" w:type="pct"/>
            <w:noWrap/>
            <w:hideMark/>
          </w:tcPr>
          <w:p w14:paraId="438091AA"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Costs</w:t>
            </w:r>
          </w:p>
        </w:tc>
        <w:tc>
          <w:tcPr>
            <w:tcW w:w="598" w:type="pct"/>
            <w:noWrap/>
            <w:hideMark/>
          </w:tcPr>
          <w:p w14:paraId="366110C8"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QALYs</w:t>
            </w:r>
          </w:p>
        </w:tc>
        <w:tc>
          <w:tcPr>
            <w:tcW w:w="849" w:type="pct"/>
            <w:noWrap/>
            <w:hideMark/>
          </w:tcPr>
          <w:p w14:paraId="44CDA352"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ΔCosts</w:t>
            </w:r>
          </w:p>
        </w:tc>
        <w:tc>
          <w:tcPr>
            <w:tcW w:w="616" w:type="pct"/>
            <w:noWrap/>
            <w:hideMark/>
          </w:tcPr>
          <w:p w14:paraId="1FFF5263"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ΔQALYs</w:t>
            </w:r>
          </w:p>
        </w:tc>
        <w:tc>
          <w:tcPr>
            <w:tcW w:w="1107" w:type="pct"/>
            <w:noWrap/>
            <w:hideMark/>
          </w:tcPr>
          <w:p w14:paraId="21087263"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ICER</w:t>
            </w:r>
          </w:p>
        </w:tc>
      </w:tr>
      <w:tr w:rsidR="00684E5A" w:rsidRPr="00D56D60" w14:paraId="39D650FF" w14:textId="77777777" w:rsidTr="00E10436">
        <w:trPr>
          <w:trHeight w:val="300"/>
        </w:trPr>
        <w:tc>
          <w:tcPr>
            <w:tcW w:w="981" w:type="pct"/>
            <w:noWrap/>
            <w:hideMark/>
          </w:tcPr>
          <w:p w14:paraId="48E05271"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BC1</w:t>
            </w:r>
          </w:p>
        </w:tc>
        <w:tc>
          <w:tcPr>
            <w:tcW w:w="849" w:type="pct"/>
            <w:noWrap/>
            <w:hideMark/>
          </w:tcPr>
          <w:p w14:paraId="60C7888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9.11 CHF</w:t>
            </w:r>
          </w:p>
        </w:tc>
        <w:tc>
          <w:tcPr>
            <w:tcW w:w="598" w:type="pct"/>
            <w:noWrap/>
            <w:hideMark/>
          </w:tcPr>
          <w:p w14:paraId="61CE585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-0.0012</w:t>
            </w:r>
          </w:p>
        </w:tc>
        <w:tc>
          <w:tcPr>
            <w:tcW w:w="849" w:type="pct"/>
            <w:noWrap/>
            <w:hideMark/>
          </w:tcPr>
          <w:p w14:paraId="442020FA"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616" w:type="pct"/>
            <w:noWrap/>
            <w:hideMark/>
          </w:tcPr>
          <w:p w14:paraId="1F9DFE1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1107" w:type="pct"/>
            <w:noWrap/>
            <w:hideMark/>
          </w:tcPr>
          <w:p w14:paraId="0B28DDE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r>
      <w:tr w:rsidR="00684E5A" w:rsidRPr="00D56D60" w14:paraId="7C15D707" w14:textId="77777777" w:rsidTr="00E10436">
        <w:trPr>
          <w:trHeight w:val="300"/>
        </w:trPr>
        <w:tc>
          <w:tcPr>
            <w:tcW w:w="981" w:type="pct"/>
            <w:noWrap/>
            <w:hideMark/>
          </w:tcPr>
          <w:p w14:paraId="6DEE0B32"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BC2</w:t>
            </w:r>
          </w:p>
        </w:tc>
        <w:tc>
          <w:tcPr>
            <w:tcW w:w="849" w:type="pct"/>
            <w:noWrap/>
            <w:hideMark/>
          </w:tcPr>
          <w:p w14:paraId="60305EB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12.24 CHF</w:t>
            </w:r>
          </w:p>
        </w:tc>
        <w:tc>
          <w:tcPr>
            <w:tcW w:w="598" w:type="pct"/>
            <w:noWrap/>
            <w:hideMark/>
          </w:tcPr>
          <w:p w14:paraId="3AAEA5D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-0.0011</w:t>
            </w:r>
          </w:p>
        </w:tc>
        <w:tc>
          <w:tcPr>
            <w:tcW w:w="849" w:type="pct"/>
            <w:noWrap/>
            <w:hideMark/>
          </w:tcPr>
          <w:p w14:paraId="591DF42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616" w:type="pct"/>
            <w:noWrap/>
            <w:hideMark/>
          </w:tcPr>
          <w:p w14:paraId="6D2BCF49"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1107" w:type="pct"/>
            <w:noWrap/>
            <w:hideMark/>
          </w:tcPr>
          <w:p w14:paraId="44BC04E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r>
      <w:tr w:rsidR="00684E5A" w:rsidRPr="00D56D60" w14:paraId="24AD7C24" w14:textId="77777777" w:rsidTr="00E10436">
        <w:trPr>
          <w:trHeight w:val="300"/>
        </w:trPr>
        <w:tc>
          <w:tcPr>
            <w:tcW w:w="981" w:type="pct"/>
            <w:noWrap/>
            <w:hideMark/>
          </w:tcPr>
          <w:p w14:paraId="6CE72D10"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UVV-1 Vs BC1</w:t>
            </w:r>
          </w:p>
        </w:tc>
        <w:tc>
          <w:tcPr>
            <w:tcW w:w="849" w:type="pct"/>
            <w:noWrap/>
            <w:hideMark/>
          </w:tcPr>
          <w:p w14:paraId="7BB8B30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39.03 CHF</w:t>
            </w:r>
          </w:p>
        </w:tc>
        <w:tc>
          <w:tcPr>
            <w:tcW w:w="598" w:type="pct"/>
            <w:noWrap/>
            <w:hideMark/>
          </w:tcPr>
          <w:p w14:paraId="77B8E2E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49" w:type="pct"/>
            <w:noWrap/>
            <w:hideMark/>
          </w:tcPr>
          <w:p w14:paraId="0AE52C7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29.92 CHF</w:t>
            </w:r>
          </w:p>
        </w:tc>
        <w:tc>
          <w:tcPr>
            <w:tcW w:w="616" w:type="pct"/>
            <w:noWrap/>
            <w:hideMark/>
          </w:tcPr>
          <w:p w14:paraId="14E7401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0.0009</w:t>
            </w:r>
          </w:p>
        </w:tc>
        <w:tc>
          <w:tcPr>
            <w:tcW w:w="1107" w:type="pct"/>
            <w:noWrap/>
            <w:hideMark/>
          </w:tcPr>
          <w:p w14:paraId="0691DBE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34,506.59 CHF</w:t>
            </w:r>
          </w:p>
        </w:tc>
      </w:tr>
      <w:tr w:rsidR="00684E5A" w:rsidRPr="00D56D60" w14:paraId="1404F595" w14:textId="77777777" w:rsidTr="00E10436">
        <w:trPr>
          <w:trHeight w:val="300"/>
        </w:trPr>
        <w:tc>
          <w:tcPr>
            <w:tcW w:w="981" w:type="pct"/>
            <w:noWrap/>
            <w:hideMark/>
          </w:tcPr>
          <w:p w14:paraId="2E804167"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UVV-2 Vs BC1</w:t>
            </w:r>
          </w:p>
        </w:tc>
        <w:tc>
          <w:tcPr>
            <w:tcW w:w="849" w:type="pct"/>
            <w:noWrap/>
            <w:hideMark/>
          </w:tcPr>
          <w:p w14:paraId="0959DB79"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38.43 CHF</w:t>
            </w:r>
          </w:p>
        </w:tc>
        <w:tc>
          <w:tcPr>
            <w:tcW w:w="598" w:type="pct"/>
            <w:noWrap/>
            <w:hideMark/>
          </w:tcPr>
          <w:p w14:paraId="5745564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-0.0003</w:t>
            </w:r>
          </w:p>
        </w:tc>
        <w:tc>
          <w:tcPr>
            <w:tcW w:w="849" w:type="pct"/>
            <w:noWrap/>
            <w:hideMark/>
          </w:tcPr>
          <w:p w14:paraId="1A0B8071"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29.32 CHF</w:t>
            </w:r>
          </w:p>
        </w:tc>
        <w:tc>
          <w:tcPr>
            <w:tcW w:w="616" w:type="pct"/>
            <w:noWrap/>
            <w:hideMark/>
          </w:tcPr>
          <w:p w14:paraId="464B2DB1"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0.0009</w:t>
            </w:r>
          </w:p>
        </w:tc>
        <w:tc>
          <w:tcPr>
            <w:tcW w:w="1107" w:type="pct"/>
            <w:noWrap/>
            <w:hideMark/>
          </w:tcPr>
          <w:p w14:paraId="4D24B372"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33,529.19 CHF</w:t>
            </w:r>
          </w:p>
        </w:tc>
      </w:tr>
      <w:tr w:rsidR="00684E5A" w:rsidRPr="00D56D60" w14:paraId="6E0127A4" w14:textId="77777777" w:rsidTr="00E10436">
        <w:trPr>
          <w:trHeight w:val="300"/>
        </w:trPr>
        <w:tc>
          <w:tcPr>
            <w:tcW w:w="981" w:type="pct"/>
            <w:noWrap/>
            <w:hideMark/>
          </w:tcPr>
          <w:p w14:paraId="1D4E0E74"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UVV-3 Vs BC1</w:t>
            </w:r>
          </w:p>
        </w:tc>
        <w:tc>
          <w:tcPr>
            <w:tcW w:w="849" w:type="pct"/>
            <w:noWrap/>
            <w:hideMark/>
          </w:tcPr>
          <w:p w14:paraId="568D29E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41.24 CHF</w:t>
            </w:r>
          </w:p>
        </w:tc>
        <w:tc>
          <w:tcPr>
            <w:tcW w:w="598" w:type="pct"/>
            <w:noWrap/>
            <w:hideMark/>
          </w:tcPr>
          <w:p w14:paraId="008D010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-0.0003</w:t>
            </w:r>
          </w:p>
        </w:tc>
        <w:tc>
          <w:tcPr>
            <w:tcW w:w="849" w:type="pct"/>
            <w:noWrap/>
            <w:hideMark/>
          </w:tcPr>
          <w:p w14:paraId="3C6DEE72"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32.13 CHF</w:t>
            </w:r>
          </w:p>
        </w:tc>
        <w:tc>
          <w:tcPr>
            <w:tcW w:w="616" w:type="pct"/>
            <w:noWrap/>
            <w:hideMark/>
          </w:tcPr>
          <w:p w14:paraId="6061510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0.0009</w:t>
            </w:r>
          </w:p>
        </w:tc>
        <w:tc>
          <w:tcPr>
            <w:tcW w:w="1107" w:type="pct"/>
            <w:noWrap/>
            <w:hideMark/>
          </w:tcPr>
          <w:p w14:paraId="106E2EA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36,760.94 CHF</w:t>
            </w:r>
          </w:p>
        </w:tc>
      </w:tr>
      <w:tr w:rsidR="00684E5A" w:rsidRPr="00D56D60" w14:paraId="5B706607" w14:textId="77777777" w:rsidTr="00E10436">
        <w:trPr>
          <w:trHeight w:val="300"/>
        </w:trPr>
        <w:tc>
          <w:tcPr>
            <w:tcW w:w="981" w:type="pct"/>
            <w:noWrap/>
            <w:hideMark/>
          </w:tcPr>
          <w:p w14:paraId="3D5AB065"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UVV-1 Vs BC2</w:t>
            </w:r>
          </w:p>
        </w:tc>
        <w:tc>
          <w:tcPr>
            <w:tcW w:w="849" w:type="pct"/>
            <w:noWrap/>
            <w:hideMark/>
          </w:tcPr>
          <w:p w14:paraId="5B2DE93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39.03 CHF</w:t>
            </w:r>
          </w:p>
        </w:tc>
        <w:tc>
          <w:tcPr>
            <w:tcW w:w="598" w:type="pct"/>
            <w:noWrap/>
            <w:hideMark/>
          </w:tcPr>
          <w:p w14:paraId="0B5974C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49" w:type="pct"/>
            <w:noWrap/>
            <w:hideMark/>
          </w:tcPr>
          <w:p w14:paraId="01E1787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26.79 CHF</w:t>
            </w:r>
          </w:p>
        </w:tc>
        <w:tc>
          <w:tcPr>
            <w:tcW w:w="616" w:type="pct"/>
            <w:noWrap/>
            <w:hideMark/>
          </w:tcPr>
          <w:p w14:paraId="41D7515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0.0008</w:t>
            </w:r>
          </w:p>
        </w:tc>
        <w:tc>
          <w:tcPr>
            <w:tcW w:w="1107" w:type="pct"/>
            <w:noWrap/>
            <w:hideMark/>
          </w:tcPr>
          <w:p w14:paraId="7C581D7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34,896.70 CHF</w:t>
            </w:r>
          </w:p>
        </w:tc>
      </w:tr>
      <w:tr w:rsidR="00684E5A" w:rsidRPr="00D56D60" w14:paraId="1600DD49" w14:textId="77777777" w:rsidTr="00E10436">
        <w:trPr>
          <w:trHeight w:val="300"/>
        </w:trPr>
        <w:tc>
          <w:tcPr>
            <w:tcW w:w="981" w:type="pct"/>
            <w:noWrap/>
            <w:hideMark/>
          </w:tcPr>
          <w:p w14:paraId="0207131B"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UVV-2 Vs BC2</w:t>
            </w:r>
          </w:p>
        </w:tc>
        <w:tc>
          <w:tcPr>
            <w:tcW w:w="849" w:type="pct"/>
            <w:noWrap/>
            <w:hideMark/>
          </w:tcPr>
          <w:p w14:paraId="6474B03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38.43 CHF</w:t>
            </w:r>
          </w:p>
        </w:tc>
        <w:tc>
          <w:tcPr>
            <w:tcW w:w="598" w:type="pct"/>
            <w:noWrap/>
            <w:hideMark/>
          </w:tcPr>
          <w:p w14:paraId="6B9A5EF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-0.0003</w:t>
            </w:r>
          </w:p>
        </w:tc>
        <w:tc>
          <w:tcPr>
            <w:tcW w:w="849" w:type="pct"/>
            <w:noWrap/>
            <w:hideMark/>
          </w:tcPr>
          <w:p w14:paraId="1C3B1BA7"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26.20 CHF</w:t>
            </w:r>
          </w:p>
        </w:tc>
        <w:tc>
          <w:tcPr>
            <w:tcW w:w="616" w:type="pct"/>
            <w:noWrap/>
            <w:hideMark/>
          </w:tcPr>
          <w:p w14:paraId="22A0A65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0.0008</w:t>
            </w:r>
          </w:p>
        </w:tc>
        <w:tc>
          <w:tcPr>
            <w:tcW w:w="1107" w:type="pct"/>
            <w:noWrap/>
            <w:hideMark/>
          </w:tcPr>
          <w:p w14:paraId="081B2FA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33,790.41 CHF</w:t>
            </w:r>
          </w:p>
        </w:tc>
      </w:tr>
      <w:tr w:rsidR="00684E5A" w:rsidRPr="00D56D60" w14:paraId="061FC528" w14:textId="77777777" w:rsidTr="00E10436">
        <w:trPr>
          <w:trHeight w:val="300"/>
        </w:trPr>
        <w:tc>
          <w:tcPr>
            <w:tcW w:w="981" w:type="pct"/>
            <w:noWrap/>
            <w:hideMark/>
          </w:tcPr>
          <w:p w14:paraId="3A360067"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UVV-3 Vs BC2</w:t>
            </w:r>
          </w:p>
        </w:tc>
        <w:tc>
          <w:tcPr>
            <w:tcW w:w="849" w:type="pct"/>
            <w:noWrap/>
            <w:hideMark/>
          </w:tcPr>
          <w:p w14:paraId="44BA42D0"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41.24 CHF</w:t>
            </w:r>
          </w:p>
        </w:tc>
        <w:tc>
          <w:tcPr>
            <w:tcW w:w="598" w:type="pct"/>
            <w:noWrap/>
            <w:hideMark/>
          </w:tcPr>
          <w:p w14:paraId="38A205C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-0.0003</w:t>
            </w:r>
          </w:p>
        </w:tc>
        <w:tc>
          <w:tcPr>
            <w:tcW w:w="849" w:type="pct"/>
            <w:noWrap/>
            <w:hideMark/>
          </w:tcPr>
          <w:p w14:paraId="3AC43919"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29.01 CHF</w:t>
            </w:r>
          </w:p>
        </w:tc>
        <w:tc>
          <w:tcPr>
            <w:tcW w:w="616" w:type="pct"/>
            <w:noWrap/>
            <w:hideMark/>
          </w:tcPr>
          <w:p w14:paraId="14CF487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0.0008</w:t>
            </w:r>
          </w:p>
        </w:tc>
        <w:tc>
          <w:tcPr>
            <w:tcW w:w="1107" w:type="pct"/>
            <w:noWrap/>
            <w:hideMark/>
          </w:tcPr>
          <w:p w14:paraId="6F1B51D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37,436.21 CHF</w:t>
            </w:r>
          </w:p>
        </w:tc>
      </w:tr>
      <w:tr w:rsidR="00684E5A" w:rsidRPr="00D56D60" w14:paraId="758F766E" w14:textId="77777777" w:rsidTr="00E10436">
        <w:trPr>
          <w:trHeight w:val="300"/>
        </w:trPr>
        <w:tc>
          <w:tcPr>
            <w:tcW w:w="5000" w:type="pct"/>
            <w:gridSpan w:val="6"/>
            <w:noWrap/>
            <w:hideMark/>
          </w:tcPr>
          <w:p w14:paraId="0BDB4269"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100 years Payer</w:t>
            </w:r>
          </w:p>
        </w:tc>
      </w:tr>
      <w:tr w:rsidR="00684E5A" w:rsidRPr="00D56D60" w14:paraId="72AAAD34" w14:textId="77777777" w:rsidTr="00E10436">
        <w:trPr>
          <w:trHeight w:val="300"/>
        </w:trPr>
        <w:tc>
          <w:tcPr>
            <w:tcW w:w="981" w:type="pct"/>
            <w:noWrap/>
            <w:hideMark/>
          </w:tcPr>
          <w:p w14:paraId="1BBF5452" w14:textId="77777777" w:rsidR="00684E5A" w:rsidRPr="00E10436" w:rsidRDefault="00684E5A">
            <w:pPr>
              <w:spacing w:before="0" w:after="0" w:line="480" w:lineRule="auto"/>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 </w:t>
            </w:r>
          </w:p>
        </w:tc>
        <w:tc>
          <w:tcPr>
            <w:tcW w:w="849" w:type="pct"/>
            <w:noWrap/>
            <w:hideMark/>
          </w:tcPr>
          <w:p w14:paraId="16129918"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Costs</w:t>
            </w:r>
          </w:p>
        </w:tc>
        <w:tc>
          <w:tcPr>
            <w:tcW w:w="598" w:type="pct"/>
            <w:noWrap/>
            <w:hideMark/>
          </w:tcPr>
          <w:p w14:paraId="6287F63F"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QALYs</w:t>
            </w:r>
          </w:p>
        </w:tc>
        <w:tc>
          <w:tcPr>
            <w:tcW w:w="849" w:type="pct"/>
            <w:noWrap/>
            <w:hideMark/>
          </w:tcPr>
          <w:p w14:paraId="14FEC880"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ΔCosts</w:t>
            </w:r>
          </w:p>
        </w:tc>
        <w:tc>
          <w:tcPr>
            <w:tcW w:w="616" w:type="pct"/>
            <w:noWrap/>
            <w:hideMark/>
          </w:tcPr>
          <w:p w14:paraId="0D5E8269"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ΔQALYs</w:t>
            </w:r>
          </w:p>
        </w:tc>
        <w:tc>
          <w:tcPr>
            <w:tcW w:w="1107" w:type="pct"/>
            <w:noWrap/>
            <w:hideMark/>
          </w:tcPr>
          <w:p w14:paraId="7DBDBA8D" w14:textId="77777777" w:rsidR="00684E5A" w:rsidRPr="00E10436" w:rsidRDefault="00684E5A">
            <w:pPr>
              <w:spacing w:before="0" w:after="0" w:line="480" w:lineRule="auto"/>
              <w:jc w:val="center"/>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ICER</w:t>
            </w:r>
          </w:p>
        </w:tc>
      </w:tr>
      <w:tr w:rsidR="00684E5A" w:rsidRPr="00D56D60" w14:paraId="0D20BAA4" w14:textId="77777777" w:rsidTr="00E10436">
        <w:trPr>
          <w:trHeight w:val="300"/>
        </w:trPr>
        <w:tc>
          <w:tcPr>
            <w:tcW w:w="981" w:type="pct"/>
            <w:noWrap/>
            <w:hideMark/>
          </w:tcPr>
          <w:p w14:paraId="18C39902"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BC1</w:t>
            </w:r>
          </w:p>
        </w:tc>
        <w:tc>
          <w:tcPr>
            <w:tcW w:w="849" w:type="pct"/>
            <w:noWrap/>
            <w:hideMark/>
          </w:tcPr>
          <w:p w14:paraId="22D1919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16.47 CHF</w:t>
            </w:r>
          </w:p>
        </w:tc>
        <w:tc>
          <w:tcPr>
            <w:tcW w:w="598" w:type="pct"/>
            <w:noWrap/>
            <w:hideMark/>
          </w:tcPr>
          <w:p w14:paraId="5CCBC3C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-0.0022</w:t>
            </w:r>
          </w:p>
        </w:tc>
        <w:tc>
          <w:tcPr>
            <w:tcW w:w="849" w:type="pct"/>
            <w:noWrap/>
            <w:hideMark/>
          </w:tcPr>
          <w:p w14:paraId="10223BF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616" w:type="pct"/>
            <w:noWrap/>
            <w:hideMark/>
          </w:tcPr>
          <w:p w14:paraId="0C62BBE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1107" w:type="pct"/>
            <w:noWrap/>
            <w:hideMark/>
          </w:tcPr>
          <w:p w14:paraId="42CEA870"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r>
      <w:tr w:rsidR="00684E5A" w:rsidRPr="00D56D60" w14:paraId="6EE80DF2" w14:textId="77777777" w:rsidTr="00E10436">
        <w:trPr>
          <w:trHeight w:val="300"/>
        </w:trPr>
        <w:tc>
          <w:tcPr>
            <w:tcW w:w="981" w:type="pct"/>
            <w:noWrap/>
            <w:hideMark/>
          </w:tcPr>
          <w:p w14:paraId="3BA4D2E9"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BC2</w:t>
            </w:r>
          </w:p>
        </w:tc>
        <w:tc>
          <w:tcPr>
            <w:tcW w:w="849" w:type="pct"/>
            <w:noWrap/>
            <w:hideMark/>
          </w:tcPr>
          <w:p w14:paraId="3D3C0A5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22.12 CHF</w:t>
            </w:r>
          </w:p>
        </w:tc>
        <w:tc>
          <w:tcPr>
            <w:tcW w:w="598" w:type="pct"/>
            <w:noWrap/>
            <w:hideMark/>
          </w:tcPr>
          <w:p w14:paraId="436663D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-0.0020</w:t>
            </w:r>
          </w:p>
        </w:tc>
        <w:tc>
          <w:tcPr>
            <w:tcW w:w="849" w:type="pct"/>
            <w:noWrap/>
            <w:hideMark/>
          </w:tcPr>
          <w:p w14:paraId="4A10B83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616" w:type="pct"/>
            <w:noWrap/>
            <w:hideMark/>
          </w:tcPr>
          <w:p w14:paraId="7E7928D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c>
          <w:tcPr>
            <w:tcW w:w="1107" w:type="pct"/>
            <w:noWrap/>
            <w:hideMark/>
          </w:tcPr>
          <w:p w14:paraId="0921C0A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None</w:t>
            </w:r>
          </w:p>
        </w:tc>
      </w:tr>
      <w:tr w:rsidR="00684E5A" w:rsidRPr="00D56D60" w14:paraId="4ADE080E" w14:textId="77777777" w:rsidTr="00E10436">
        <w:trPr>
          <w:trHeight w:val="300"/>
        </w:trPr>
        <w:tc>
          <w:tcPr>
            <w:tcW w:w="981" w:type="pct"/>
            <w:noWrap/>
            <w:hideMark/>
          </w:tcPr>
          <w:p w14:paraId="576BE9DC"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UVV-1 Vs BC1</w:t>
            </w:r>
          </w:p>
        </w:tc>
        <w:tc>
          <w:tcPr>
            <w:tcW w:w="849" w:type="pct"/>
            <w:noWrap/>
            <w:hideMark/>
          </w:tcPr>
          <w:p w14:paraId="61F77AF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70.64 CHF</w:t>
            </w:r>
          </w:p>
        </w:tc>
        <w:tc>
          <w:tcPr>
            <w:tcW w:w="598" w:type="pct"/>
            <w:noWrap/>
            <w:hideMark/>
          </w:tcPr>
          <w:p w14:paraId="6E34E14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49" w:type="pct"/>
            <w:noWrap/>
            <w:hideMark/>
          </w:tcPr>
          <w:p w14:paraId="7DB2ECDA"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54.17 CHF</w:t>
            </w:r>
          </w:p>
        </w:tc>
        <w:tc>
          <w:tcPr>
            <w:tcW w:w="616" w:type="pct"/>
            <w:noWrap/>
            <w:hideMark/>
          </w:tcPr>
          <w:p w14:paraId="543570D6"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0.0018</w:t>
            </w:r>
          </w:p>
        </w:tc>
        <w:tc>
          <w:tcPr>
            <w:tcW w:w="1107" w:type="pct"/>
            <w:noWrap/>
            <w:hideMark/>
          </w:tcPr>
          <w:p w14:paraId="2136B582"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30,616.01 CHF</w:t>
            </w:r>
          </w:p>
        </w:tc>
      </w:tr>
      <w:tr w:rsidR="00684E5A" w:rsidRPr="00D56D60" w14:paraId="7403EB2D" w14:textId="77777777" w:rsidTr="00E10436">
        <w:trPr>
          <w:trHeight w:val="300"/>
        </w:trPr>
        <w:tc>
          <w:tcPr>
            <w:tcW w:w="981" w:type="pct"/>
            <w:noWrap/>
            <w:hideMark/>
          </w:tcPr>
          <w:p w14:paraId="42E7D408"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UVV-2 Vs BC1</w:t>
            </w:r>
          </w:p>
        </w:tc>
        <w:tc>
          <w:tcPr>
            <w:tcW w:w="849" w:type="pct"/>
            <w:noWrap/>
            <w:hideMark/>
          </w:tcPr>
          <w:p w14:paraId="52BE13A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69.90 CHF</w:t>
            </w:r>
          </w:p>
        </w:tc>
        <w:tc>
          <w:tcPr>
            <w:tcW w:w="598" w:type="pct"/>
            <w:noWrap/>
            <w:hideMark/>
          </w:tcPr>
          <w:p w14:paraId="61055C0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49" w:type="pct"/>
            <w:noWrap/>
            <w:hideMark/>
          </w:tcPr>
          <w:p w14:paraId="25A7D79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53.43 CHF</w:t>
            </w:r>
          </w:p>
        </w:tc>
        <w:tc>
          <w:tcPr>
            <w:tcW w:w="616" w:type="pct"/>
            <w:noWrap/>
            <w:hideMark/>
          </w:tcPr>
          <w:p w14:paraId="3305FF3D"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0.0018</w:t>
            </w:r>
          </w:p>
        </w:tc>
        <w:tc>
          <w:tcPr>
            <w:tcW w:w="1107" w:type="pct"/>
            <w:noWrap/>
            <w:hideMark/>
          </w:tcPr>
          <w:p w14:paraId="081DA307"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30,053.46 CHF</w:t>
            </w:r>
          </w:p>
        </w:tc>
      </w:tr>
      <w:tr w:rsidR="00684E5A" w:rsidRPr="00D56D60" w14:paraId="0197ABDC" w14:textId="77777777" w:rsidTr="00E10436">
        <w:trPr>
          <w:trHeight w:val="300"/>
        </w:trPr>
        <w:tc>
          <w:tcPr>
            <w:tcW w:w="981" w:type="pct"/>
            <w:noWrap/>
            <w:hideMark/>
          </w:tcPr>
          <w:p w14:paraId="556220EC"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UVV-3 Vs BC1</w:t>
            </w:r>
          </w:p>
        </w:tc>
        <w:tc>
          <w:tcPr>
            <w:tcW w:w="849" w:type="pct"/>
            <w:noWrap/>
            <w:hideMark/>
          </w:tcPr>
          <w:p w14:paraId="3095D61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76.53 CHF</w:t>
            </w:r>
          </w:p>
        </w:tc>
        <w:tc>
          <w:tcPr>
            <w:tcW w:w="598" w:type="pct"/>
            <w:noWrap/>
            <w:hideMark/>
          </w:tcPr>
          <w:p w14:paraId="7F4276A8"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49" w:type="pct"/>
            <w:noWrap/>
            <w:hideMark/>
          </w:tcPr>
          <w:p w14:paraId="33CF107B"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60.06 CHF</w:t>
            </w:r>
          </w:p>
        </w:tc>
        <w:tc>
          <w:tcPr>
            <w:tcW w:w="616" w:type="pct"/>
            <w:noWrap/>
            <w:hideMark/>
          </w:tcPr>
          <w:p w14:paraId="29B8057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0.0018</w:t>
            </w:r>
          </w:p>
        </w:tc>
        <w:tc>
          <w:tcPr>
            <w:tcW w:w="1107" w:type="pct"/>
            <w:noWrap/>
            <w:hideMark/>
          </w:tcPr>
          <w:p w14:paraId="13B77F3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33,750.73 CHF</w:t>
            </w:r>
          </w:p>
        </w:tc>
      </w:tr>
      <w:tr w:rsidR="00684E5A" w:rsidRPr="00D56D60" w14:paraId="092EB08F" w14:textId="77777777" w:rsidTr="00E10436">
        <w:trPr>
          <w:trHeight w:val="300"/>
        </w:trPr>
        <w:tc>
          <w:tcPr>
            <w:tcW w:w="981" w:type="pct"/>
            <w:noWrap/>
            <w:hideMark/>
          </w:tcPr>
          <w:p w14:paraId="32A8D2B7"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UVV-1 Vs BC2</w:t>
            </w:r>
          </w:p>
        </w:tc>
        <w:tc>
          <w:tcPr>
            <w:tcW w:w="849" w:type="pct"/>
            <w:noWrap/>
            <w:hideMark/>
          </w:tcPr>
          <w:p w14:paraId="11A88E60"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70.64 CHF</w:t>
            </w:r>
          </w:p>
        </w:tc>
        <w:tc>
          <w:tcPr>
            <w:tcW w:w="598" w:type="pct"/>
            <w:noWrap/>
            <w:hideMark/>
          </w:tcPr>
          <w:p w14:paraId="0A6ABA5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49" w:type="pct"/>
            <w:noWrap/>
            <w:hideMark/>
          </w:tcPr>
          <w:p w14:paraId="3B7AE240"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48.52 CHF</w:t>
            </w:r>
          </w:p>
        </w:tc>
        <w:tc>
          <w:tcPr>
            <w:tcW w:w="616" w:type="pct"/>
            <w:noWrap/>
            <w:hideMark/>
          </w:tcPr>
          <w:p w14:paraId="7446762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0.0016</w:t>
            </w:r>
          </w:p>
        </w:tc>
        <w:tc>
          <w:tcPr>
            <w:tcW w:w="1107" w:type="pct"/>
            <w:noWrap/>
            <w:hideMark/>
          </w:tcPr>
          <w:p w14:paraId="4E2F572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30,802.45 CHF</w:t>
            </w:r>
          </w:p>
        </w:tc>
      </w:tr>
      <w:tr w:rsidR="00684E5A" w:rsidRPr="00D56D60" w14:paraId="4EBAB534" w14:textId="77777777" w:rsidTr="00E10436">
        <w:trPr>
          <w:trHeight w:val="300"/>
        </w:trPr>
        <w:tc>
          <w:tcPr>
            <w:tcW w:w="981" w:type="pct"/>
            <w:noWrap/>
            <w:hideMark/>
          </w:tcPr>
          <w:p w14:paraId="5F38256E"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UVV-2 Vs BC2</w:t>
            </w:r>
          </w:p>
        </w:tc>
        <w:tc>
          <w:tcPr>
            <w:tcW w:w="849" w:type="pct"/>
            <w:noWrap/>
            <w:hideMark/>
          </w:tcPr>
          <w:p w14:paraId="0800D1B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69.90 CHF</w:t>
            </w:r>
          </w:p>
        </w:tc>
        <w:tc>
          <w:tcPr>
            <w:tcW w:w="598" w:type="pct"/>
            <w:noWrap/>
            <w:hideMark/>
          </w:tcPr>
          <w:p w14:paraId="227B254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49" w:type="pct"/>
            <w:noWrap/>
            <w:hideMark/>
          </w:tcPr>
          <w:p w14:paraId="695160DE"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47.78 CHF</w:t>
            </w:r>
          </w:p>
        </w:tc>
        <w:tc>
          <w:tcPr>
            <w:tcW w:w="616" w:type="pct"/>
            <w:noWrap/>
            <w:hideMark/>
          </w:tcPr>
          <w:p w14:paraId="71FE0335"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0.0016</w:t>
            </w:r>
          </w:p>
        </w:tc>
        <w:tc>
          <w:tcPr>
            <w:tcW w:w="1107" w:type="pct"/>
            <w:noWrap/>
            <w:hideMark/>
          </w:tcPr>
          <w:p w14:paraId="38CDEAEF"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30,169.89 CHF</w:t>
            </w:r>
          </w:p>
        </w:tc>
      </w:tr>
      <w:tr w:rsidR="00684E5A" w:rsidRPr="00D56D60" w14:paraId="49B179BC" w14:textId="77777777" w:rsidTr="00E10436">
        <w:trPr>
          <w:trHeight w:val="300"/>
        </w:trPr>
        <w:tc>
          <w:tcPr>
            <w:tcW w:w="981" w:type="pct"/>
            <w:noWrap/>
            <w:hideMark/>
          </w:tcPr>
          <w:p w14:paraId="6BC678AF" w14:textId="77777777" w:rsidR="00684E5A" w:rsidRPr="00E10436" w:rsidRDefault="00684E5A">
            <w:pPr>
              <w:spacing w:before="0" w:after="0" w:line="480" w:lineRule="auto"/>
              <w:rPr>
                <w:rFonts w:ascii="Times New Roman" w:eastAsia="Times New Roman" w:hAnsi="Times New Roman" w:cs="Times New Roman"/>
                <w:b/>
                <w:bCs/>
                <w:color w:val="000000"/>
                <w:sz w:val="20"/>
                <w:szCs w:val="20"/>
                <w:lang w:val="en-GB" w:eastAsia="en-GB"/>
              </w:rPr>
            </w:pPr>
            <w:r w:rsidRPr="00E10436">
              <w:rPr>
                <w:rFonts w:ascii="Times New Roman" w:eastAsia="Times New Roman" w:hAnsi="Times New Roman" w:cs="Times New Roman"/>
                <w:b/>
                <w:bCs/>
                <w:color w:val="000000"/>
                <w:sz w:val="20"/>
                <w:szCs w:val="20"/>
                <w:lang w:val="en-GB" w:eastAsia="en-GB"/>
              </w:rPr>
              <w:t>UVV-3 Vs BC2</w:t>
            </w:r>
          </w:p>
        </w:tc>
        <w:tc>
          <w:tcPr>
            <w:tcW w:w="849" w:type="pct"/>
            <w:noWrap/>
            <w:hideMark/>
          </w:tcPr>
          <w:p w14:paraId="3810C7E3"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76.53 CHF</w:t>
            </w:r>
          </w:p>
        </w:tc>
        <w:tc>
          <w:tcPr>
            <w:tcW w:w="598" w:type="pct"/>
            <w:noWrap/>
            <w:hideMark/>
          </w:tcPr>
          <w:p w14:paraId="76D1221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-0.0004</w:t>
            </w:r>
          </w:p>
        </w:tc>
        <w:tc>
          <w:tcPr>
            <w:tcW w:w="849" w:type="pct"/>
            <w:noWrap/>
            <w:hideMark/>
          </w:tcPr>
          <w:p w14:paraId="5016736C"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54.41 CHF</w:t>
            </w:r>
          </w:p>
        </w:tc>
        <w:tc>
          <w:tcPr>
            <w:tcW w:w="616" w:type="pct"/>
            <w:noWrap/>
            <w:hideMark/>
          </w:tcPr>
          <w:p w14:paraId="0856DBC4"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0.0016</w:t>
            </w:r>
          </w:p>
        </w:tc>
        <w:tc>
          <w:tcPr>
            <w:tcW w:w="1107" w:type="pct"/>
            <w:noWrap/>
            <w:hideMark/>
          </w:tcPr>
          <w:p w14:paraId="0739A667" w14:textId="77777777" w:rsidR="00684E5A" w:rsidRPr="00E10436" w:rsidRDefault="00684E5A">
            <w:pPr>
              <w:spacing w:before="0" w:after="0" w:line="480" w:lineRule="auto"/>
              <w:jc w:val="center"/>
              <w:rPr>
                <w:rFonts w:ascii="Times New Roman" w:eastAsia="Times New Roman" w:hAnsi="Times New Roman" w:cs="Times New Roman"/>
                <w:color w:val="000000"/>
                <w:sz w:val="20"/>
                <w:szCs w:val="20"/>
                <w:lang w:val="en-GB" w:eastAsia="en-GB"/>
              </w:rPr>
            </w:pPr>
            <w:r w:rsidRPr="00E10436">
              <w:rPr>
                <w:rFonts w:ascii="Times New Roman" w:eastAsia="Times New Roman" w:hAnsi="Times New Roman" w:cs="Times New Roman"/>
                <w:color w:val="000000"/>
                <w:sz w:val="20"/>
                <w:szCs w:val="20"/>
                <w:lang w:val="en-GB" w:eastAsia="en-GB"/>
              </w:rPr>
              <w:t>34,320.10 CHF</w:t>
            </w:r>
          </w:p>
        </w:tc>
      </w:tr>
    </w:tbl>
    <w:p w14:paraId="3898039B" w14:textId="77777777" w:rsidR="00684E5A" w:rsidRDefault="00684E5A">
      <w:pPr>
        <w:spacing w:before="0" w:after="160" w:line="480" w:lineRule="auto"/>
        <w:rPr>
          <w:rFonts w:ascii="Times New Roman" w:hAnsi="Times New Roman" w:cs="Times New Roman"/>
        </w:rPr>
      </w:pPr>
    </w:p>
    <w:p w14:paraId="3ACF10C6" w14:textId="77777777" w:rsidR="00684E5A" w:rsidRDefault="00684E5A">
      <w:pPr>
        <w:spacing w:before="0" w:after="160" w:line="480" w:lineRule="auto"/>
        <w:rPr>
          <w:rFonts w:ascii="Times New Roman" w:hAnsi="Times New Roman" w:cs="Times New Roman"/>
        </w:rPr>
      </w:pPr>
      <w:r w:rsidRPr="00330362">
        <w:rPr>
          <w:rFonts w:ascii="Times New Roman" w:hAnsi="Times New Roman" w:cs="Times New Roman"/>
        </w:rPr>
        <w:br w:type="page"/>
      </w:r>
    </w:p>
    <w:p w14:paraId="361C1A4B" w14:textId="4BAF79B6" w:rsidR="00A311B9" w:rsidRPr="00E10436" w:rsidRDefault="00A311B9" w:rsidP="00E10436">
      <w:pPr>
        <w:pStyle w:val="Heading1"/>
        <w:keepNext w:val="0"/>
        <w:spacing w:line="480" w:lineRule="auto"/>
      </w:pPr>
      <w:bookmarkStart w:id="10" w:name="_Hlk63874002"/>
      <w:r w:rsidRPr="00A311B9">
        <w:rPr>
          <w:b w:val="0"/>
        </w:rPr>
        <w:lastRenderedPageBreak/>
        <w:t>References</w:t>
      </w:r>
      <w:bookmarkEnd w:id="10"/>
    </w:p>
    <w:p w14:paraId="3D1F526F"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color w:val="000000" w:themeColor="text1"/>
        </w:rPr>
        <w:t xml:space="preserve">Banz K, Iseli A, Aebi C, Brunner M, Schmutz AM, Heininger U. Economic evaluation of varicella vaccination in Swiss children and adolescents. </w:t>
      </w:r>
      <w:r w:rsidRPr="00AB43D9">
        <w:rPr>
          <w:rFonts w:ascii="Times New Roman" w:hAnsi="Times New Roman" w:cs="Times New Roman"/>
          <w:i/>
          <w:color w:val="000000" w:themeColor="text1"/>
        </w:rPr>
        <w:t xml:space="preserve">Hum Vaccin. </w:t>
      </w:r>
      <w:r w:rsidRPr="00AB43D9">
        <w:rPr>
          <w:rFonts w:ascii="Times New Roman" w:hAnsi="Times New Roman" w:cs="Times New Roman"/>
          <w:color w:val="000000" w:themeColor="text1"/>
        </w:rPr>
        <w:t>2009;5(12):847-857.</w:t>
      </w:r>
    </w:p>
    <w:p w14:paraId="75AA3C32"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color w:val="000000" w:themeColor="text1"/>
        </w:rPr>
        <w:t xml:space="preserve">Federal Office of Public Health. Medical statistics of the hospitals: number of cases and average length of stay (DAD) according to age group and diagnosis code. Federal Office of Public Health. </w:t>
      </w:r>
      <w:hyperlink r:id="rId26" w:history="1">
        <w:r w:rsidRPr="00AB43D9">
          <w:rPr>
            <w:rStyle w:val="Hyperlink"/>
            <w:rFonts w:ascii="Times New Roman" w:hAnsi="Times New Roman" w:cs="Times New Roman"/>
            <w:color w:val="000000" w:themeColor="text1"/>
          </w:rPr>
          <w:t>https://www.bfs.admin.ch/bfs/de/home/statistiken/gesundheit/gesundheitswesen/spitaeler/patienten-hospitalisierungen.assetdetail.6406957.html</w:t>
        </w:r>
      </w:hyperlink>
      <w:r w:rsidRPr="00AB43D9">
        <w:rPr>
          <w:rFonts w:ascii="Times New Roman" w:hAnsi="Times New Roman" w:cs="Times New Roman"/>
          <w:color w:val="000000" w:themeColor="text1"/>
        </w:rPr>
        <w:t>. Published 2017. Accessed2020.</w:t>
      </w:r>
    </w:p>
    <w:p w14:paraId="1ED43C22"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color w:val="000000" w:themeColor="text1"/>
        </w:rPr>
        <w:t xml:space="preserve">SwissDRGOnline Grouper. Individual case grouper. SwissDRGOnline Grouper. </w:t>
      </w:r>
      <w:hyperlink r:id="rId27" w:history="1">
        <w:r w:rsidRPr="00AB43D9">
          <w:rPr>
            <w:rStyle w:val="Hyperlink"/>
            <w:rFonts w:ascii="Times New Roman" w:hAnsi="Times New Roman" w:cs="Times New Roman"/>
            <w:color w:val="000000" w:themeColor="text1"/>
          </w:rPr>
          <w:t>https://grouper.swissdrg.org/swissdrg/single?locale=de</w:t>
        </w:r>
      </w:hyperlink>
      <w:r w:rsidRPr="00AB43D9">
        <w:rPr>
          <w:rFonts w:ascii="Times New Roman" w:hAnsi="Times New Roman" w:cs="Times New Roman"/>
          <w:color w:val="000000" w:themeColor="text1"/>
        </w:rPr>
        <w:t>. Published 2020. Accessed2020.</w:t>
      </w:r>
    </w:p>
    <w:p w14:paraId="4F13A277"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color w:val="000000" w:themeColor="text1"/>
        </w:rPr>
        <w:t xml:space="preserve">Jacobsen SJ, Ackerson BK, Sy LS, et al. Observational safety study of febrile convulsion following first dose MMRV vaccination in a managed care setting. </w:t>
      </w:r>
      <w:r w:rsidRPr="00AB43D9">
        <w:rPr>
          <w:rFonts w:ascii="Times New Roman" w:hAnsi="Times New Roman" w:cs="Times New Roman"/>
          <w:i/>
          <w:color w:val="000000" w:themeColor="text1"/>
        </w:rPr>
        <w:t xml:space="preserve">Vaccine. </w:t>
      </w:r>
      <w:r w:rsidRPr="00AB43D9">
        <w:rPr>
          <w:rFonts w:ascii="Times New Roman" w:hAnsi="Times New Roman" w:cs="Times New Roman"/>
          <w:color w:val="000000" w:themeColor="text1"/>
        </w:rPr>
        <w:t>2009;27(34):4656-4661.</w:t>
      </w:r>
    </w:p>
    <w:p w14:paraId="3F4C9F53"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color w:val="000000" w:themeColor="text1"/>
        </w:rPr>
        <w:t xml:space="preserve">Szucs TD, Kressig RW, Papageorgiou M, et al. Economic evaluation of a vaccine for the prevention of herpes zoster and post-herpetic neuralgia in older adults in Switzerland. </w:t>
      </w:r>
      <w:r w:rsidRPr="00AB43D9">
        <w:rPr>
          <w:rFonts w:ascii="Times New Roman" w:hAnsi="Times New Roman" w:cs="Times New Roman"/>
          <w:i/>
          <w:color w:val="000000" w:themeColor="text1"/>
        </w:rPr>
        <w:t>Hum Vaccin</w:t>
      </w:r>
      <w:r>
        <w:rPr>
          <w:rFonts w:ascii="Times New Roman" w:hAnsi="Times New Roman" w:cs="Times New Roman"/>
          <w:i/>
          <w:color w:val="000000" w:themeColor="text1"/>
        </w:rPr>
        <w:t>e</w:t>
      </w:r>
      <w:r w:rsidRPr="00AB43D9">
        <w:rPr>
          <w:rFonts w:ascii="Times New Roman" w:hAnsi="Times New Roman" w:cs="Times New Roman"/>
          <w:i/>
          <w:color w:val="000000" w:themeColor="text1"/>
        </w:rPr>
        <w:t xml:space="preserve">. </w:t>
      </w:r>
      <w:r w:rsidRPr="00AB43D9">
        <w:rPr>
          <w:rFonts w:ascii="Times New Roman" w:hAnsi="Times New Roman" w:cs="Times New Roman"/>
          <w:color w:val="000000" w:themeColor="text1"/>
        </w:rPr>
        <w:t>2011;7(7):749-756.</w:t>
      </w:r>
    </w:p>
    <w:p w14:paraId="798902CC" w14:textId="77777777" w:rsidR="00A311B9" w:rsidRPr="00AB43D9" w:rsidRDefault="00A311B9" w:rsidP="00A311B9">
      <w:pPr>
        <w:pStyle w:val="ListParagraph"/>
        <w:numPr>
          <w:ilvl w:val="0"/>
          <w:numId w:val="5"/>
        </w:numPr>
        <w:spacing w:before="240" w:line="480" w:lineRule="auto"/>
        <w:rPr>
          <w:rFonts w:ascii="Times New Roman" w:hAnsi="Times New Roman" w:cs="Times New Roman"/>
          <w:noProof/>
          <w:color w:val="000000" w:themeColor="text1"/>
        </w:rPr>
      </w:pPr>
      <w:r w:rsidRPr="00AB43D9">
        <w:rPr>
          <w:rFonts w:ascii="Times New Roman" w:hAnsi="Times New Roman" w:cs="Times New Roman"/>
          <w:noProof/>
          <w:color w:val="000000" w:themeColor="text1"/>
        </w:rPr>
        <w:t xml:space="preserve">Brisson M, Edmunds WJ. Varicella vaccination in England and Wales: cost-utility analysis. </w:t>
      </w:r>
      <w:r w:rsidRPr="00AB43D9">
        <w:rPr>
          <w:rFonts w:ascii="Times New Roman" w:hAnsi="Times New Roman" w:cs="Times New Roman"/>
          <w:i/>
          <w:noProof/>
          <w:color w:val="000000" w:themeColor="text1"/>
        </w:rPr>
        <w:t xml:space="preserve">Arch Dis Child. </w:t>
      </w:r>
      <w:r w:rsidRPr="00AB43D9">
        <w:rPr>
          <w:rFonts w:ascii="Times New Roman" w:hAnsi="Times New Roman" w:cs="Times New Roman"/>
          <w:noProof/>
          <w:color w:val="000000" w:themeColor="text1"/>
        </w:rPr>
        <w:t>2003;88(10):862-869.</w:t>
      </w:r>
    </w:p>
    <w:p w14:paraId="183D4F89" w14:textId="77777777" w:rsidR="00A311B9" w:rsidRPr="00AB43D9" w:rsidRDefault="00A311B9" w:rsidP="00A311B9">
      <w:pPr>
        <w:pStyle w:val="ListParagraph"/>
        <w:numPr>
          <w:ilvl w:val="0"/>
          <w:numId w:val="5"/>
        </w:numPr>
        <w:spacing w:before="240" w:line="480" w:lineRule="auto"/>
        <w:contextualSpacing w:val="0"/>
        <w:rPr>
          <w:rFonts w:ascii="Times New Roman" w:hAnsi="Times New Roman" w:cs="Times New Roman"/>
          <w:color w:val="000000" w:themeColor="text1"/>
          <w:lang w:val="fr-CH"/>
        </w:rPr>
      </w:pPr>
      <w:r w:rsidRPr="00AB43D9">
        <w:rPr>
          <w:rFonts w:ascii="Times New Roman" w:hAnsi="Times New Roman" w:cs="Times New Roman"/>
          <w:color w:val="000000" w:themeColor="text1"/>
        </w:rPr>
        <w:t xml:space="preserve">Aebi C, Fischer K, Gorgievski M, Matter L, Muhlemann K. Age-specific seroprevalence to varicella-zoster virus: study in Swiss children and analysis of European data. </w:t>
      </w:r>
      <w:r w:rsidRPr="00AB43D9">
        <w:rPr>
          <w:rFonts w:ascii="Times New Roman" w:hAnsi="Times New Roman" w:cs="Times New Roman"/>
          <w:i/>
          <w:iCs/>
        </w:rPr>
        <w:t>Vaccine</w:t>
      </w:r>
      <w:r w:rsidRPr="00AB43D9">
        <w:rPr>
          <w:rFonts w:ascii="Times New Roman" w:hAnsi="Times New Roman" w:cs="Times New Roman"/>
        </w:rPr>
        <w:t>. 2001;19(23-24):3097-3103.</w:t>
      </w:r>
    </w:p>
    <w:p w14:paraId="03210554"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rPr>
        <w:lastRenderedPageBreak/>
        <w:t>Bollaerts K, Riera-Montes M, Heininger U, et al.</w:t>
      </w:r>
      <w:r w:rsidRPr="00AB43D9">
        <w:rPr>
          <w:rFonts w:ascii="Times New Roman" w:hAnsi="Times New Roman" w:cs="Times New Roman"/>
          <w:color w:val="000000" w:themeColor="text1"/>
          <w:shd w:val="clear" w:color="auto" w:fill="E6E6E6"/>
          <w:lang w:val="fr-CH"/>
        </w:rPr>
        <w:t xml:space="preserve"> </w:t>
      </w:r>
      <w:r w:rsidRPr="00AB43D9">
        <w:rPr>
          <w:rFonts w:ascii="Times New Roman" w:hAnsi="Times New Roman" w:cs="Times New Roman"/>
          <w:color w:val="000000" w:themeColor="text1"/>
        </w:rPr>
        <w:t xml:space="preserve">A systematic review of varicella seroprevalence in European countries before universal childhood immunization: deriving incidence from seroprevalence data. </w:t>
      </w:r>
      <w:r w:rsidRPr="00AB43D9">
        <w:rPr>
          <w:rFonts w:ascii="Times New Roman" w:hAnsi="Times New Roman" w:cs="Times New Roman"/>
          <w:i/>
          <w:color w:val="000000" w:themeColor="text1"/>
        </w:rPr>
        <w:t xml:space="preserve">Epidemiol Infect. </w:t>
      </w:r>
      <w:r w:rsidRPr="00AB43D9">
        <w:rPr>
          <w:rFonts w:ascii="Times New Roman" w:hAnsi="Times New Roman" w:cs="Times New Roman"/>
          <w:color w:val="000000" w:themeColor="text1"/>
        </w:rPr>
        <w:t>2017;145(13):2666-2677.</w:t>
      </w:r>
    </w:p>
    <w:p w14:paraId="24D610BA"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lang w:val="fr-CH"/>
        </w:rPr>
      </w:pPr>
      <w:r w:rsidRPr="00AB43D9">
        <w:rPr>
          <w:rFonts w:ascii="Times New Roman" w:hAnsi="Times New Roman" w:cs="Times New Roman"/>
          <w:color w:val="000000" w:themeColor="text1"/>
          <w:lang w:val="de-CH"/>
        </w:rPr>
        <w:t xml:space="preserve">Heininger U, Desgrandchamps D, Schaad UB. </w:t>
      </w:r>
      <w:r w:rsidRPr="00AB43D9">
        <w:rPr>
          <w:rFonts w:ascii="Times New Roman" w:hAnsi="Times New Roman" w:cs="Times New Roman"/>
          <w:color w:val="000000" w:themeColor="text1"/>
        </w:rPr>
        <w:t xml:space="preserve">Seroprevalence of Varicella-Zoster virus IgG antibodies in Swiss children during the first 16 months of age. </w:t>
      </w:r>
      <w:r w:rsidRPr="00AB43D9">
        <w:rPr>
          <w:rFonts w:ascii="Times New Roman" w:hAnsi="Times New Roman" w:cs="Times New Roman"/>
          <w:i/>
          <w:iCs/>
        </w:rPr>
        <w:t>Vaccine</w:t>
      </w:r>
      <w:r w:rsidRPr="00AB43D9">
        <w:rPr>
          <w:rFonts w:ascii="Times New Roman" w:hAnsi="Times New Roman" w:cs="Times New Roman"/>
        </w:rPr>
        <w:t>. 2006;24(16):3258-3260.</w:t>
      </w:r>
    </w:p>
    <w:p w14:paraId="434C85AA"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color w:val="000000" w:themeColor="text1"/>
        </w:rPr>
        <w:t>Wolfson LJ, Daniels VJ, Pillsbury M, et al. Cost-effectiveness analysis of universal varicella vaccination in Turkey using a dynamic transmission model. PLoS One. 2019;14(8):e0220921.</w:t>
      </w:r>
    </w:p>
    <w:p w14:paraId="69B0B049" w14:textId="77777777" w:rsidR="00A311B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rPr>
        <w:t>Riera-Montes M, Bollaerts K, Heininger U, et al.</w:t>
      </w:r>
      <w:r w:rsidRPr="00AB43D9">
        <w:rPr>
          <w:rFonts w:ascii="Times New Roman" w:hAnsi="Times New Roman" w:cs="Times New Roman"/>
          <w:color w:val="000000" w:themeColor="text1"/>
          <w:shd w:val="clear" w:color="auto" w:fill="E6E6E6"/>
          <w:lang w:val="fr-CH"/>
        </w:rPr>
        <w:t xml:space="preserve"> </w:t>
      </w:r>
      <w:r w:rsidRPr="00AB43D9">
        <w:rPr>
          <w:rFonts w:ascii="Times New Roman" w:hAnsi="Times New Roman" w:cs="Times New Roman"/>
          <w:color w:val="000000" w:themeColor="text1"/>
        </w:rPr>
        <w:t xml:space="preserve">Estimation of the burden of varicella in Europe before the introduction of universal childhood immunization. </w:t>
      </w:r>
      <w:r w:rsidRPr="00AB43D9">
        <w:rPr>
          <w:rFonts w:ascii="Times New Roman" w:hAnsi="Times New Roman" w:cs="Times New Roman"/>
          <w:i/>
          <w:color w:val="000000" w:themeColor="text1"/>
        </w:rPr>
        <w:t xml:space="preserve">BMC Infect Dis. </w:t>
      </w:r>
      <w:r w:rsidRPr="00AB43D9">
        <w:rPr>
          <w:rFonts w:ascii="Times New Roman" w:hAnsi="Times New Roman" w:cs="Times New Roman"/>
          <w:color w:val="000000" w:themeColor="text1"/>
        </w:rPr>
        <w:t>2017;17(1):353.</w:t>
      </w:r>
    </w:p>
    <w:p w14:paraId="3A67BF14" w14:textId="77777777" w:rsidR="00A311B9" w:rsidRPr="003C1A9C"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rPr>
        <w:t xml:space="preserve">Nelder JA, Mead R. A Simplex Method for Function Minimization. </w:t>
      </w:r>
      <w:r w:rsidRPr="00AB43D9">
        <w:rPr>
          <w:rFonts w:ascii="Times New Roman" w:hAnsi="Times New Roman" w:cs="Times New Roman"/>
          <w:i/>
        </w:rPr>
        <w:t xml:space="preserve">The Computer Journal. </w:t>
      </w:r>
      <w:r w:rsidRPr="00AB43D9">
        <w:rPr>
          <w:rFonts w:ascii="Times New Roman" w:hAnsi="Times New Roman" w:cs="Times New Roman"/>
        </w:rPr>
        <w:t>1965;7(4):308-313.</w:t>
      </w:r>
    </w:p>
    <w:p w14:paraId="391A44F2"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color w:val="000000" w:themeColor="text1"/>
        </w:rPr>
        <w:t xml:space="preserve">Schuette MC, Hethcote HW. Modeling the effects of varicella vaccination programs on the incidence of chickenpox and shingles. </w:t>
      </w:r>
      <w:r w:rsidRPr="00AB43D9">
        <w:rPr>
          <w:rFonts w:ascii="Times New Roman" w:hAnsi="Times New Roman" w:cs="Times New Roman"/>
          <w:i/>
          <w:color w:val="000000" w:themeColor="text1"/>
        </w:rPr>
        <w:t xml:space="preserve">Bull Math Biol. </w:t>
      </w:r>
      <w:r w:rsidRPr="00AB43D9">
        <w:rPr>
          <w:rFonts w:ascii="Times New Roman" w:hAnsi="Times New Roman" w:cs="Times New Roman"/>
          <w:color w:val="000000" w:themeColor="text1"/>
        </w:rPr>
        <w:t>1999;61(6):1031-1064.</w:t>
      </w:r>
    </w:p>
    <w:p w14:paraId="3FD3DA38" w14:textId="77777777" w:rsidR="00A311B9" w:rsidRPr="00AB43D9" w:rsidRDefault="00A311B9" w:rsidP="00A311B9">
      <w:pPr>
        <w:pStyle w:val="EndNoteBibliography"/>
        <w:numPr>
          <w:ilvl w:val="0"/>
          <w:numId w:val="5"/>
        </w:numPr>
        <w:spacing w:before="240" w:line="480" w:lineRule="auto"/>
        <w:rPr>
          <w:rFonts w:ascii="Times New Roman" w:hAnsi="Times New Roman" w:cs="Times New Roman"/>
          <w:color w:val="000000" w:themeColor="text1"/>
        </w:rPr>
      </w:pPr>
      <w:r w:rsidRPr="00AB43D9">
        <w:rPr>
          <w:rFonts w:ascii="Times New Roman" w:hAnsi="Times New Roman" w:cs="Times New Roman"/>
          <w:color w:val="000000" w:themeColor="text1"/>
        </w:rPr>
        <w:t xml:space="preserve">Prem K, Cook AR, Jit M. Projecting social contact matrices in 152 countries using contact surveys and demographic data. </w:t>
      </w:r>
      <w:r w:rsidRPr="00AB43D9">
        <w:rPr>
          <w:rFonts w:ascii="Times New Roman" w:hAnsi="Times New Roman" w:cs="Times New Roman"/>
          <w:i/>
          <w:color w:val="000000" w:themeColor="text1"/>
        </w:rPr>
        <w:t xml:space="preserve">PLoS Comput Biol. </w:t>
      </w:r>
      <w:r w:rsidRPr="00AB43D9">
        <w:rPr>
          <w:rFonts w:ascii="Times New Roman" w:hAnsi="Times New Roman" w:cs="Times New Roman"/>
          <w:color w:val="000000" w:themeColor="text1"/>
        </w:rPr>
        <w:t>2017;13(9):e1005697.</w:t>
      </w:r>
    </w:p>
    <w:p w14:paraId="5845E6CD" w14:textId="77777777" w:rsidR="00D56D60" w:rsidRDefault="00D56D60" w:rsidP="00A311B9">
      <w:pPr>
        <w:spacing w:line="480" w:lineRule="auto"/>
      </w:pPr>
    </w:p>
    <w:p w14:paraId="75738CCB" w14:textId="77777777" w:rsidR="00D56D60" w:rsidRDefault="00D56D60" w:rsidP="00A311B9">
      <w:pPr>
        <w:spacing w:line="480" w:lineRule="auto"/>
      </w:pPr>
    </w:p>
    <w:p w14:paraId="01295D7A" w14:textId="07896EB4" w:rsidR="000B1E28" w:rsidRDefault="00D56D60" w:rsidP="00E10436">
      <w:pPr>
        <w:spacing w:line="480" w:lineRule="auto"/>
      </w:pPr>
      <w:r>
        <w:fldChar w:fldCharType="begin"/>
      </w:r>
      <w:r>
        <w:instrText xml:space="preserve"> ADDIN EN.REFLIST </w:instrText>
      </w:r>
      <w:r>
        <w:fldChar w:fldCharType="end"/>
      </w:r>
    </w:p>
    <w:sectPr w:rsidR="000B1E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76B1" w14:textId="77777777" w:rsidR="00E10436" w:rsidRDefault="00E10436" w:rsidP="004200F4">
      <w:pPr>
        <w:spacing w:before="0" w:after="0" w:line="240" w:lineRule="auto"/>
      </w:pPr>
      <w:r>
        <w:separator/>
      </w:r>
    </w:p>
  </w:endnote>
  <w:endnote w:type="continuationSeparator" w:id="0">
    <w:p w14:paraId="695E16DF" w14:textId="77777777" w:rsidR="00E10436" w:rsidRDefault="00E10436" w:rsidP="004200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0DBF6" w14:textId="77777777" w:rsidR="00E10436" w:rsidRDefault="00E10436" w:rsidP="004200F4">
      <w:pPr>
        <w:spacing w:before="0" w:after="0" w:line="240" w:lineRule="auto"/>
      </w:pPr>
      <w:r>
        <w:separator/>
      </w:r>
    </w:p>
  </w:footnote>
  <w:footnote w:type="continuationSeparator" w:id="0">
    <w:p w14:paraId="31493714" w14:textId="77777777" w:rsidR="00E10436" w:rsidRDefault="00E10436" w:rsidP="004200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15E6"/>
    <w:multiLevelType w:val="hybridMultilevel"/>
    <w:tmpl w:val="FAD46056"/>
    <w:lvl w:ilvl="0" w:tplc="9648BE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00B13"/>
    <w:multiLevelType w:val="hybridMultilevel"/>
    <w:tmpl w:val="21BA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A226E"/>
    <w:multiLevelType w:val="hybridMultilevel"/>
    <w:tmpl w:val="00D66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975F74"/>
    <w:multiLevelType w:val="hybridMultilevel"/>
    <w:tmpl w:val="4D5A0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8467FA"/>
    <w:multiLevelType w:val="hybridMultilevel"/>
    <w:tmpl w:val="A3847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985338"/>
    <w:multiLevelType w:val="hybridMultilevel"/>
    <w:tmpl w:val="C9D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3"/>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MS Mincho&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az2zsdndpafveafesx2va2sra0wswfxa0s&quot;&gt;Des_ms&lt;record-ids&gt;&lt;item&gt;1&lt;/item&gt;&lt;item&gt;2&lt;/item&gt;&lt;item&gt;3&lt;/item&gt;&lt;item&gt;4&lt;/item&gt;&lt;item&gt;5&lt;/item&gt;&lt;item&gt;6&lt;/item&gt;&lt;item&gt;10&lt;/item&gt;&lt;/record-ids&gt;&lt;/item&gt;&lt;/Libraries&gt;"/>
  </w:docVars>
  <w:rsids>
    <w:rsidRoot w:val="00DE5F91"/>
    <w:rsid w:val="000B1E28"/>
    <w:rsid w:val="000D35B1"/>
    <w:rsid w:val="001078E4"/>
    <w:rsid w:val="001924E6"/>
    <w:rsid w:val="001D17A4"/>
    <w:rsid w:val="004200F4"/>
    <w:rsid w:val="004B3816"/>
    <w:rsid w:val="00567648"/>
    <w:rsid w:val="00572149"/>
    <w:rsid w:val="005A2B33"/>
    <w:rsid w:val="006044FA"/>
    <w:rsid w:val="00684E5A"/>
    <w:rsid w:val="00824B77"/>
    <w:rsid w:val="008B769A"/>
    <w:rsid w:val="0093644F"/>
    <w:rsid w:val="00943E4A"/>
    <w:rsid w:val="00952056"/>
    <w:rsid w:val="009B1C3E"/>
    <w:rsid w:val="009F44E5"/>
    <w:rsid w:val="00A311B9"/>
    <w:rsid w:val="00B005F4"/>
    <w:rsid w:val="00B41973"/>
    <w:rsid w:val="00BA146A"/>
    <w:rsid w:val="00BD2E89"/>
    <w:rsid w:val="00C3013D"/>
    <w:rsid w:val="00C82787"/>
    <w:rsid w:val="00D20704"/>
    <w:rsid w:val="00D44E18"/>
    <w:rsid w:val="00D56D60"/>
    <w:rsid w:val="00DE5F91"/>
    <w:rsid w:val="00E104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D3C9F"/>
  <w15:chartTrackingRefBased/>
  <w15:docId w15:val="{CE52A266-FBC6-4B2A-B1EF-D23C1E3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91"/>
    <w:pPr>
      <w:spacing w:before="60" w:after="60" w:line="264" w:lineRule="auto"/>
    </w:pPr>
    <w:rPr>
      <w:rFonts w:ascii="MS Mincho" w:hAnsi="MS Mincho"/>
      <w:lang w:val="en-US"/>
    </w:rPr>
  </w:style>
  <w:style w:type="paragraph" w:styleId="Heading1">
    <w:name w:val="heading 1"/>
    <w:basedOn w:val="Normal"/>
    <w:next w:val="Normal"/>
    <w:link w:val="Heading1Char"/>
    <w:uiPriority w:val="9"/>
    <w:qFormat/>
    <w:rsid w:val="006044FA"/>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6044FA"/>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F91"/>
    <w:pPr>
      <w:spacing w:after="180"/>
    </w:pPr>
    <w:rPr>
      <w:szCs w:val="24"/>
    </w:rPr>
  </w:style>
  <w:style w:type="character" w:customStyle="1" w:styleId="BodyTextChar">
    <w:name w:val="Body Text Char"/>
    <w:basedOn w:val="DefaultParagraphFont"/>
    <w:link w:val="BodyText"/>
    <w:rsid w:val="00DE5F91"/>
    <w:rPr>
      <w:rFonts w:ascii="MS Mincho" w:hAnsi="MS Mincho"/>
      <w:szCs w:val="24"/>
      <w:lang w:val="en-US"/>
    </w:rPr>
  </w:style>
  <w:style w:type="paragraph" w:styleId="Caption">
    <w:name w:val="caption"/>
    <w:aliases w:val="Table Caption"/>
    <w:basedOn w:val="Normal"/>
    <w:next w:val="Normal"/>
    <w:link w:val="CaptionChar"/>
    <w:uiPriority w:val="35"/>
    <w:qFormat/>
    <w:rsid w:val="00DE5F91"/>
    <w:pPr>
      <w:keepNext/>
      <w:spacing w:before="120" w:line="240" w:lineRule="auto"/>
      <w:ind w:left="1008" w:hanging="1008"/>
    </w:pPr>
    <w:rPr>
      <w:rFonts w:eastAsia="Times New Roman" w:cs="Times New Roman"/>
      <w:b/>
      <w:bCs/>
      <w:color w:val="27AAE1"/>
      <w:sz w:val="24"/>
      <w:szCs w:val="24"/>
    </w:rPr>
  </w:style>
  <w:style w:type="table" w:customStyle="1" w:styleId="TableGrid1">
    <w:name w:val="Table Grid1"/>
    <w:basedOn w:val="TableNormal"/>
    <w:next w:val="TableGrid"/>
    <w:uiPriority w:val="59"/>
    <w:rsid w:val="00DE5F91"/>
    <w:pPr>
      <w:spacing w:before="60" w:after="0" w:line="240" w:lineRule="auto"/>
    </w:pPr>
    <w:rPr>
      <w:rFonts w:ascii="MinionPro-Regular" w:eastAsia="MinionPro-Regular" w:hAnsi="MinionPro-Regular" w:cs="MinionPro-Regula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Caption"/>
    <w:link w:val="FigureCaptionChar"/>
    <w:qFormat/>
    <w:rsid w:val="00DE5F91"/>
  </w:style>
  <w:style w:type="character" w:customStyle="1" w:styleId="CaptionChar">
    <w:name w:val="Caption Char"/>
    <w:aliases w:val="Table Caption Char"/>
    <w:basedOn w:val="DefaultParagraphFont"/>
    <w:link w:val="Caption"/>
    <w:uiPriority w:val="35"/>
    <w:rsid w:val="00DE5F91"/>
    <w:rPr>
      <w:rFonts w:ascii="MS Mincho" w:eastAsia="Times New Roman" w:hAnsi="MS Mincho" w:cs="Times New Roman"/>
      <w:b/>
      <w:bCs/>
      <w:color w:val="27AAE1"/>
      <w:sz w:val="24"/>
      <w:szCs w:val="24"/>
      <w:lang w:val="en-US"/>
    </w:rPr>
  </w:style>
  <w:style w:type="character" w:customStyle="1" w:styleId="FigureCaptionChar">
    <w:name w:val="Figure Caption Char"/>
    <w:basedOn w:val="CaptionChar"/>
    <w:link w:val="FigureCaption"/>
    <w:rsid w:val="00DE5F91"/>
    <w:rPr>
      <w:rFonts w:ascii="MS Mincho" w:eastAsia="Times New Roman" w:hAnsi="MS Mincho" w:cs="Times New Roman"/>
      <w:b/>
      <w:bCs/>
      <w:color w:val="27AAE1"/>
      <w:sz w:val="24"/>
      <w:szCs w:val="24"/>
      <w:lang w:val="en-US"/>
    </w:rPr>
  </w:style>
  <w:style w:type="paragraph" w:customStyle="1" w:styleId="TableTextIndented">
    <w:name w:val="Table Text Indented"/>
    <w:basedOn w:val="Normal"/>
    <w:link w:val="TableTextIndentedChar"/>
    <w:qFormat/>
    <w:rsid w:val="00DE5F91"/>
    <w:pPr>
      <w:spacing w:before="40" w:after="40" w:line="240" w:lineRule="auto"/>
      <w:ind w:left="274"/>
    </w:pPr>
    <w:rPr>
      <w:rFonts w:eastAsia="Times New Roman" w:cs="Times New Roman"/>
      <w:sz w:val="18"/>
      <w:szCs w:val="20"/>
    </w:rPr>
  </w:style>
  <w:style w:type="character" w:customStyle="1" w:styleId="TableTextIndentedChar">
    <w:name w:val="Table Text Indented Char"/>
    <w:basedOn w:val="DefaultParagraphFont"/>
    <w:link w:val="TableTextIndented"/>
    <w:rsid w:val="00DE5F91"/>
    <w:rPr>
      <w:rFonts w:ascii="MS Mincho" w:eastAsia="Times New Roman" w:hAnsi="MS Mincho" w:cs="Times New Roman"/>
      <w:sz w:val="18"/>
      <w:szCs w:val="20"/>
      <w:lang w:val="en-US"/>
    </w:rPr>
  </w:style>
  <w:style w:type="paragraph" w:customStyle="1" w:styleId="EndNoteBibliography">
    <w:name w:val="EndNote Bibliography"/>
    <w:basedOn w:val="Normal"/>
    <w:link w:val="EndNoteBibliographyChar"/>
    <w:rsid w:val="00DE5F91"/>
    <w:pPr>
      <w:spacing w:before="0" w:after="0" w:line="240" w:lineRule="auto"/>
    </w:pPr>
    <w:rPr>
      <w:rFonts w:eastAsia="MS Mincho" w:cs="Calibri Light"/>
      <w:noProof/>
      <w:szCs w:val="20"/>
      <w:lang w:eastAsia="ja-JP"/>
    </w:rPr>
  </w:style>
  <w:style w:type="character" w:customStyle="1" w:styleId="EndNoteBibliographyChar">
    <w:name w:val="EndNote Bibliography Char"/>
    <w:basedOn w:val="DefaultParagraphFont"/>
    <w:link w:val="EndNoteBibliography"/>
    <w:rsid w:val="00DE5F91"/>
    <w:rPr>
      <w:rFonts w:ascii="MS Mincho" w:eastAsia="MS Mincho" w:hAnsi="MS Mincho" w:cs="Calibri Light"/>
      <w:noProof/>
      <w:szCs w:val="20"/>
      <w:lang w:val="en-US" w:eastAsia="ja-JP"/>
    </w:rPr>
  </w:style>
  <w:style w:type="table" w:styleId="TableGrid">
    <w:name w:val="Table Grid"/>
    <w:basedOn w:val="TableNormal"/>
    <w:uiPriority w:val="39"/>
    <w:rsid w:val="00DE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14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149"/>
    <w:rPr>
      <w:rFonts w:ascii="Segoe UI" w:hAnsi="Segoe UI" w:cs="Segoe UI"/>
      <w:sz w:val="18"/>
      <w:szCs w:val="18"/>
      <w:lang w:val="en-US"/>
    </w:rPr>
  </w:style>
  <w:style w:type="paragraph" w:customStyle="1" w:styleId="TableFootnotesAbbreviations">
    <w:name w:val="Table Footnotes/Abbreviations"/>
    <w:basedOn w:val="BodyText"/>
    <w:link w:val="TableFootnotesAbbreviationsChar"/>
    <w:qFormat/>
    <w:rsid w:val="00572149"/>
    <w:pPr>
      <w:spacing w:after="0" w:line="240" w:lineRule="auto"/>
    </w:pPr>
    <w:rPr>
      <w:rFonts w:eastAsia="Times New Roman" w:cs="Times New Roman"/>
      <w:sz w:val="18"/>
      <w:szCs w:val="20"/>
    </w:rPr>
  </w:style>
  <w:style w:type="character" w:customStyle="1" w:styleId="TableFootnotesAbbreviationsChar">
    <w:name w:val="Table Footnotes/Abbreviations Char"/>
    <w:basedOn w:val="BodyTextChar"/>
    <w:link w:val="TableFootnotesAbbreviations"/>
    <w:rsid w:val="00572149"/>
    <w:rPr>
      <w:rFonts w:ascii="MS Mincho" w:eastAsia="Times New Roman" w:hAnsi="MS Mincho" w:cs="Times New Roman"/>
      <w:sz w:val="18"/>
      <w:szCs w:val="20"/>
      <w:lang w:val="en-US"/>
    </w:rPr>
  </w:style>
  <w:style w:type="character" w:styleId="CommentReference">
    <w:name w:val="annotation reference"/>
    <w:basedOn w:val="DefaultParagraphFont"/>
    <w:uiPriority w:val="99"/>
    <w:unhideWhenUsed/>
    <w:rsid w:val="00572149"/>
    <w:rPr>
      <w:sz w:val="16"/>
      <w:szCs w:val="16"/>
    </w:rPr>
  </w:style>
  <w:style w:type="paragraph" w:styleId="CommentText">
    <w:name w:val="annotation text"/>
    <w:basedOn w:val="Normal"/>
    <w:link w:val="CommentTextChar"/>
    <w:uiPriority w:val="99"/>
    <w:semiHidden/>
    <w:unhideWhenUsed/>
    <w:rsid w:val="00D44E18"/>
    <w:pPr>
      <w:spacing w:line="240" w:lineRule="auto"/>
    </w:pPr>
    <w:rPr>
      <w:sz w:val="20"/>
      <w:szCs w:val="20"/>
    </w:rPr>
  </w:style>
  <w:style w:type="character" w:customStyle="1" w:styleId="CommentTextChar">
    <w:name w:val="Comment Text Char"/>
    <w:basedOn w:val="DefaultParagraphFont"/>
    <w:link w:val="CommentText"/>
    <w:uiPriority w:val="99"/>
    <w:semiHidden/>
    <w:rsid w:val="00D44E18"/>
    <w:rPr>
      <w:rFonts w:ascii="MS Mincho" w:hAnsi="MS Mincho"/>
      <w:sz w:val="20"/>
      <w:szCs w:val="20"/>
      <w:lang w:val="en-US"/>
    </w:rPr>
  </w:style>
  <w:style w:type="table" w:customStyle="1" w:styleId="TableGridLight2">
    <w:name w:val="Table Grid Light2"/>
    <w:basedOn w:val="TableNormal"/>
    <w:uiPriority w:val="40"/>
    <w:rsid w:val="00C3013D"/>
    <w:pPr>
      <w:spacing w:before="60" w:after="0" w:line="240" w:lineRule="auto"/>
    </w:pPr>
    <w:rPr>
      <w:rFonts w:ascii="MS Mincho" w:hAnsi="MS Mincho"/>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viera-2018">
    <w:name w:val="Eviera - 2018"/>
    <w:basedOn w:val="TableNormal"/>
    <w:uiPriority w:val="99"/>
    <w:qFormat/>
    <w:rsid w:val="00C3013D"/>
    <w:pPr>
      <w:spacing w:before="40" w:after="40" w:line="240" w:lineRule="auto"/>
    </w:pPr>
    <w:rPr>
      <w:rFonts w:ascii="MS Mincho" w:hAnsi="MS Mincho"/>
      <w:sz w:val="18"/>
      <w:lang w:val="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Calibri Light" w:hAnsi="Calibri Light"/>
        <w:b/>
        <w:color w:val="FFFFFF" w:themeColor="background1"/>
        <w:sz w:val="18"/>
      </w:rPr>
      <w:tbl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paragraph" w:styleId="CommentSubject">
    <w:name w:val="annotation subject"/>
    <w:basedOn w:val="CommentText"/>
    <w:next w:val="CommentText"/>
    <w:link w:val="CommentSubjectChar"/>
    <w:uiPriority w:val="99"/>
    <w:semiHidden/>
    <w:unhideWhenUsed/>
    <w:rsid w:val="001D17A4"/>
    <w:rPr>
      <w:b/>
      <w:bCs/>
    </w:rPr>
  </w:style>
  <w:style w:type="character" w:customStyle="1" w:styleId="CommentSubjectChar">
    <w:name w:val="Comment Subject Char"/>
    <w:basedOn w:val="CommentTextChar"/>
    <w:link w:val="CommentSubject"/>
    <w:uiPriority w:val="99"/>
    <w:semiHidden/>
    <w:rsid w:val="001D17A4"/>
    <w:rPr>
      <w:rFonts w:ascii="MS Mincho" w:hAnsi="MS Mincho"/>
      <w:b/>
      <w:bCs/>
      <w:sz w:val="20"/>
      <w:szCs w:val="20"/>
      <w:lang w:val="en-US"/>
    </w:rPr>
  </w:style>
  <w:style w:type="paragraph" w:styleId="Header">
    <w:name w:val="header"/>
    <w:basedOn w:val="Normal"/>
    <w:link w:val="HeaderChar"/>
    <w:uiPriority w:val="99"/>
    <w:unhideWhenUsed/>
    <w:rsid w:val="004200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200F4"/>
    <w:rPr>
      <w:rFonts w:ascii="MS Mincho" w:hAnsi="MS Mincho"/>
      <w:lang w:val="en-US"/>
    </w:rPr>
  </w:style>
  <w:style w:type="paragraph" w:styleId="Footer">
    <w:name w:val="footer"/>
    <w:basedOn w:val="Normal"/>
    <w:link w:val="FooterChar"/>
    <w:uiPriority w:val="99"/>
    <w:unhideWhenUsed/>
    <w:rsid w:val="004200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200F4"/>
    <w:rPr>
      <w:rFonts w:ascii="MS Mincho" w:hAnsi="MS Mincho"/>
      <w:lang w:val="en-US"/>
    </w:rPr>
  </w:style>
  <w:style w:type="character" w:customStyle="1" w:styleId="Heading1Char">
    <w:name w:val="Heading 1 Char"/>
    <w:basedOn w:val="DefaultParagraphFont"/>
    <w:link w:val="Heading1"/>
    <w:uiPriority w:val="9"/>
    <w:rsid w:val="006044FA"/>
    <w:rPr>
      <w:rFonts w:ascii="Times New Roman" w:eastAsiaTheme="majorEastAsia" w:hAnsi="Times New Roman" w:cstheme="majorBidi"/>
      <w:b/>
      <w:sz w:val="32"/>
      <w:szCs w:val="32"/>
      <w:lang w:val="en-US"/>
    </w:rPr>
  </w:style>
  <w:style w:type="character" w:customStyle="1" w:styleId="Heading2Char">
    <w:name w:val="Heading 2 Char"/>
    <w:basedOn w:val="DefaultParagraphFont"/>
    <w:link w:val="Heading2"/>
    <w:uiPriority w:val="9"/>
    <w:rsid w:val="006044FA"/>
    <w:rPr>
      <w:rFonts w:ascii="Times New Roman" w:eastAsiaTheme="majorEastAsia" w:hAnsi="Times New Roman" w:cstheme="majorBidi"/>
      <w:b/>
      <w:sz w:val="24"/>
      <w:szCs w:val="26"/>
      <w:lang w:val="en-US"/>
    </w:rPr>
  </w:style>
  <w:style w:type="paragraph" w:styleId="TOCHeading">
    <w:name w:val="TOC Heading"/>
    <w:basedOn w:val="Heading1"/>
    <w:next w:val="Normal"/>
    <w:uiPriority w:val="39"/>
    <w:unhideWhenUsed/>
    <w:qFormat/>
    <w:rsid w:val="00B41973"/>
    <w:pPr>
      <w:spacing w:line="259" w:lineRule="auto"/>
      <w:outlineLvl w:val="9"/>
    </w:pPr>
  </w:style>
  <w:style w:type="paragraph" w:styleId="TOC1">
    <w:name w:val="toc 1"/>
    <w:basedOn w:val="Normal"/>
    <w:next w:val="Normal"/>
    <w:autoRedefine/>
    <w:uiPriority w:val="39"/>
    <w:unhideWhenUsed/>
    <w:rsid w:val="006044FA"/>
    <w:pPr>
      <w:spacing w:after="100"/>
    </w:pPr>
    <w:rPr>
      <w:rFonts w:ascii="Times New Roman" w:hAnsi="Times New Roman"/>
      <w:sz w:val="24"/>
    </w:rPr>
  </w:style>
  <w:style w:type="paragraph" w:styleId="TOC2">
    <w:name w:val="toc 2"/>
    <w:basedOn w:val="Normal"/>
    <w:next w:val="Normal"/>
    <w:autoRedefine/>
    <w:uiPriority w:val="39"/>
    <w:unhideWhenUsed/>
    <w:rsid w:val="00B41973"/>
    <w:pPr>
      <w:spacing w:after="100"/>
      <w:ind w:left="220"/>
    </w:pPr>
  </w:style>
  <w:style w:type="character" w:styleId="Hyperlink">
    <w:name w:val="Hyperlink"/>
    <w:basedOn w:val="DefaultParagraphFont"/>
    <w:uiPriority w:val="99"/>
    <w:unhideWhenUsed/>
    <w:rsid w:val="00B41973"/>
    <w:rPr>
      <w:color w:val="0563C1" w:themeColor="hyperlink"/>
      <w:u w:val="single"/>
    </w:rPr>
  </w:style>
  <w:style w:type="paragraph" w:customStyle="1" w:styleId="EndNoteBibliographyTitle">
    <w:name w:val="EndNote Bibliography Title"/>
    <w:basedOn w:val="Normal"/>
    <w:link w:val="EndNoteBibliographyTitleChar"/>
    <w:rsid w:val="00D56D60"/>
    <w:pPr>
      <w:spacing w:after="0"/>
      <w:jc w:val="center"/>
    </w:pPr>
    <w:rPr>
      <w:rFonts w:eastAsia="MS Mincho"/>
      <w:noProof/>
    </w:rPr>
  </w:style>
  <w:style w:type="character" w:customStyle="1" w:styleId="EndNoteBibliographyTitleChar">
    <w:name w:val="EndNote Bibliography Title Char"/>
    <w:basedOn w:val="BodyTextChar"/>
    <w:link w:val="EndNoteBibliographyTitle"/>
    <w:rsid w:val="00D56D60"/>
    <w:rPr>
      <w:rFonts w:ascii="MS Mincho" w:eastAsia="MS Mincho" w:hAnsi="MS Mincho"/>
      <w:noProof/>
      <w:szCs w:val="24"/>
      <w:lang w:val="en-US"/>
    </w:rPr>
  </w:style>
  <w:style w:type="character" w:styleId="UnresolvedMention">
    <w:name w:val="Unresolved Mention"/>
    <w:basedOn w:val="DefaultParagraphFont"/>
    <w:uiPriority w:val="99"/>
    <w:semiHidden/>
    <w:unhideWhenUsed/>
    <w:rsid w:val="00D56D60"/>
    <w:rPr>
      <w:color w:val="605E5C"/>
      <w:shd w:val="clear" w:color="auto" w:fill="E1DFDD"/>
    </w:rPr>
  </w:style>
  <w:style w:type="paragraph" w:styleId="ListParagraph">
    <w:name w:val="List Paragraph"/>
    <w:basedOn w:val="Normal"/>
    <w:uiPriority w:val="34"/>
    <w:qFormat/>
    <w:rsid w:val="00A31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bfs.admin.ch/bfs/de/home/statistiken/gesundheit/gesundheitswesen/spitaeler/patienten-hospitalisierungen.assetdetail.6406957.html"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grouper.swissdrg.org/swissdrg/single?local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5C8DD1CD45F4F94C7BAEB0C1963D0" ma:contentTypeVersion="4" ma:contentTypeDescription="Create a new document." ma:contentTypeScope="" ma:versionID="94dd6d9edc049c16741ec8f8195007ea">
  <xsd:schema xmlns:xsd="http://www.w3.org/2001/XMLSchema" xmlns:xs="http://www.w3.org/2001/XMLSchema" xmlns:p="http://schemas.microsoft.com/office/2006/metadata/properties" xmlns:ns2="75936839-fed4-463f-95fe-1b7fdff4869c" targetNamespace="http://schemas.microsoft.com/office/2006/metadata/properties" ma:root="true" ma:fieldsID="dd6631a0418ae9c24d89cd154e6e7a4f" ns2:_="">
    <xsd:import namespace="75936839-fed4-463f-95fe-1b7fdff48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36839-fed4-463f-95fe-1b7fdff4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5CCE-B8A5-4E5A-B646-D1D990B0C407}">
  <ds:schemaRefs>
    <ds:schemaRef ds:uri="http://schemas.microsoft.com/sharepoint/v3/contenttype/forms"/>
  </ds:schemaRefs>
</ds:datastoreItem>
</file>

<file path=customXml/itemProps2.xml><?xml version="1.0" encoding="utf-8"?>
<ds:datastoreItem xmlns:ds="http://schemas.openxmlformats.org/officeDocument/2006/customXml" ds:itemID="{354C1C7B-49A9-47AF-A258-06FA0D589C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36356-C593-47EE-B441-E7F3FE4E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36839-fed4-463f-95fe-1b7fdff4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F0872-58E9-4962-A7CF-3149EE7D28E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921F948-A7B7-4839-96BA-DA4ABFF1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Dillon-Murphy</dc:creator>
  <cp:keywords/>
  <dc:description/>
  <cp:lastModifiedBy>Samant, Salome</cp:lastModifiedBy>
  <cp:revision>3</cp:revision>
  <dcterms:created xsi:type="dcterms:W3CDTF">2021-03-04T18:21:00Z</dcterms:created>
  <dcterms:modified xsi:type="dcterms:W3CDTF">2021-03-05T13:44:00Z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0x0101005E25C8DD1CD45F4F94C7BAEB0C1963D0</vt:lpwstr>
  </property>
  <property fmtid="{D5CDD505-2E9C-101B-9397-08002B2CF9AE}" pid="3" name="docIndexRef">
    <vt:lpwstr>a0782cda-d880-4256-8f39-8050cb65498b</vt:lpwstr>
  </property>
  <property fmtid="{D5CDD505-2E9C-101B-9397-08002B2CF9AE}" pid="4" name="bjSaver">
    <vt:lpwstr>65Bdrt4ceijrx9jPQnfjNrU8fNNiSIZd</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y fmtid="{D5CDD505-2E9C-101B-9397-08002B2CF9AE}" pid="8" name="_AdHocReviewCycleID">
    <vt:i4>-65070268</vt:i4>
  </property>
  <property fmtid="{D5CDD505-2E9C-101B-9397-08002B2CF9AE}" pid="9" name="_NewReviewCycle">
    <vt:lpwstr/>
  </property>
  <property fmtid="{D5CDD505-2E9C-101B-9397-08002B2CF9AE}" pid="10" name="_EmailSubject">
    <vt:lpwstr>Congratulations PIDJ-220-1501R1!</vt:lpwstr>
  </property>
  <property fmtid="{D5CDD505-2E9C-101B-9397-08002B2CF9AE}" pid="11" name="_AuthorEmail">
    <vt:lpwstr>salome.samant@merck.com</vt:lpwstr>
  </property>
  <property fmtid="{D5CDD505-2E9C-101B-9397-08002B2CF9AE}" pid="12" name="_AuthorEmailDisplayName">
    <vt:lpwstr>Samant, Salome</vt:lpwstr>
  </property>
  <property fmtid="{D5CDD505-2E9C-101B-9397-08002B2CF9AE}" pid="13" name="_PreviousAdHocReviewCycleID">
    <vt:i4>-1754629750</vt:i4>
  </property>
</Properties>
</file>