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8665" w14:textId="17FF7AAC" w:rsidR="000A2CD9" w:rsidRPr="000A2CD9" w:rsidRDefault="000A2CD9" w:rsidP="000A2CD9">
      <w:pPr>
        <w:pStyle w:val="Heading1"/>
        <w:spacing w:before="59" w:line="242" w:lineRule="auto"/>
        <w:ind w:left="0" w:right="864"/>
        <w:rPr>
          <w:rFonts w:ascii="Times New Roman" w:hAnsi="Times New Roman" w:cs="Times New Roman"/>
          <w:sz w:val="24"/>
          <w:szCs w:val="24"/>
        </w:rPr>
      </w:pPr>
      <w:r w:rsidRPr="000A2CD9">
        <w:rPr>
          <w:rFonts w:ascii="Times New Roman" w:hAnsi="Times New Roman" w:cs="Times New Roman"/>
          <w:sz w:val="24"/>
          <w:szCs w:val="24"/>
        </w:rPr>
        <w:t xml:space="preserve">Supplemental Digital Content </w:t>
      </w:r>
      <w:r w:rsidR="00271190">
        <w:rPr>
          <w:rFonts w:ascii="Times New Roman" w:hAnsi="Times New Roman" w:cs="Times New Roman"/>
          <w:sz w:val="24"/>
          <w:szCs w:val="24"/>
        </w:rPr>
        <w:t>4</w:t>
      </w:r>
      <w:r w:rsidRPr="000A2CD9">
        <w:rPr>
          <w:rFonts w:ascii="Times New Roman" w:hAnsi="Times New Roman" w:cs="Times New Roman"/>
          <w:sz w:val="24"/>
          <w:szCs w:val="24"/>
        </w:rPr>
        <w:t xml:space="preserve">. </w:t>
      </w:r>
      <w:r w:rsidRPr="000A2CD9">
        <w:rPr>
          <w:rFonts w:ascii="Times New Roman" w:hAnsi="Times New Roman" w:cs="Times New Roman"/>
          <w:b w:val="0"/>
          <w:bCs w:val="0"/>
          <w:sz w:val="24"/>
          <w:szCs w:val="24"/>
        </w:rPr>
        <w:t>Non-inferiority of the geometric mean concentrations of antibodies against pertussis antigens 28 days after Tdap administration in the concomitant and sequential groups in baseline dengue seropositive participants - FAS</w:t>
      </w:r>
    </w:p>
    <w:tbl>
      <w:tblPr>
        <w:tblpPr w:leftFromText="180" w:rightFromText="180" w:vertAnchor="text" w:horzAnchor="page" w:tblpX="1931" w:tblpY="198"/>
        <w:tblW w:w="13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721"/>
        <w:gridCol w:w="705"/>
        <w:gridCol w:w="993"/>
        <w:gridCol w:w="560"/>
        <w:gridCol w:w="848"/>
        <w:gridCol w:w="1281"/>
        <w:gridCol w:w="1280"/>
        <w:gridCol w:w="1553"/>
        <w:gridCol w:w="2562"/>
      </w:tblGrid>
      <w:tr w:rsidR="000A2CD9" w:rsidRPr="000A2CD9" w14:paraId="35F36EFD" w14:textId="77777777" w:rsidTr="000A2CD9">
        <w:trPr>
          <w:trHeight w:val="604"/>
        </w:trPr>
        <w:tc>
          <w:tcPr>
            <w:tcW w:w="2834" w:type="dxa"/>
          </w:tcPr>
          <w:p w14:paraId="53F53639" w14:textId="77777777" w:rsidR="000A2CD9" w:rsidRPr="000A2CD9" w:rsidRDefault="000A2CD9" w:rsidP="000A2CD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14:paraId="012E1283" w14:textId="77777777" w:rsidR="000A2CD9" w:rsidRPr="000A2CD9" w:rsidRDefault="000A2CD9" w:rsidP="000A2CD9">
            <w:pPr>
              <w:pStyle w:val="TableParagraph"/>
              <w:spacing w:before="39" w:line="228" w:lineRule="auto"/>
              <w:ind w:hanging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Concomitant (N=338)</w:t>
            </w:r>
          </w:p>
        </w:tc>
        <w:tc>
          <w:tcPr>
            <w:tcW w:w="2689" w:type="dxa"/>
            <w:gridSpan w:val="3"/>
          </w:tcPr>
          <w:p w14:paraId="5F88CAFC" w14:textId="77777777" w:rsidR="000A2CD9" w:rsidRPr="000A2CD9" w:rsidRDefault="000A2CD9" w:rsidP="000A2CD9">
            <w:pPr>
              <w:pStyle w:val="TableParagraph"/>
              <w:spacing w:before="39" w:line="228" w:lineRule="auto"/>
              <w:ind w:right="152" w:hanging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Sequential (N=342)</w:t>
            </w:r>
          </w:p>
        </w:tc>
        <w:tc>
          <w:tcPr>
            <w:tcW w:w="5395" w:type="dxa"/>
            <w:gridSpan w:val="3"/>
          </w:tcPr>
          <w:p w14:paraId="1DE00383" w14:textId="77777777" w:rsidR="000A2CD9" w:rsidRPr="000A2CD9" w:rsidRDefault="000A2CD9" w:rsidP="000A2CD9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Concomitant / Sequential</w:t>
            </w:r>
          </w:p>
        </w:tc>
      </w:tr>
      <w:tr w:rsidR="000A2CD9" w:rsidRPr="000A2CD9" w14:paraId="2BAA487E" w14:textId="77777777" w:rsidTr="000A2CD9">
        <w:trPr>
          <w:trHeight w:val="348"/>
        </w:trPr>
        <w:tc>
          <w:tcPr>
            <w:tcW w:w="2834" w:type="dxa"/>
          </w:tcPr>
          <w:p w14:paraId="56F5B4CE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721" w:type="dxa"/>
          </w:tcPr>
          <w:p w14:paraId="2B2614F5" w14:textId="77777777" w:rsidR="000A2CD9" w:rsidRPr="000A2CD9" w:rsidRDefault="000A2CD9" w:rsidP="000A2CD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M</w:t>
            </w:r>
          </w:p>
        </w:tc>
        <w:tc>
          <w:tcPr>
            <w:tcW w:w="705" w:type="dxa"/>
          </w:tcPr>
          <w:p w14:paraId="6EFED7D6" w14:textId="77777777" w:rsidR="000A2CD9" w:rsidRPr="000A2CD9" w:rsidRDefault="000A2CD9" w:rsidP="000A2CD9">
            <w:pPr>
              <w:pStyle w:val="TableParagraph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GMC</w:t>
            </w:r>
          </w:p>
        </w:tc>
        <w:tc>
          <w:tcPr>
            <w:tcW w:w="993" w:type="dxa"/>
          </w:tcPr>
          <w:p w14:paraId="41AB2EF8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560" w:type="dxa"/>
          </w:tcPr>
          <w:p w14:paraId="5F35AE3E" w14:textId="77777777" w:rsidR="000A2CD9" w:rsidRPr="000A2CD9" w:rsidRDefault="000A2CD9" w:rsidP="000A2CD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M</w:t>
            </w:r>
          </w:p>
        </w:tc>
        <w:tc>
          <w:tcPr>
            <w:tcW w:w="848" w:type="dxa"/>
          </w:tcPr>
          <w:p w14:paraId="296A6BAC" w14:textId="77777777" w:rsidR="000A2CD9" w:rsidRPr="000A2CD9" w:rsidRDefault="000A2CD9" w:rsidP="000A2CD9">
            <w:pPr>
              <w:pStyle w:val="TableParagraph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GMC</w:t>
            </w:r>
          </w:p>
        </w:tc>
        <w:tc>
          <w:tcPr>
            <w:tcW w:w="1281" w:type="dxa"/>
          </w:tcPr>
          <w:p w14:paraId="72B17594" w14:textId="77777777" w:rsidR="000A2CD9" w:rsidRPr="000A2CD9" w:rsidRDefault="000A2CD9" w:rsidP="000A2CD9">
            <w:pPr>
              <w:pStyle w:val="TableParagraph"/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280" w:type="dxa"/>
          </w:tcPr>
          <w:p w14:paraId="1CF8B5A4" w14:textId="77777777" w:rsidR="000A2CD9" w:rsidRPr="000A2CD9" w:rsidRDefault="000A2CD9" w:rsidP="000A2CD9">
            <w:pPr>
              <w:pStyle w:val="TableParagraph"/>
              <w:ind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GMC ratio</w:t>
            </w:r>
          </w:p>
        </w:tc>
        <w:tc>
          <w:tcPr>
            <w:tcW w:w="1553" w:type="dxa"/>
          </w:tcPr>
          <w:p w14:paraId="0C5D0642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2562" w:type="dxa"/>
          </w:tcPr>
          <w:p w14:paraId="67C5D5DC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</w:rPr>
              <w:t>Overall non-inferiority</w:t>
            </w:r>
          </w:p>
        </w:tc>
      </w:tr>
      <w:tr w:rsidR="000A2CD9" w:rsidRPr="000A2CD9" w14:paraId="0EC7C9BC" w14:textId="77777777" w:rsidTr="000A2CD9">
        <w:trPr>
          <w:trHeight w:val="348"/>
        </w:trPr>
        <w:tc>
          <w:tcPr>
            <w:tcW w:w="2834" w:type="dxa"/>
          </w:tcPr>
          <w:p w14:paraId="3EABCF02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Anti-PT (ELISA - EU/</w:t>
            </w:r>
            <w:proofErr w:type="spellStart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mL</w:t>
            </w:r>
            <w:proofErr w:type="spellEnd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)</w:t>
            </w:r>
          </w:p>
        </w:tc>
        <w:tc>
          <w:tcPr>
            <w:tcW w:w="721" w:type="dxa"/>
          </w:tcPr>
          <w:p w14:paraId="60315345" w14:textId="77777777" w:rsidR="000A2CD9" w:rsidRPr="000A2CD9" w:rsidRDefault="000A2CD9" w:rsidP="000A2CD9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5" w:type="dxa"/>
          </w:tcPr>
          <w:p w14:paraId="5F546C36" w14:textId="77777777" w:rsidR="000A2CD9" w:rsidRPr="000A2CD9" w:rsidRDefault="000A2CD9" w:rsidP="000A2CD9">
            <w:pPr>
              <w:pStyle w:val="TableParagraph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44C82DE8" w14:textId="77777777" w:rsidR="000A2CD9" w:rsidRPr="000A2CD9" w:rsidRDefault="000A2CD9" w:rsidP="000A2CD9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57.5 73.5</w:t>
            </w:r>
          </w:p>
        </w:tc>
        <w:tc>
          <w:tcPr>
            <w:tcW w:w="560" w:type="dxa"/>
          </w:tcPr>
          <w:p w14:paraId="4E95F266" w14:textId="77777777" w:rsidR="000A2CD9" w:rsidRPr="000A2CD9" w:rsidRDefault="000A2CD9" w:rsidP="000A2CD9">
            <w:pPr>
              <w:pStyle w:val="TableParagraph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48" w:type="dxa"/>
          </w:tcPr>
          <w:p w14:paraId="69811A14" w14:textId="77777777" w:rsidR="000A2CD9" w:rsidRPr="000A2CD9" w:rsidRDefault="000A2CD9" w:rsidP="000A2CD9">
            <w:pPr>
              <w:pStyle w:val="TableParagraph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281" w:type="dxa"/>
          </w:tcPr>
          <w:p w14:paraId="18D2681B" w14:textId="77777777" w:rsidR="000A2CD9" w:rsidRPr="000A2CD9" w:rsidRDefault="000A2CD9" w:rsidP="000A2CD9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68.1, 85.2</w:t>
            </w:r>
          </w:p>
        </w:tc>
        <w:tc>
          <w:tcPr>
            <w:tcW w:w="1280" w:type="dxa"/>
          </w:tcPr>
          <w:p w14:paraId="5AF08A6E" w14:textId="77777777" w:rsidR="000A2CD9" w:rsidRPr="000A2CD9" w:rsidRDefault="000A2CD9" w:rsidP="000A2CD9">
            <w:pPr>
              <w:pStyle w:val="TableParagraph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1553" w:type="dxa"/>
          </w:tcPr>
          <w:p w14:paraId="58FB87C2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0.719, 0.992</w:t>
            </w:r>
          </w:p>
        </w:tc>
        <w:tc>
          <w:tcPr>
            <w:tcW w:w="2562" w:type="dxa"/>
            <w:vMerge w:val="restart"/>
          </w:tcPr>
          <w:p w14:paraId="44940999" w14:textId="77777777" w:rsidR="000A2CD9" w:rsidRPr="000A2CD9" w:rsidRDefault="000A2CD9" w:rsidP="000A2CD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1108A" w14:textId="77777777" w:rsidR="000A2CD9" w:rsidRPr="000A2CD9" w:rsidRDefault="000A2CD9" w:rsidP="000A2CD9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475CC" w14:textId="77777777" w:rsidR="000A2CD9" w:rsidRPr="000A2CD9" w:rsidRDefault="000A2CD9" w:rsidP="000A2CD9">
            <w:pPr>
              <w:pStyle w:val="TableParagraph"/>
              <w:spacing w:before="0"/>
              <w:ind w:righ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A2CD9" w:rsidRPr="000A2CD9" w14:paraId="096BC062" w14:textId="77777777" w:rsidTr="000A2CD9">
        <w:trPr>
          <w:trHeight w:val="332"/>
        </w:trPr>
        <w:tc>
          <w:tcPr>
            <w:tcW w:w="2834" w:type="dxa"/>
          </w:tcPr>
          <w:p w14:paraId="2192F4BC" w14:textId="77777777" w:rsidR="000A2CD9" w:rsidRPr="000A2CD9" w:rsidRDefault="000A2CD9" w:rsidP="000A2CD9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Anti-FHA (ELISA - EU/</w:t>
            </w:r>
            <w:proofErr w:type="spellStart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mL</w:t>
            </w:r>
            <w:proofErr w:type="spellEnd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)</w:t>
            </w:r>
          </w:p>
        </w:tc>
        <w:tc>
          <w:tcPr>
            <w:tcW w:w="721" w:type="dxa"/>
          </w:tcPr>
          <w:p w14:paraId="1DC3960F" w14:textId="77777777" w:rsidR="000A2CD9" w:rsidRPr="000A2CD9" w:rsidRDefault="000A2CD9" w:rsidP="000A2CD9">
            <w:pPr>
              <w:pStyle w:val="TableParagraph"/>
              <w:spacing w:before="13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5" w:type="dxa"/>
          </w:tcPr>
          <w:p w14:paraId="7360750B" w14:textId="77777777" w:rsidR="000A2CD9" w:rsidRPr="000A2CD9" w:rsidRDefault="000A2CD9" w:rsidP="000A2CD9">
            <w:pPr>
              <w:pStyle w:val="TableParagraph"/>
              <w:spacing w:before="13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14:paraId="56771EA8" w14:textId="77777777" w:rsidR="000A2CD9" w:rsidRPr="000A2CD9" w:rsidRDefault="000A2CD9" w:rsidP="000A2CD9">
            <w:pPr>
              <w:pStyle w:val="TableParagraph"/>
              <w:spacing w:before="13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248, 299</w:t>
            </w:r>
          </w:p>
        </w:tc>
        <w:tc>
          <w:tcPr>
            <w:tcW w:w="560" w:type="dxa"/>
          </w:tcPr>
          <w:p w14:paraId="32DFF005" w14:textId="77777777" w:rsidR="000A2CD9" w:rsidRPr="000A2CD9" w:rsidRDefault="000A2CD9" w:rsidP="000A2CD9">
            <w:pPr>
              <w:pStyle w:val="TableParagraph"/>
              <w:spacing w:before="13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8" w:type="dxa"/>
          </w:tcPr>
          <w:p w14:paraId="5407B340" w14:textId="77777777" w:rsidR="000A2CD9" w:rsidRPr="000A2CD9" w:rsidRDefault="000A2CD9" w:rsidP="000A2CD9">
            <w:pPr>
              <w:pStyle w:val="TableParagraph"/>
              <w:spacing w:before="13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81" w:type="dxa"/>
          </w:tcPr>
          <w:p w14:paraId="46748A5F" w14:textId="77777777" w:rsidR="000A2CD9" w:rsidRPr="000A2CD9" w:rsidRDefault="000A2CD9" w:rsidP="000A2CD9">
            <w:pPr>
              <w:pStyle w:val="TableParagraph"/>
              <w:spacing w:before="13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240, 295</w:t>
            </w:r>
          </w:p>
        </w:tc>
        <w:tc>
          <w:tcPr>
            <w:tcW w:w="1280" w:type="dxa"/>
          </w:tcPr>
          <w:p w14:paraId="7FED3C78" w14:textId="77777777" w:rsidR="000A2CD9" w:rsidRPr="000A2CD9" w:rsidRDefault="000A2CD9" w:rsidP="000A2CD9">
            <w:pPr>
              <w:pStyle w:val="TableParagraph"/>
              <w:spacing w:before="13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53" w:type="dxa"/>
          </w:tcPr>
          <w:p w14:paraId="4B35BF41" w14:textId="77777777" w:rsidR="000A2CD9" w:rsidRPr="000A2CD9" w:rsidRDefault="000A2CD9" w:rsidP="000A2CD9">
            <w:pPr>
              <w:pStyle w:val="TableParagraph"/>
              <w:spacing w:before="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0.893, 1.18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14:paraId="67F6FD99" w14:textId="77777777" w:rsidR="000A2CD9" w:rsidRPr="000A2CD9" w:rsidRDefault="000A2CD9" w:rsidP="000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9" w:rsidRPr="000A2CD9" w14:paraId="168E7FB1" w14:textId="77777777" w:rsidTr="000A2CD9">
        <w:trPr>
          <w:trHeight w:val="348"/>
        </w:trPr>
        <w:tc>
          <w:tcPr>
            <w:tcW w:w="2834" w:type="dxa"/>
          </w:tcPr>
          <w:p w14:paraId="05C0355D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Anti-PRN (ELISA - EU/</w:t>
            </w:r>
            <w:proofErr w:type="spellStart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mL</w:t>
            </w:r>
            <w:proofErr w:type="spellEnd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)</w:t>
            </w:r>
          </w:p>
        </w:tc>
        <w:tc>
          <w:tcPr>
            <w:tcW w:w="721" w:type="dxa"/>
          </w:tcPr>
          <w:p w14:paraId="39CBE862" w14:textId="77777777" w:rsidR="000A2CD9" w:rsidRPr="000A2CD9" w:rsidRDefault="000A2CD9" w:rsidP="000A2CD9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5" w:type="dxa"/>
          </w:tcPr>
          <w:p w14:paraId="5E9EC8E6" w14:textId="77777777" w:rsidR="000A2CD9" w:rsidRPr="000A2CD9" w:rsidRDefault="000A2CD9" w:rsidP="000A2CD9">
            <w:pPr>
              <w:pStyle w:val="TableParagraph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993" w:type="dxa"/>
          </w:tcPr>
          <w:p w14:paraId="0C8DFC78" w14:textId="77777777" w:rsidR="000A2CD9" w:rsidRPr="000A2CD9" w:rsidRDefault="000A2CD9" w:rsidP="000A2CD9">
            <w:pPr>
              <w:pStyle w:val="TableParagraph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41.4, 61.8</w:t>
            </w:r>
          </w:p>
        </w:tc>
        <w:tc>
          <w:tcPr>
            <w:tcW w:w="560" w:type="dxa"/>
          </w:tcPr>
          <w:p w14:paraId="3E1B4410" w14:textId="77777777" w:rsidR="000A2CD9" w:rsidRPr="000A2CD9" w:rsidRDefault="000A2CD9" w:rsidP="000A2CD9">
            <w:pPr>
              <w:pStyle w:val="TableParagraph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8" w:type="dxa"/>
          </w:tcPr>
          <w:p w14:paraId="370EE3B1" w14:textId="77777777" w:rsidR="000A2CD9" w:rsidRPr="000A2CD9" w:rsidRDefault="000A2CD9" w:rsidP="000A2CD9">
            <w:pPr>
              <w:pStyle w:val="TableParagraph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281" w:type="dxa"/>
          </w:tcPr>
          <w:p w14:paraId="5141DAE3" w14:textId="77777777" w:rsidR="000A2CD9" w:rsidRPr="000A2CD9" w:rsidRDefault="000A2CD9" w:rsidP="000A2CD9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36.8, 55.1</w:t>
            </w:r>
          </w:p>
        </w:tc>
        <w:tc>
          <w:tcPr>
            <w:tcW w:w="1280" w:type="dxa"/>
          </w:tcPr>
          <w:p w14:paraId="66770B48" w14:textId="77777777" w:rsidR="000A2CD9" w:rsidRPr="000A2CD9" w:rsidRDefault="000A2CD9" w:rsidP="000A2CD9">
            <w:pPr>
              <w:pStyle w:val="TableParagraph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53" w:type="dxa"/>
          </w:tcPr>
          <w:p w14:paraId="7FF8BAAB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0.838, 1.46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14:paraId="041E3972" w14:textId="77777777" w:rsidR="000A2CD9" w:rsidRPr="000A2CD9" w:rsidRDefault="000A2CD9" w:rsidP="000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9" w:rsidRPr="000A2CD9" w14:paraId="6646E3A3" w14:textId="77777777" w:rsidTr="000A2CD9">
        <w:trPr>
          <w:trHeight w:val="348"/>
        </w:trPr>
        <w:tc>
          <w:tcPr>
            <w:tcW w:w="2834" w:type="dxa"/>
          </w:tcPr>
          <w:p w14:paraId="73C56265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Anti-FIM (ELISA - EU/</w:t>
            </w:r>
            <w:proofErr w:type="spellStart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mL</w:t>
            </w:r>
            <w:proofErr w:type="spellEnd"/>
            <w:r w:rsidRPr="000A2CD9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)</w:t>
            </w:r>
          </w:p>
        </w:tc>
        <w:tc>
          <w:tcPr>
            <w:tcW w:w="721" w:type="dxa"/>
          </w:tcPr>
          <w:p w14:paraId="765CA643" w14:textId="77777777" w:rsidR="000A2CD9" w:rsidRPr="000A2CD9" w:rsidRDefault="000A2CD9" w:rsidP="000A2CD9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5" w:type="dxa"/>
          </w:tcPr>
          <w:p w14:paraId="5B6355FE" w14:textId="77777777" w:rsidR="000A2CD9" w:rsidRPr="000A2CD9" w:rsidRDefault="000A2CD9" w:rsidP="000A2CD9">
            <w:pPr>
              <w:pStyle w:val="TableParagraph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14:paraId="0CE6E2A5" w14:textId="77777777" w:rsidR="000A2CD9" w:rsidRPr="000A2CD9" w:rsidRDefault="000A2CD9" w:rsidP="000A2CD9">
            <w:pPr>
              <w:pStyle w:val="TableParagraph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583, 841</w:t>
            </w:r>
          </w:p>
        </w:tc>
        <w:tc>
          <w:tcPr>
            <w:tcW w:w="560" w:type="dxa"/>
          </w:tcPr>
          <w:p w14:paraId="1091809A" w14:textId="77777777" w:rsidR="000A2CD9" w:rsidRPr="000A2CD9" w:rsidRDefault="000A2CD9" w:rsidP="000A2CD9">
            <w:pPr>
              <w:pStyle w:val="TableParagraph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48" w:type="dxa"/>
          </w:tcPr>
          <w:p w14:paraId="38FF5150" w14:textId="77777777" w:rsidR="000A2CD9" w:rsidRPr="000A2CD9" w:rsidRDefault="000A2CD9" w:rsidP="000A2CD9">
            <w:pPr>
              <w:pStyle w:val="TableParagraph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81" w:type="dxa"/>
          </w:tcPr>
          <w:p w14:paraId="35DF3AD6" w14:textId="77777777" w:rsidR="000A2CD9" w:rsidRPr="000A2CD9" w:rsidRDefault="000A2CD9" w:rsidP="000A2CD9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537, 769</w:t>
            </w:r>
          </w:p>
        </w:tc>
        <w:tc>
          <w:tcPr>
            <w:tcW w:w="1280" w:type="dxa"/>
          </w:tcPr>
          <w:p w14:paraId="4FE0F63D" w14:textId="77777777" w:rsidR="000A2CD9" w:rsidRPr="000A2CD9" w:rsidRDefault="000A2CD9" w:rsidP="000A2CD9">
            <w:pPr>
              <w:pStyle w:val="TableParagraph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53" w:type="dxa"/>
          </w:tcPr>
          <w:p w14:paraId="04535B7B" w14:textId="77777777" w:rsidR="000A2CD9" w:rsidRPr="000A2CD9" w:rsidRDefault="000A2CD9" w:rsidP="000A2CD9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CD9">
              <w:rPr>
                <w:rFonts w:ascii="Times New Roman" w:hAnsi="Times New Roman" w:cs="Times New Roman"/>
                <w:sz w:val="24"/>
                <w:szCs w:val="24"/>
              </w:rPr>
              <w:t>0.825, 1.32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14:paraId="0CE91E95" w14:textId="77777777" w:rsidR="000A2CD9" w:rsidRPr="000A2CD9" w:rsidRDefault="000A2CD9" w:rsidP="000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776D4" w14:textId="77777777" w:rsidR="000A2CD9" w:rsidRPr="000A2CD9" w:rsidRDefault="000A2CD9" w:rsidP="000A2CD9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A9F086E" w14:textId="60CD4778" w:rsidR="000A2CD9" w:rsidRPr="000A2CD9" w:rsidRDefault="000A2CD9" w:rsidP="000A2CD9">
      <w:pPr>
        <w:spacing w:before="20" w:line="225" w:lineRule="auto"/>
        <w:ind w:right="864"/>
        <w:rPr>
          <w:rFonts w:ascii="Times New Roman" w:hAnsi="Times New Roman" w:cs="Times New Roman"/>
          <w:sz w:val="24"/>
          <w:szCs w:val="24"/>
        </w:rPr>
      </w:pPr>
      <w:r w:rsidRPr="000A2CD9">
        <w:rPr>
          <w:rFonts w:ascii="Times New Roman" w:hAnsi="Times New Roman" w:cs="Times New Roman"/>
          <w:spacing w:val="3"/>
          <w:sz w:val="24"/>
          <w:szCs w:val="24"/>
        </w:rPr>
        <w:t>CI,</w:t>
      </w:r>
      <w:r w:rsidRPr="000A2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confidence</w:t>
      </w:r>
      <w:r w:rsidRPr="000A2CD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interval;</w:t>
      </w:r>
      <w:r w:rsidRPr="000A2CD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FAS,</w:t>
      </w:r>
      <w:r w:rsidRPr="000A2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4"/>
          <w:sz w:val="24"/>
          <w:szCs w:val="24"/>
        </w:rPr>
        <w:t>full</w:t>
      </w:r>
      <w:r w:rsidRPr="000A2CD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analysis</w:t>
      </w:r>
      <w:r w:rsidRPr="000A2CD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4"/>
          <w:sz w:val="24"/>
          <w:szCs w:val="24"/>
        </w:rPr>
        <w:t>set;</w:t>
      </w:r>
      <w:r w:rsidRPr="000A2CD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GMC,</w:t>
      </w:r>
      <w:r w:rsidRPr="000A2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geometric</w:t>
      </w:r>
      <w:r w:rsidRPr="000A2C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concentration;</w:t>
      </w:r>
      <w:r w:rsidRPr="000A2CD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FIM,</w:t>
      </w:r>
      <w:r w:rsidRPr="000A2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fimbriae</w:t>
      </w:r>
      <w:r w:rsidRPr="000A2CD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types</w:t>
      </w:r>
      <w:r w:rsidRPr="000A2CD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2</w:t>
      </w:r>
      <w:r w:rsidRPr="000A2CD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4"/>
          <w:sz w:val="24"/>
          <w:szCs w:val="24"/>
        </w:rPr>
        <w:t>and</w:t>
      </w:r>
      <w:r w:rsidRPr="000A2CD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4"/>
          <w:sz w:val="24"/>
          <w:szCs w:val="24"/>
        </w:rPr>
        <w:t>3;</w:t>
      </w:r>
      <w:r w:rsidRPr="000A2CD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FHA</w:t>
      </w:r>
      <w:r w:rsidRPr="000A2CD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filamentous</w:t>
      </w:r>
      <w:r w:rsidRPr="000A2CD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hemagglutinin;</w:t>
      </w:r>
      <w:r w:rsidRPr="000A2CD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M,</w:t>
      </w:r>
      <w:r w:rsidRPr="000A2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number</w:t>
      </w:r>
      <w:r w:rsidRPr="000A2CD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of</w:t>
      </w:r>
      <w:r w:rsidRPr="000A2CD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 xml:space="preserve">participants </w:t>
      </w:r>
      <w:r w:rsidRPr="000A2CD9">
        <w:rPr>
          <w:rFonts w:ascii="Times New Roman" w:hAnsi="Times New Roman" w:cs="Times New Roman"/>
          <w:sz w:val="24"/>
          <w:szCs w:val="24"/>
        </w:rPr>
        <w:t>with</w:t>
      </w:r>
      <w:r w:rsidRPr="000A2CD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available</w:t>
      </w:r>
      <w:r w:rsidRPr="000A2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data</w:t>
      </w:r>
      <w:r w:rsidRPr="000A2CD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for</w:t>
      </w:r>
      <w:r w:rsidRPr="000A2C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the</w:t>
      </w:r>
      <w:r w:rsidRPr="000A2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relevant</w:t>
      </w:r>
      <w:r w:rsidRPr="000A2CD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endpoint;</w:t>
      </w:r>
      <w:r w:rsidRPr="000A2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4"/>
          <w:sz w:val="24"/>
          <w:szCs w:val="24"/>
        </w:rPr>
        <w:t>N,</w:t>
      </w:r>
      <w:r w:rsidRPr="000A2CD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3"/>
          <w:sz w:val="24"/>
          <w:szCs w:val="24"/>
        </w:rPr>
        <w:t>sample</w:t>
      </w:r>
      <w:r w:rsidRPr="000A2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number;</w:t>
      </w:r>
      <w:r w:rsidRPr="000A2CD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PRN,</w:t>
      </w:r>
      <w:r w:rsidRPr="000A2CD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pertactin;</w:t>
      </w:r>
      <w:r w:rsidRPr="000A2CD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PT,</w:t>
      </w:r>
      <w:r w:rsidRPr="000A2CD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pertussis</w:t>
      </w:r>
      <w:r w:rsidRPr="000A2CD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pacing w:val="-3"/>
          <w:sz w:val="24"/>
          <w:szCs w:val="24"/>
        </w:rPr>
        <w:t>toxoid</w:t>
      </w:r>
    </w:p>
    <w:p w14:paraId="3323F6A7" w14:textId="15C12C8E" w:rsidR="00F44C28" w:rsidRDefault="000A2CD9" w:rsidP="000A2CD9">
      <w:pPr>
        <w:spacing w:line="243" w:lineRule="exact"/>
      </w:pPr>
      <w:r w:rsidRPr="000A2CD9">
        <w:rPr>
          <w:rFonts w:ascii="Times New Roman" w:hAnsi="Times New Roman" w:cs="Times New Roman"/>
          <w:sz w:val="24"/>
          <w:szCs w:val="24"/>
        </w:rPr>
        <w:t xml:space="preserve">The non-inferiority was met if the lower limit of the two-sided 95% CI of the GMC ratio (concomitant / sequential) was &gt;0.667 for </w:t>
      </w:r>
      <w:proofErr w:type="spellStart"/>
      <w:r w:rsidRPr="000A2CD9">
        <w:rPr>
          <w:rFonts w:ascii="Times New Roman" w:hAnsi="Times New Roman" w:cs="Times New Roman"/>
          <w:sz w:val="24"/>
          <w:szCs w:val="24"/>
        </w:rPr>
        <w:t>eachantigen</w:t>
      </w:r>
      <w:proofErr w:type="spellEnd"/>
      <w:r w:rsidRPr="000A2CD9">
        <w:rPr>
          <w:rFonts w:ascii="Times New Roman" w:hAnsi="Times New Roman" w:cs="Times New Roman"/>
          <w:sz w:val="24"/>
          <w:szCs w:val="24"/>
        </w:rPr>
        <w:t>. Overall non-inferiority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D9">
        <w:rPr>
          <w:rFonts w:ascii="Times New Roman" w:hAnsi="Times New Roman" w:cs="Times New Roman"/>
          <w:sz w:val="24"/>
          <w:szCs w:val="24"/>
        </w:rPr>
        <w:t>met if the four antigens achieved non-inferiority.</w:t>
      </w:r>
    </w:p>
    <w:sectPr w:rsidR="00F44C28" w:rsidSect="000A2CD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F4AC" w14:textId="77777777" w:rsidR="00E107AF" w:rsidRDefault="00E107AF">
      <w:r>
        <w:separator/>
      </w:r>
    </w:p>
  </w:endnote>
  <w:endnote w:type="continuationSeparator" w:id="0">
    <w:p w14:paraId="7539406D" w14:textId="77777777" w:rsidR="00E107AF" w:rsidRDefault="00E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A69D" w14:textId="77777777" w:rsidR="008268DA" w:rsidRDefault="00E107AF">
    <w:pPr>
      <w:pStyle w:val="BodyText"/>
      <w:spacing w:line="14" w:lineRule="auto"/>
      <w:rPr>
        <w:sz w:val="20"/>
      </w:rPr>
    </w:pPr>
    <w:r>
      <w:pict w14:anchorId="2A2696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6pt;margin-top:534.5pt;width:17.2pt;height:13.25pt;z-index:-251658752;mso-position-horizontal-relative:page;mso-position-vertical-relative:page" filled="f" stroked="f">
          <v:textbox inset="0,0,0,0">
            <w:txbxContent>
              <w:p w14:paraId="256ADE5E" w14:textId="77777777" w:rsidR="008268DA" w:rsidRDefault="000A2CD9">
                <w:pPr>
                  <w:pStyle w:val="BodyText"/>
                  <w:spacing w:line="247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3ABB" w14:textId="77777777" w:rsidR="00E107AF" w:rsidRDefault="00E107AF">
      <w:r>
        <w:separator/>
      </w:r>
    </w:p>
  </w:footnote>
  <w:footnote w:type="continuationSeparator" w:id="0">
    <w:p w14:paraId="01A8EA7A" w14:textId="77777777" w:rsidR="00E107AF" w:rsidRDefault="00E1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D9"/>
    <w:rsid w:val="000A2CD9"/>
    <w:rsid w:val="00271190"/>
    <w:rsid w:val="00E107AF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398734"/>
  <w15:chartTrackingRefBased/>
  <w15:docId w15:val="{E743BECA-6C61-4A83-A404-86DEB860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A2CD9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CD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2CD9"/>
  </w:style>
  <w:style w:type="character" w:customStyle="1" w:styleId="BodyTextChar">
    <w:name w:val="Body Text Char"/>
    <w:basedOn w:val="DefaultParagraphFont"/>
    <w:link w:val="BodyText"/>
    <w:uiPriority w:val="1"/>
    <w:rsid w:val="000A2CD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0A2CD9"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2021-04-15T21:33:00Z</dcterms:created>
  <dcterms:modified xsi:type="dcterms:W3CDTF">2021-04-15T21:33:00Z</dcterms:modified>
</cp:coreProperties>
</file>