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8DB6B" w14:textId="11A4059A" w:rsidR="00186FCD" w:rsidRPr="006D05FC" w:rsidRDefault="00186FCD" w:rsidP="00186FCD">
      <w:pPr>
        <w:spacing w:line="480" w:lineRule="auto"/>
        <w:rPr>
          <w:rFonts w:ascii="Times New Roman" w:eastAsia="Times New Roman" w:hAnsi="Times New Roman" w:cs="Times New Roman"/>
          <w:bCs/>
          <w:sz w:val="24"/>
          <w:szCs w:val="24"/>
          <w:lang w:val="en-GB" w:eastAsia="en-NZ"/>
        </w:rPr>
      </w:pPr>
      <w:bookmarkStart w:id="0" w:name="_Hlk45105616"/>
      <w:r>
        <w:rPr>
          <w:rFonts w:ascii="Times New Roman" w:eastAsia="Times New Roman" w:hAnsi="Times New Roman" w:cs="Times New Roman"/>
          <w:b/>
          <w:sz w:val="24"/>
          <w:szCs w:val="24"/>
          <w:lang w:val="en-GB" w:eastAsia="en-NZ"/>
        </w:rPr>
        <w:t xml:space="preserve">Supplemental Digital Content </w:t>
      </w:r>
      <w:r w:rsidR="0018652B">
        <w:rPr>
          <w:rFonts w:ascii="Times New Roman" w:eastAsia="Times New Roman" w:hAnsi="Times New Roman" w:cs="Times New Roman"/>
          <w:b/>
          <w:sz w:val="24"/>
          <w:szCs w:val="24"/>
          <w:lang w:val="en-GB" w:eastAsia="en-NZ"/>
        </w:rPr>
        <w:t>1</w:t>
      </w:r>
      <w:r>
        <w:rPr>
          <w:rFonts w:ascii="Times New Roman" w:eastAsia="Times New Roman" w:hAnsi="Times New Roman" w:cs="Times New Roman"/>
          <w:b/>
          <w:sz w:val="24"/>
          <w:szCs w:val="24"/>
          <w:lang w:val="en-GB" w:eastAsia="en-NZ"/>
        </w:rPr>
        <w:t>.</w:t>
      </w:r>
      <w:r w:rsidRPr="006D05FC">
        <w:rPr>
          <w:rFonts w:ascii="Times New Roman" w:eastAsia="Times New Roman" w:hAnsi="Times New Roman" w:cs="Times New Roman"/>
          <w:bCs/>
          <w:sz w:val="24"/>
          <w:szCs w:val="24"/>
          <w:lang w:val="en-GB" w:eastAsia="en-NZ"/>
        </w:rPr>
        <w:t xml:space="preserve"> Solicited injection site reactions: terminology, definitions, and intensity scales</w:t>
      </w:r>
    </w:p>
    <w:tbl>
      <w:tblPr>
        <w:tblW w:w="5000" w:type="pct"/>
        <w:tblLook w:val="0000" w:firstRow="0" w:lastRow="0" w:firstColumn="0" w:lastColumn="0" w:noHBand="0" w:noVBand="0"/>
      </w:tblPr>
      <w:tblGrid>
        <w:gridCol w:w="1245"/>
        <w:gridCol w:w="2705"/>
        <w:gridCol w:w="2705"/>
        <w:gridCol w:w="2705"/>
      </w:tblGrid>
      <w:tr w:rsidR="00186FCD" w:rsidRPr="00801D16" w14:paraId="374DE561" w14:textId="77777777" w:rsidTr="00DB2AE8">
        <w:tc>
          <w:tcPr>
            <w:tcW w:w="665" w:type="pct"/>
            <w:tcBorders>
              <w:top w:val="single" w:sz="4" w:space="0" w:color="auto"/>
              <w:bottom w:val="single" w:sz="4" w:space="0" w:color="auto"/>
            </w:tcBorders>
          </w:tcPr>
          <w:bookmarkEnd w:id="0"/>
          <w:p w14:paraId="5E0684D1" w14:textId="77777777" w:rsidR="00186FCD" w:rsidRPr="00801D16" w:rsidRDefault="00186FCD" w:rsidP="00DB2AE8">
            <w:pPr>
              <w:spacing w:before="40" w:after="40" w:line="240" w:lineRule="auto"/>
              <w:rPr>
                <w:rFonts w:ascii="Times New Roman" w:eastAsia="Times New Roman" w:hAnsi="Times New Roman" w:cs="Times New Roman"/>
                <w:b/>
                <w:szCs w:val="20"/>
              </w:rPr>
            </w:pPr>
            <w:r w:rsidRPr="00801D16">
              <w:rPr>
                <w:rFonts w:ascii="Times New Roman" w:eastAsia="Times New Roman" w:hAnsi="Times New Roman" w:cs="Times New Roman"/>
                <w:b/>
                <w:szCs w:val="20"/>
              </w:rPr>
              <w:t>CRF term (MedDRA lowest level term [LLT])</w:t>
            </w:r>
          </w:p>
        </w:tc>
        <w:tc>
          <w:tcPr>
            <w:tcW w:w="1445" w:type="pct"/>
            <w:tcBorders>
              <w:top w:val="single" w:sz="4" w:space="0" w:color="auto"/>
              <w:bottom w:val="single" w:sz="4" w:space="0" w:color="auto"/>
            </w:tcBorders>
          </w:tcPr>
          <w:p w14:paraId="3B2223D0" w14:textId="77777777" w:rsidR="00186FCD" w:rsidRPr="00801D16" w:rsidRDefault="00186FCD" w:rsidP="00DB2AE8">
            <w:pPr>
              <w:keepNext/>
              <w:spacing w:before="120" w:after="120" w:line="240" w:lineRule="auto"/>
              <w:jc w:val="center"/>
              <w:rPr>
                <w:rFonts w:ascii="Times New Roman" w:eastAsia="Times New Roman" w:hAnsi="Times New Roman" w:cs="Times New Roman"/>
                <w:b/>
                <w:szCs w:val="20"/>
              </w:rPr>
            </w:pPr>
            <w:r w:rsidRPr="00801D16">
              <w:rPr>
                <w:rFonts w:ascii="Times New Roman" w:eastAsia="Times New Roman" w:hAnsi="Times New Roman" w:cs="Times New Roman"/>
                <w:b/>
                <w:szCs w:val="20"/>
              </w:rPr>
              <w:t>Injection site pain*</w:t>
            </w:r>
          </w:p>
        </w:tc>
        <w:tc>
          <w:tcPr>
            <w:tcW w:w="1445" w:type="pct"/>
            <w:tcBorders>
              <w:top w:val="single" w:sz="4" w:space="0" w:color="auto"/>
              <w:bottom w:val="single" w:sz="4" w:space="0" w:color="auto"/>
            </w:tcBorders>
          </w:tcPr>
          <w:p w14:paraId="27C4ACE5" w14:textId="77777777" w:rsidR="00186FCD" w:rsidRPr="00801D16" w:rsidRDefault="00186FCD" w:rsidP="00DB2AE8">
            <w:pPr>
              <w:keepNext/>
              <w:spacing w:before="120" w:after="120" w:line="240" w:lineRule="auto"/>
              <w:jc w:val="center"/>
              <w:rPr>
                <w:rFonts w:ascii="Times New Roman" w:eastAsia="Times New Roman" w:hAnsi="Times New Roman" w:cs="Times New Roman"/>
                <w:b/>
                <w:szCs w:val="20"/>
              </w:rPr>
            </w:pPr>
            <w:r w:rsidRPr="00801D16">
              <w:rPr>
                <w:rFonts w:ascii="Times New Roman" w:eastAsia="Times New Roman" w:hAnsi="Times New Roman" w:cs="Times New Roman"/>
                <w:b/>
                <w:szCs w:val="20"/>
              </w:rPr>
              <w:t>Injection site erythema</w:t>
            </w:r>
          </w:p>
        </w:tc>
        <w:tc>
          <w:tcPr>
            <w:tcW w:w="1445" w:type="pct"/>
            <w:tcBorders>
              <w:top w:val="single" w:sz="4" w:space="0" w:color="auto"/>
              <w:bottom w:val="single" w:sz="4" w:space="0" w:color="auto"/>
            </w:tcBorders>
          </w:tcPr>
          <w:p w14:paraId="3F2987DC" w14:textId="77777777" w:rsidR="00186FCD" w:rsidRPr="00801D16" w:rsidRDefault="00186FCD" w:rsidP="00DB2AE8">
            <w:pPr>
              <w:keepNext/>
              <w:spacing w:before="120" w:after="120" w:line="240" w:lineRule="auto"/>
              <w:jc w:val="center"/>
              <w:rPr>
                <w:rFonts w:ascii="Times New Roman" w:eastAsia="Times New Roman" w:hAnsi="Times New Roman" w:cs="Times New Roman"/>
                <w:b/>
                <w:szCs w:val="20"/>
              </w:rPr>
            </w:pPr>
            <w:r w:rsidRPr="00801D16">
              <w:rPr>
                <w:rFonts w:ascii="Times New Roman" w:eastAsia="Times New Roman" w:hAnsi="Times New Roman" w:cs="Times New Roman"/>
                <w:b/>
                <w:szCs w:val="20"/>
              </w:rPr>
              <w:t xml:space="preserve">Injection site swelling </w:t>
            </w:r>
          </w:p>
        </w:tc>
      </w:tr>
      <w:tr w:rsidR="00186FCD" w:rsidRPr="00801D16" w14:paraId="540A97C6" w14:textId="77777777" w:rsidTr="00DB2AE8">
        <w:tc>
          <w:tcPr>
            <w:tcW w:w="665" w:type="pct"/>
            <w:tcBorders>
              <w:top w:val="single" w:sz="4" w:space="0" w:color="auto"/>
            </w:tcBorders>
          </w:tcPr>
          <w:p w14:paraId="426587A4" w14:textId="77777777" w:rsidR="00186FCD" w:rsidRPr="00801D16" w:rsidRDefault="00186FCD" w:rsidP="00DB2AE8">
            <w:pPr>
              <w:spacing w:before="40" w:after="40" w:line="240" w:lineRule="auto"/>
              <w:rPr>
                <w:rFonts w:ascii="Times New Roman" w:eastAsia="Times New Roman" w:hAnsi="Times New Roman" w:cs="Times New Roman"/>
                <w:b/>
                <w:szCs w:val="20"/>
              </w:rPr>
            </w:pPr>
            <w:r w:rsidRPr="00801D16">
              <w:rPr>
                <w:rFonts w:ascii="Times New Roman" w:eastAsia="Times New Roman" w:hAnsi="Times New Roman" w:cs="Times New Roman"/>
                <w:b/>
                <w:szCs w:val="20"/>
              </w:rPr>
              <w:t>Diary card term</w:t>
            </w:r>
          </w:p>
        </w:tc>
        <w:tc>
          <w:tcPr>
            <w:tcW w:w="1445" w:type="pct"/>
            <w:tcBorders>
              <w:top w:val="single" w:sz="4" w:space="0" w:color="auto"/>
            </w:tcBorders>
          </w:tcPr>
          <w:p w14:paraId="4C116A68" w14:textId="77777777" w:rsidR="00186FCD" w:rsidRPr="00801D16" w:rsidRDefault="00186FCD" w:rsidP="00DB2AE8">
            <w:pPr>
              <w:spacing w:before="40" w:after="40" w:line="240" w:lineRule="auto"/>
              <w:rPr>
                <w:rFonts w:ascii="Times New Roman" w:eastAsia="Times New Roman" w:hAnsi="Times New Roman" w:cs="Times New Roman"/>
                <w:szCs w:val="20"/>
              </w:rPr>
            </w:pPr>
            <w:r w:rsidRPr="00801D16">
              <w:rPr>
                <w:rFonts w:ascii="Times New Roman" w:eastAsia="Times New Roman" w:hAnsi="Times New Roman" w:cs="Times New Roman"/>
                <w:szCs w:val="20"/>
              </w:rPr>
              <w:t>Pain</w:t>
            </w:r>
          </w:p>
        </w:tc>
        <w:tc>
          <w:tcPr>
            <w:tcW w:w="1445" w:type="pct"/>
            <w:tcBorders>
              <w:top w:val="single" w:sz="4" w:space="0" w:color="auto"/>
            </w:tcBorders>
          </w:tcPr>
          <w:p w14:paraId="532BEABA" w14:textId="77777777" w:rsidR="00186FCD" w:rsidRPr="00801D16" w:rsidRDefault="00186FCD" w:rsidP="00DB2AE8">
            <w:pPr>
              <w:spacing w:before="40" w:after="40" w:line="240" w:lineRule="auto"/>
              <w:rPr>
                <w:rFonts w:ascii="Times New Roman" w:eastAsia="Times New Roman" w:hAnsi="Times New Roman" w:cs="Times New Roman"/>
                <w:szCs w:val="20"/>
              </w:rPr>
            </w:pPr>
            <w:r w:rsidRPr="00801D16">
              <w:rPr>
                <w:rFonts w:ascii="Times New Roman" w:eastAsia="Times New Roman" w:hAnsi="Times New Roman" w:cs="Times New Roman"/>
                <w:szCs w:val="20"/>
              </w:rPr>
              <w:t>Redness</w:t>
            </w:r>
          </w:p>
        </w:tc>
        <w:tc>
          <w:tcPr>
            <w:tcW w:w="1445" w:type="pct"/>
            <w:tcBorders>
              <w:top w:val="single" w:sz="4" w:space="0" w:color="auto"/>
            </w:tcBorders>
          </w:tcPr>
          <w:p w14:paraId="56D8BE55" w14:textId="77777777" w:rsidR="00186FCD" w:rsidRPr="00801D16" w:rsidRDefault="00186FCD" w:rsidP="00DB2AE8">
            <w:pPr>
              <w:spacing w:before="40" w:after="40" w:line="240" w:lineRule="auto"/>
              <w:rPr>
                <w:rFonts w:ascii="Times New Roman" w:eastAsia="Times New Roman" w:hAnsi="Times New Roman" w:cs="Times New Roman"/>
                <w:szCs w:val="20"/>
              </w:rPr>
            </w:pPr>
            <w:r w:rsidRPr="00801D16">
              <w:rPr>
                <w:rFonts w:ascii="Times New Roman" w:eastAsia="Times New Roman" w:hAnsi="Times New Roman" w:cs="Times New Roman"/>
                <w:szCs w:val="20"/>
              </w:rPr>
              <w:t>Swelling</w:t>
            </w:r>
          </w:p>
        </w:tc>
      </w:tr>
      <w:tr w:rsidR="00186FCD" w:rsidRPr="00801D16" w14:paraId="50704C05" w14:textId="77777777" w:rsidTr="00DB2AE8">
        <w:tc>
          <w:tcPr>
            <w:tcW w:w="665" w:type="pct"/>
          </w:tcPr>
          <w:p w14:paraId="356D590D" w14:textId="77777777" w:rsidR="00186FCD" w:rsidRPr="00801D16" w:rsidRDefault="00186FCD" w:rsidP="00DB2AE8">
            <w:pPr>
              <w:spacing w:before="40" w:after="40" w:line="240" w:lineRule="auto"/>
              <w:rPr>
                <w:rFonts w:ascii="Times New Roman" w:eastAsia="Times New Roman" w:hAnsi="Times New Roman" w:cs="Times New Roman"/>
                <w:b/>
                <w:szCs w:val="20"/>
              </w:rPr>
            </w:pPr>
            <w:r w:rsidRPr="00801D16">
              <w:rPr>
                <w:rFonts w:ascii="Times New Roman" w:eastAsia="Times New Roman" w:hAnsi="Times New Roman" w:cs="Times New Roman"/>
                <w:b/>
                <w:szCs w:val="20"/>
              </w:rPr>
              <w:t>Definition</w:t>
            </w:r>
          </w:p>
        </w:tc>
        <w:tc>
          <w:tcPr>
            <w:tcW w:w="1445" w:type="pct"/>
          </w:tcPr>
          <w:p w14:paraId="3EFE248F" w14:textId="77777777" w:rsidR="00186FCD" w:rsidRPr="00801D16" w:rsidRDefault="00186FCD" w:rsidP="00DB2AE8">
            <w:pPr>
              <w:spacing w:before="40" w:after="40" w:line="240" w:lineRule="auto"/>
              <w:rPr>
                <w:rFonts w:ascii="Times New Roman" w:eastAsia="Times New Roman" w:hAnsi="Times New Roman" w:cs="Times New Roman"/>
                <w:szCs w:val="20"/>
              </w:rPr>
            </w:pPr>
          </w:p>
        </w:tc>
        <w:tc>
          <w:tcPr>
            <w:tcW w:w="1445" w:type="pct"/>
          </w:tcPr>
          <w:p w14:paraId="36CD5DD0" w14:textId="77777777" w:rsidR="00186FCD" w:rsidRPr="00801D16" w:rsidRDefault="00186FCD" w:rsidP="00DB2AE8">
            <w:pPr>
              <w:spacing w:before="40" w:after="40" w:line="240" w:lineRule="auto"/>
              <w:rPr>
                <w:rFonts w:ascii="Times New Roman" w:eastAsia="Times New Roman" w:hAnsi="Times New Roman" w:cs="Times New Roman"/>
                <w:szCs w:val="20"/>
              </w:rPr>
            </w:pPr>
            <w:r w:rsidRPr="00801D16">
              <w:rPr>
                <w:rFonts w:ascii="Times New Roman" w:eastAsia="Times New Roman" w:hAnsi="Times New Roman" w:cs="Times New Roman"/>
                <w:szCs w:val="20"/>
              </w:rPr>
              <w:t>Presence of a redness including the approximate point of needle entry</w:t>
            </w:r>
          </w:p>
        </w:tc>
        <w:tc>
          <w:tcPr>
            <w:tcW w:w="1445" w:type="pct"/>
          </w:tcPr>
          <w:p w14:paraId="7F94C28F" w14:textId="77777777" w:rsidR="00186FCD" w:rsidRPr="00801D16" w:rsidRDefault="00186FCD" w:rsidP="00DB2AE8">
            <w:pPr>
              <w:spacing w:before="40" w:after="40" w:line="240" w:lineRule="auto"/>
              <w:rPr>
                <w:rFonts w:ascii="Times New Roman" w:eastAsia="Times New Roman" w:hAnsi="Times New Roman" w:cs="Times New Roman"/>
                <w:szCs w:val="20"/>
              </w:rPr>
            </w:pPr>
            <w:r w:rsidRPr="00801D16">
              <w:rPr>
                <w:rFonts w:ascii="Times New Roman" w:eastAsia="Times New Roman" w:hAnsi="Times New Roman" w:cs="Times New Roman"/>
                <w:szCs w:val="20"/>
              </w:rPr>
              <w:t>Swelling at or near the injection site</w:t>
            </w:r>
          </w:p>
          <w:p w14:paraId="08F8EB87" w14:textId="77777777" w:rsidR="00186FCD" w:rsidRPr="00801D16" w:rsidRDefault="00186FCD" w:rsidP="00DB2AE8">
            <w:pPr>
              <w:spacing w:before="40" w:after="40" w:line="240" w:lineRule="auto"/>
              <w:rPr>
                <w:rFonts w:ascii="Times New Roman" w:eastAsia="Times New Roman" w:hAnsi="Times New Roman" w:cs="Times New Roman"/>
                <w:szCs w:val="20"/>
              </w:rPr>
            </w:pPr>
            <w:r w:rsidRPr="00801D16">
              <w:rPr>
                <w:rFonts w:ascii="Times New Roman" w:eastAsia="Times New Roman" w:hAnsi="Times New Roman" w:cs="Times New Roman"/>
                <w:szCs w:val="20"/>
              </w:rPr>
              <w:t>Swelling or edema is caused by a fluid infiltration in tissue or cavity and, depending on the space available for the fluid to disperse, swelling may be either soft (typically) or firm (less typical) to touch and thus can be best described by looking at the size of the swelling</w:t>
            </w:r>
          </w:p>
        </w:tc>
      </w:tr>
      <w:tr w:rsidR="00186FCD" w:rsidRPr="00801D16" w14:paraId="5495088A" w14:textId="77777777" w:rsidTr="00DB2AE8">
        <w:tc>
          <w:tcPr>
            <w:tcW w:w="665" w:type="pct"/>
            <w:tcBorders>
              <w:bottom w:val="single" w:sz="4" w:space="0" w:color="auto"/>
            </w:tcBorders>
          </w:tcPr>
          <w:p w14:paraId="7F213B92" w14:textId="77777777" w:rsidR="00186FCD" w:rsidRPr="00801D16" w:rsidRDefault="00186FCD" w:rsidP="00DB2AE8">
            <w:pPr>
              <w:spacing w:before="40" w:after="40" w:line="240" w:lineRule="auto"/>
              <w:rPr>
                <w:rFonts w:ascii="Times New Roman" w:eastAsia="Times New Roman" w:hAnsi="Times New Roman" w:cs="Times New Roman"/>
                <w:b/>
                <w:szCs w:val="20"/>
              </w:rPr>
            </w:pPr>
            <w:r w:rsidRPr="00801D16">
              <w:rPr>
                <w:rFonts w:ascii="Times New Roman" w:eastAsia="Times New Roman" w:hAnsi="Times New Roman" w:cs="Times New Roman"/>
                <w:b/>
                <w:szCs w:val="20"/>
              </w:rPr>
              <w:t>Intensity scale*</w:t>
            </w:r>
          </w:p>
          <w:p w14:paraId="38F7557D" w14:textId="77777777" w:rsidR="00186FCD" w:rsidRPr="00801D16" w:rsidRDefault="00186FCD" w:rsidP="00DB2AE8">
            <w:pPr>
              <w:spacing w:before="40" w:after="40" w:line="240" w:lineRule="auto"/>
              <w:rPr>
                <w:rFonts w:ascii="Times New Roman" w:eastAsia="Times New Roman" w:hAnsi="Times New Roman" w:cs="Times New Roman"/>
                <w:b/>
                <w:szCs w:val="20"/>
              </w:rPr>
            </w:pPr>
          </w:p>
        </w:tc>
        <w:tc>
          <w:tcPr>
            <w:tcW w:w="1445" w:type="pct"/>
            <w:tcBorders>
              <w:bottom w:val="single" w:sz="4" w:space="0" w:color="auto"/>
            </w:tcBorders>
          </w:tcPr>
          <w:p w14:paraId="03976339" w14:textId="77777777" w:rsidR="00186FCD" w:rsidRPr="00801D16" w:rsidRDefault="00186FCD" w:rsidP="00DB2AE8">
            <w:pPr>
              <w:spacing w:before="40" w:after="40" w:line="240" w:lineRule="auto"/>
              <w:rPr>
                <w:rFonts w:ascii="Times New Roman" w:eastAsia="Times New Roman" w:hAnsi="Times New Roman" w:cs="Times New Roman"/>
                <w:szCs w:val="20"/>
              </w:rPr>
            </w:pPr>
            <w:r w:rsidRPr="00801D16">
              <w:rPr>
                <w:rFonts w:ascii="Times New Roman" w:eastAsia="Times New Roman" w:hAnsi="Times New Roman" w:cs="Times New Roman"/>
                <w:szCs w:val="20"/>
              </w:rPr>
              <w:t>Grade 1: Easily tolerated</w:t>
            </w:r>
          </w:p>
          <w:p w14:paraId="61C627C5" w14:textId="77777777" w:rsidR="00186FCD" w:rsidRPr="00801D16" w:rsidRDefault="00186FCD" w:rsidP="00DB2AE8">
            <w:pPr>
              <w:spacing w:before="40" w:after="40" w:line="240" w:lineRule="auto"/>
              <w:rPr>
                <w:rFonts w:ascii="Times New Roman" w:eastAsia="Times New Roman" w:hAnsi="Times New Roman" w:cs="Times New Roman"/>
                <w:szCs w:val="20"/>
              </w:rPr>
            </w:pPr>
            <w:r w:rsidRPr="00801D16">
              <w:rPr>
                <w:rFonts w:ascii="Times New Roman" w:eastAsia="Times New Roman" w:hAnsi="Times New Roman" w:cs="Times New Roman"/>
                <w:szCs w:val="20"/>
              </w:rPr>
              <w:t>Grade 2: Sufficiently discomforting to interfere with normal behavior or activities</w:t>
            </w:r>
          </w:p>
          <w:p w14:paraId="09F094E6" w14:textId="77777777" w:rsidR="00186FCD" w:rsidRPr="00801D16" w:rsidRDefault="00186FCD" w:rsidP="00DB2AE8">
            <w:pPr>
              <w:spacing w:before="40" w:after="40" w:line="240" w:lineRule="auto"/>
              <w:rPr>
                <w:rFonts w:ascii="Times New Roman" w:eastAsia="Times New Roman" w:hAnsi="Times New Roman" w:cs="Times New Roman"/>
                <w:szCs w:val="20"/>
              </w:rPr>
            </w:pPr>
            <w:r w:rsidRPr="00801D16">
              <w:rPr>
                <w:rFonts w:ascii="Times New Roman" w:eastAsia="Times New Roman" w:hAnsi="Times New Roman" w:cs="Times New Roman"/>
                <w:szCs w:val="20"/>
              </w:rPr>
              <w:t>Grade 3: Incapacitating, unable to perform usual activities</w:t>
            </w:r>
          </w:p>
        </w:tc>
        <w:tc>
          <w:tcPr>
            <w:tcW w:w="1445" w:type="pct"/>
            <w:tcBorders>
              <w:bottom w:val="single" w:sz="4" w:space="0" w:color="auto"/>
            </w:tcBorders>
          </w:tcPr>
          <w:p w14:paraId="6D8CF758" w14:textId="77777777" w:rsidR="00186FCD" w:rsidRPr="00801D16" w:rsidRDefault="00186FCD" w:rsidP="00DB2AE8">
            <w:pPr>
              <w:spacing w:before="40" w:after="40" w:line="240" w:lineRule="auto"/>
              <w:rPr>
                <w:rFonts w:ascii="Times New Roman" w:eastAsia="Times New Roman" w:hAnsi="Times New Roman" w:cs="Times New Roman"/>
                <w:szCs w:val="20"/>
              </w:rPr>
            </w:pPr>
            <w:r w:rsidRPr="00801D16">
              <w:rPr>
                <w:rFonts w:ascii="Times New Roman" w:eastAsia="Times New Roman" w:hAnsi="Times New Roman" w:cs="Times New Roman"/>
                <w:szCs w:val="20"/>
              </w:rPr>
              <w:t>Grade 1: &gt; 0 to &lt; 25 mm</w:t>
            </w:r>
          </w:p>
          <w:p w14:paraId="53F9E939" w14:textId="77777777" w:rsidR="00186FCD" w:rsidRPr="00801D16" w:rsidRDefault="00186FCD" w:rsidP="00DB2AE8">
            <w:pPr>
              <w:spacing w:before="40" w:after="40" w:line="240" w:lineRule="auto"/>
              <w:rPr>
                <w:rFonts w:ascii="Times New Roman" w:eastAsia="Times New Roman" w:hAnsi="Times New Roman" w:cs="Times New Roman"/>
                <w:szCs w:val="20"/>
              </w:rPr>
            </w:pPr>
            <w:r w:rsidRPr="00801D16">
              <w:rPr>
                <w:rFonts w:ascii="Times New Roman" w:eastAsia="Times New Roman" w:hAnsi="Times New Roman" w:cs="Times New Roman"/>
                <w:szCs w:val="20"/>
              </w:rPr>
              <w:t>Grade 2: ≥ 25 to &lt; 50 mm</w:t>
            </w:r>
          </w:p>
          <w:p w14:paraId="35750C18" w14:textId="77777777" w:rsidR="00186FCD" w:rsidRPr="00801D16" w:rsidRDefault="00186FCD" w:rsidP="00DB2AE8">
            <w:pPr>
              <w:spacing w:before="40" w:after="40" w:line="240" w:lineRule="auto"/>
              <w:rPr>
                <w:rFonts w:ascii="Times New Roman" w:eastAsia="Times New Roman" w:hAnsi="Times New Roman" w:cs="Times New Roman"/>
                <w:szCs w:val="20"/>
              </w:rPr>
            </w:pPr>
            <w:r w:rsidRPr="00801D16">
              <w:rPr>
                <w:rFonts w:ascii="Times New Roman" w:eastAsia="Times New Roman" w:hAnsi="Times New Roman" w:cs="Times New Roman"/>
                <w:szCs w:val="20"/>
              </w:rPr>
              <w:t>Grade 3: ≥ 50 mm</w:t>
            </w:r>
          </w:p>
        </w:tc>
        <w:tc>
          <w:tcPr>
            <w:tcW w:w="1445" w:type="pct"/>
            <w:tcBorders>
              <w:bottom w:val="single" w:sz="4" w:space="0" w:color="auto"/>
            </w:tcBorders>
          </w:tcPr>
          <w:p w14:paraId="665DCD22" w14:textId="77777777" w:rsidR="00186FCD" w:rsidRPr="00801D16" w:rsidRDefault="00186FCD" w:rsidP="00DB2AE8">
            <w:pPr>
              <w:spacing w:before="40" w:after="40" w:line="240" w:lineRule="auto"/>
              <w:rPr>
                <w:rFonts w:ascii="Times New Roman" w:eastAsia="Times New Roman" w:hAnsi="Times New Roman" w:cs="Times New Roman"/>
                <w:szCs w:val="20"/>
              </w:rPr>
            </w:pPr>
            <w:r w:rsidRPr="00801D16">
              <w:rPr>
                <w:rFonts w:ascii="Times New Roman" w:eastAsia="Times New Roman" w:hAnsi="Times New Roman" w:cs="Times New Roman"/>
                <w:szCs w:val="20"/>
              </w:rPr>
              <w:t>Grade 1: &gt; 0 to &lt; 25 mm</w:t>
            </w:r>
          </w:p>
          <w:p w14:paraId="37937814" w14:textId="77777777" w:rsidR="00186FCD" w:rsidRPr="00801D16" w:rsidRDefault="00186FCD" w:rsidP="00DB2AE8">
            <w:pPr>
              <w:spacing w:before="40" w:after="40" w:line="240" w:lineRule="auto"/>
              <w:rPr>
                <w:rFonts w:ascii="Times New Roman" w:eastAsia="Times New Roman" w:hAnsi="Times New Roman" w:cs="Times New Roman"/>
                <w:szCs w:val="20"/>
              </w:rPr>
            </w:pPr>
            <w:r w:rsidRPr="00801D16">
              <w:rPr>
                <w:rFonts w:ascii="Times New Roman" w:eastAsia="Times New Roman" w:hAnsi="Times New Roman" w:cs="Times New Roman"/>
                <w:szCs w:val="20"/>
              </w:rPr>
              <w:t>Grade 2: ≥ 25 to &lt; 50 mm</w:t>
            </w:r>
          </w:p>
          <w:p w14:paraId="2F72723B" w14:textId="77777777" w:rsidR="00186FCD" w:rsidRPr="00801D16" w:rsidRDefault="00186FCD" w:rsidP="00DB2AE8">
            <w:pPr>
              <w:spacing w:before="40" w:after="40" w:line="240" w:lineRule="auto"/>
              <w:rPr>
                <w:rFonts w:ascii="Times New Roman" w:eastAsia="Times New Roman" w:hAnsi="Times New Roman" w:cs="Times New Roman"/>
                <w:szCs w:val="20"/>
              </w:rPr>
            </w:pPr>
            <w:r w:rsidRPr="00801D16">
              <w:rPr>
                <w:rFonts w:ascii="Times New Roman" w:eastAsia="Times New Roman" w:hAnsi="Times New Roman" w:cs="Times New Roman"/>
                <w:szCs w:val="20"/>
              </w:rPr>
              <w:t>Grade 3: ≥ 50 mm</w:t>
            </w:r>
          </w:p>
        </w:tc>
      </w:tr>
    </w:tbl>
    <w:p w14:paraId="74757E6E" w14:textId="77777777" w:rsidR="00186FCD" w:rsidRDefault="00186FCD" w:rsidP="00186FCD">
      <w:pPr>
        <w:spacing w:line="480" w:lineRule="auto"/>
        <w:jc w:val="both"/>
        <w:rPr>
          <w:rFonts w:ascii="Times New Roman" w:hAnsi="Times New Roman" w:cs="Times New Roman"/>
          <w:lang w:val="en-GB"/>
        </w:rPr>
      </w:pPr>
      <w:r w:rsidRPr="00801D16">
        <w:rPr>
          <w:rFonts w:ascii="Times New Roman" w:hAnsi="Times New Roman" w:cs="Times New Roman"/>
          <w:lang w:val="en-GB"/>
        </w:rPr>
        <w:t>*For the subjective reaction of pain, subjects or parents / guardians will record the intensity level (Grade 1, 2, or 3) in the diary card. For the measurable reactions of redness and swelling, they will record just the size of the reaction, and the classification as Grade 1, 2, or 3 will be assigned at the time of the statistical analysis.</w:t>
      </w:r>
    </w:p>
    <w:p w14:paraId="4B70D79A" w14:textId="77777777" w:rsidR="00A339ED" w:rsidRPr="00186FCD" w:rsidRDefault="00A339ED">
      <w:pPr>
        <w:rPr>
          <w:lang w:val="en-GB"/>
        </w:rPr>
      </w:pPr>
    </w:p>
    <w:sectPr w:rsidR="00A339ED" w:rsidRPr="00186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CD"/>
    <w:rsid w:val="0018652B"/>
    <w:rsid w:val="00186FCD"/>
    <w:rsid w:val="00A3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E624"/>
  <w15:chartTrackingRefBased/>
  <w15:docId w15:val="{695AF446-1ADF-42D0-ACFF-0A401F37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F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Sue Newman</dc:creator>
  <cp:keywords/>
  <dc:description/>
  <cp:lastModifiedBy>Amy Sue Newman</cp:lastModifiedBy>
  <cp:revision>2</cp:revision>
  <dcterms:created xsi:type="dcterms:W3CDTF">2020-07-08T18:05:00Z</dcterms:created>
  <dcterms:modified xsi:type="dcterms:W3CDTF">2020-07-08T18:05:00Z</dcterms:modified>
</cp:coreProperties>
</file>