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403C" w14:textId="77777777" w:rsidR="002D475B" w:rsidRDefault="002D475B" w:rsidP="002D47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D475B" w:rsidSect="006D05FC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C302ABD" w14:textId="72A8D3A9" w:rsidR="002D475B" w:rsidRPr="00291FDC" w:rsidRDefault="002D475B" w:rsidP="002D475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291FDC">
        <w:rPr>
          <w:rFonts w:ascii="Times New Roman" w:hAnsi="Times New Roman" w:cs="Times New Roman"/>
          <w:b/>
          <w:sz w:val="24"/>
          <w:szCs w:val="24"/>
        </w:rPr>
        <w:t>l Digital Content 7</w:t>
      </w:r>
      <w:r w:rsidRPr="009E1E76">
        <w:rPr>
          <w:rFonts w:ascii="Times New Roman" w:hAnsi="Times New Roman" w:cs="Times New Roman"/>
          <w:b/>
          <w:sz w:val="24"/>
          <w:szCs w:val="24"/>
        </w:rPr>
        <w:t>.</w:t>
      </w:r>
      <w:r w:rsidRPr="00291FDC">
        <w:rPr>
          <w:rFonts w:ascii="Times New Roman" w:hAnsi="Times New Roman" w:cs="Times New Roman"/>
          <w:bCs/>
          <w:sz w:val="24"/>
          <w:szCs w:val="24"/>
        </w:rPr>
        <w:t xml:space="preserve"> Proportion of participants with seroprotective </w:t>
      </w:r>
      <w:proofErr w:type="spellStart"/>
      <w:r w:rsidRPr="00291FDC">
        <w:rPr>
          <w:rFonts w:ascii="Times New Roman" w:hAnsi="Times New Roman" w:cs="Times New Roman"/>
          <w:bCs/>
          <w:sz w:val="24"/>
          <w:szCs w:val="24"/>
        </w:rPr>
        <w:t>hSBA</w:t>
      </w:r>
      <w:proofErr w:type="spellEnd"/>
      <w:r w:rsidRPr="00291FDC">
        <w:rPr>
          <w:rFonts w:ascii="Times New Roman" w:hAnsi="Times New Roman" w:cs="Times New Roman"/>
          <w:bCs/>
          <w:sz w:val="24"/>
          <w:szCs w:val="24"/>
        </w:rPr>
        <w:t xml:space="preserve"> titers (≥1:8) at Day 30 in participants aged A)2–5 years and B) 6–9 years (Per Protocol Analysis Set).</w:t>
      </w:r>
    </w:p>
    <w:p w14:paraId="5EE498E8" w14:textId="77777777" w:rsidR="002D475B" w:rsidRPr="00845162" w:rsidRDefault="002D475B" w:rsidP="002D47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2C6FC1C" wp14:editId="36C2B0BD">
            <wp:extent cx="8220710" cy="3433445"/>
            <wp:effectExtent l="0" t="0" r="0" b="0"/>
            <wp:docPr id="13" name="Picture 13" descr="T:\Agency Chester\Sanofi Pasteur\Men Quad TT manuscripts\MET35 Manuscript\7. Peer Rev comments\Suppl 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gency Chester\Sanofi Pasteur\Men Quad TT manuscripts\MET35 Manuscript\7. Peer Rev comments\Suppl Fig 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ED0D" w14:textId="77777777" w:rsidR="002D475B" w:rsidRPr="009E1E76" w:rsidRDefault="002D475B" w:rsidP="002D475B">
      <w:pPr>
        <w:spacing w:line="480" w:lineRule="auto"/>
        <w:jc w:val="both"/>
        <w:rPr>
          <w:rFonts w:ascii="Times New Roman" w:eastAsia="Times New Roman" w:hAnsi="Times New Roman" w:cs="Times New Roman"/>
          <w:lang w:val="en-GB" w:eastAsia="en-NZ"/>
        </w:rPr>
      </w:pPr>
      <w:r w:rsidRPr="009E1E76">
        <w:rPr>
          <w:rFonts w:ascii="Times New Roman" w:eastAsia="Times New Roman" w:hAnsi="Times New Roman" w:cs="Times New Roman"/>
          <w:lang w:val="en-GB" w:eastAsia="en-NZ"/>
        </w:rPr>
        <w:t>Error bars indicate 95% CI.</w:t>
      </w:r>
    </w:p>
    <w:sectPr w:rsidR="002D475B" w:rsidRPr="009E1E76" w:rsidSect="006D05FC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5B"/>
    <w:rsid w:val="002467B0"/>
    <w:rsid w:val="00291FDC"/>
    <w:rsid w:val="002929DE"/>
    <w:rsid w:val="002D475B"/>
    <w:rsid w:val="003F5C8C"/>
    <w:rsid w:val="006D05FC"/>
    <w:rsid w:val="0082040E"/>
    <w:rsid w:val="00857728"/>
    <w:rsid w:val="008749AD"/>
    <w:rsid w:val="00950C48"/>
    <w:rsid w:val="00AE1E0E"/>
    <w:rsid w:val="00B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3939"/>
  <w15:docId w15:val="{617086F8-D311-4B63-9814-10A78CB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47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D475B"/>
  </w:style>
  <w:style w:type="paragraph" w:styleId="BalloonText">
    <w:name w:val="Balloon Text"/>
    <w:basedOn w:val="Normal"/>
    <w:link w:val="BalloonTextChar"/>
    <w:uiPriority w:val="99"/>
    <w:semiHidden/>
    <w:unhideWhenUsed/>
    <w:rsid w:val="002D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DE, Springer</dc:creator>
  <cp:lastModifiedBy>Amy Sue Newman</cp:lastModifiedBy>
  <cp:revision>2</cp:revision>
  <dcterms:created xsi:type="dcterms:W3CDTF">2020-07-08T18:12:00Z</dcterms:created>
  <dcterms:modified xsi:type="dcterms:W3CDTF">2020-07-08T18:12:00Z</dcterms:modified>
</cp:coreProperties>
</file>