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2BA07" w14:textId="0B01EAA8" w:rsidR="002702D4" w:rsidRPr="00EE3609" w:rsidRDefault="00BE0459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EE3609">
        <w:rPr>
          <w:rFonts w:ascii="Times New Roman" w:hAnsi="Times New Roman" w:cs="Times New Roman"/>
          <w:i/>
          <w:iCs/>
          <w:sz w:val="24"/>
          <w:szCs w:val="24"/>
        </w:rPr>
        <w:t>Figure</w:t>
      </w:r>
    </w:p>
    <w:p w14:paraId="6393EAAC" w14:textId="7BC8AFC9" w:rsidR="002B15C2" w:rsidRPr="00EE3609" w:rsidRDefault="002B15C2" w:rsidP="002B15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609">
        <w:rPr>
          <w:rFonts w:ascii="Times New Roman" w:hAnsi="Times New Roman" w:cs="Times New Roman"/>
          <w:sz w:val="24"/>
          <w:szCs w:val="24"/>
        </w:rPr>
        <w:t xml:space="preserve">Recommendations for Clinicians who </w:t>
      </w:r>
      <w:r w:rsidR="00F1191A">
        <w:rPr>
          <w:rFonts w:ascii="Times New Roman" w:hAnsi="Times New Roman" w:cs="Times New Roman"/>
          <w:sz w:val="24"/>
          <w:szCs w:val="24"/>
        </w:rPr>
        <w:t>W</w:t>
      </w:r>
      <w:r w:rsidRPr="00EE3609">
        <w:rPr>
          <w:rFonts w:ascii="Times New Roman" w:hAnsi="Times New Roman" w:cs="Times New Roman"/>
          <w:sz w:val="24"/>
          <w:szCs w:val="24"/>
        </w:rPr>
        <w:t xml:space="preserve">ork with Caregivers of Persons Living with Dementia </w:t>
      </w:r>
    </w:p>
    <w:tbl>
      <w:tblPr>
        <w:tblStyle w:val="TableGrid"/>
        <w:tblpPr w:leftFromText="180" w:rightFromText="180" w:vertAnchor="page" w:horzAnchor="margin" w:tblpY="2395"/>
        <w:tblW w:w="0" w:type="auto"/>
        <w:tblLook w:val="04A0" w:firstRow="1" w:lastRow="0" w:firstColumn="1" w:lastColumn="0" w:noHBand="0" w:noVBand="1"/>
      </w:tblPr>
      <w:tblGrid>
        <w:gridCol w:w="1923"/>
        <w:gridCol w:w="11027"/>
      </w:tblGrid>
      <w:tr w:rsidR="00B72983" w:rsidRPr="00EE3609" w14:paraId="0A1D3CDE" w14:textId="77777777" w:rsidTr="00B72983">
        <w:tc>
          <w:tcPr>
            <w:tcW w:w="1525" w:type="dxa"/>
          </w:tcPr>
          <w:p w14:paraId="2A91A7B9" w14:textId="77777777" w:rsidR="00B72983" w:rsidRPr="00EE3609" w:rsidRDefault="00B72983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Domain</w:t>
            </w:r>
          </w:p>
        </w:tc>
        <w:tc>
          <w:tcPr>
            <w:tcW w:w="11425" w:type="dxa"/>
          </w:tcPr>
          <w:p w14:paraId="30DC2FA9" w14:textId="77777777" w:rsidR="00B72983" w:rsidRPr="00EE3609" w:rsidRDefault="00B72983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Recommendations</w:t>
            </w:r>
          </w:p>
        </w:tc>
      </w:tr>
      <w:tr w:rsidR="00B72983" w:rsidRPr="00EE3609" w14:paraId="606AB9C3" w14:textId="77777777" w:rsidTr="00B72983">
        <w:tc>
          <w:tcPr>
            <w:tcW w:w="1525" w:type="dxa"/>
          </w:tcPr>
          <w:p w14:paraId="1EB4B54A" w14:textId="77777777" w:rsidR="00B72983" w:rsidRPr="00EE3609" w:rsidRDefault="00B72983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Race</w:t>
            </w:r>
          </w:p>
        </w:tc>
        <w:tc>
          <w:tcPr>
            <w:tcW w:w="11425" w:type="dxa"/>
          </w:tcPr>
          <w:p w14:paraId="4A7D8149" w14:textId="44AED688" w:rsidR="00BF70EB" w:rsidRPr="00EE3609" w:rsidRDefault="00B72983" w:rsidP="00B72983">
            <w:pPr>
              <w:pStyle w:val="ListParagraph"/>
              <w:numPr>
                <w:ilvl w:val="0"/>
                <w:numId w:val="3"/>
              </w:num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Do not assume that Black caregivers are less distressed by their PLWDs’ symptoms because of their cultural values of filial obligation </w:t>
            </w:r>
            <w:r w:rsidR="003A0481" w:rsidRPr="00EE3609">
              <w:rPr>
                <w:rFonts w:ascii="Times New Roman" w:hAnsi="Times New Roman" w:cs="Times New Roman"/>
                <w:sz w:val="24"/>
                <w:szCs w:val="24"/>
              </w:rPr>
              <w:t>and cultural expectation of unquestionable responsib</w:t>
            </w:r>
            <w:r w:rsidR="00865B8D" w:rsidRPr="00EE3609">
              <w:rPr>
                <w:rFonts w:ascii="Times New Roman" w:hAnsi="Times New Roman" w:cs="Times New Roman"/>
                <w:sz w:val="24"/>
                <w:szCs w:val="24"/>
              </w:rPr>
              <w:t>ility for their older relatives</w:t>
            </w:r>
            <w:r w:rsidR="00E226A8" w:rsidRPr="00EE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C743DC2" w14:textId="77777777" w:rsidR="00BF70EB" w:rsidRPr="00EE3609" w:rsidRDefault="00BF70EB" w:rsidP="00BF70EB">
            <w:pPr>
              <w:pStyle w:val="ListParagraph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80814" w14:textId="4798C08A" w:rsidR="00B72983" w:rsidRPr="00EE3609" w:rsidRDefault="00EE3609" w:rsidP="00B72983">
            <w:pPr>
              <w:pStyle w:val="ListParagraph"/>
              <w:numPr>
                <w:ilvl w:val="0"/>
                <w:numId w:val="3"/>
              </w:num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Assess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PLWDs’ symptoms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using validated instruments and via discussions with caregivers. </w:t>
            </w:r>
          </w:p>
        </w:tc>
      </w:tr>
      <w:tr w:rsidR="00B72983" w:rsidRPr="00EE3609" w14:paraId="5F6CDE65" w14:textId="77777777" w:rsidTr="00B72983">
        <w:tc>
          <w:tcPr>
            <w:tcW w:w="1525" w:type="dxa"/>
          </w:tcPr>
          <w:p w14:paraId="79654727" w14:textId="77777777" w:rsidR="00B72983" w:rsidRPr="00EE3609" w:rsidRDefault="00B72983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11425" w:type="dxa"/>
          </w:tcPr>
          <w:p w14:paraId="05C290B8" w14:textId="686F328D" w:rsidR="00A95B43" w:rsidRPr="00EE3609" w:rsidRDefault="00B72983" w:rsidP="00F002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Recognize that most caregivers are female</w:t>
            </w:r>
            <w:r w:rsidR="00A95B4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Expect that female caregivers are likely to be more distressed</w:t>
            </w:r>
            <w:r w:rsidR="00EE3609" w:rsidRPr="00EE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85B623B" w14:textId="77777777" w:rsidR="00A95B43" w:rsidRPr="00EE3609" w:rsidRDefault="00A95B43" w:rsidP="00A95B43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879507" w14:textId="4A1F3EFB" w:rsidR="00B72983" w:rsidRPr="00EE3609" w:rsidRDefault="00DD08EF" w:rsidP="00F002B2">
            <w:pPr>
              <w:pStyle w:val="ListParagraph"/>
              <w:numPr>
                <w:ilvl w:val="0"/>
                <w:numId w:val="6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f male caregivers do not show distress or downplay it,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however, do not assume 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they are not distressed. In Western culture, men are socialized to </w:t>
            </w:r>
            <w:r w:rsidR="00F002B2" w:rsidRPr="00EE3609">
              <w:rPr>
                <w:rFonts w:ascii="Times New Roman" w:hAnsi="Times New Roman" w:cs="Times New Roman"/>
                <w:sz w:val="24"/>
                <w:szCs w:val="24"/>
              </w:rPr>
              <w:t>emphasize self-efficacy and assertiveness which may lead to under-reporting depression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2B2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Attention to male caregivers is particularly important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because W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hite males </w:t>
            </w:r>
            <w:r w:rsidR="00784AB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have the most 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>suicides</w:t>
            </w:r>
            <w:r w:rsidR="00EE3609" w:rsidRPr="00EE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002B2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B72983" w:rsidRPr="00EE3609" w14:paraId="02C991C1" w14:textId="77777777" w:rsidTr="00B72983">
        <w:tc>
          <w:tcPr>
            <w:tcW w:w="1525" w:type="dxa"/>
          </w:tcPr>
          <w:p w14:paraId="6E9CB303" w14:textId="48F18C23" w:rsidR="00B72983" w:rsidRPr="00EE3609" w:rsidRDefault="00B72983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11425" w:type="dxa"/>
          </w:tcPr>
          <w:p w14:paraId="0C8C70A1" w14:textId="5AB6F6BE" w:rsidR="005F4953" w:rsidRPr="00EE3609" w:rsidRDefault="005F4953" w:rsidP="00A95B43">
            <w:pPr>
              <w:pStyle w:val="ListParagraph"/>
              <w:numPr>
                <w:ilvl w:val="0"/>
                <w:numId w:val="5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Attend to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younger caregivers who may appear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less distressed as they may seem to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have more energy</w:t>
            </w:r>
            <w:r w:rsidR="00EE3609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and other aspects of life beyond caregiving (e.g., job, family, live apart from their PLWD).</w:t>
            </w:r>
          </w:p>
        </w:tc>
      </w:tr>
      <w:tr w:rsidR="00B72983" w:rsidRPr="00EE3609" w14:paraId="0AA483BB" w14:textId="77777777" w:rsidTr="00B72983">
        <w:tc>
          <w:tcPr>
            <w:tcW w:w="1525" w:type="dxa"/>
          </w:tcPr>
          <w:p w14:paraId="09E9549C" w14:textId="709E772F" w:rsidR="00B72983" w:rsidRPr="00EE3609" w:rsidRDefault="005F4953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Relationship configuration</w:t>
            </w:r>
          </w:p>
        </w:tc>
        <w:tc>
          <w:tcPr>
            <w:tcW w:w="11425" w:type="dxa"/>
          </w:tcPr>
          <w:p w14:paraId="0335F46C" w14:textId="53A47408" w:rsidR="00B72983" w:rsidRPr="00EE3609" w:rsidRDefault="005F4953" w:rsidP="00986793">
            <w:pPr>
              <w:pStyle w:val="ListParagraph"/>
              <w:numPr>
                <w:ilvl w:val="0"/>
                <w:numId w:val="1"/>
              </w:num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Adult children caregivers are likely to be highly distressed</w:t>
            </w:r>
            <w:r w:rsidR="009027C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from sources of stress beyond caregiving.  Stressors from employment, their own family, and more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may compound </w:t>
            </w:r>
            <w:r w:rsidR="009027C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stress </w:t>
            </w:r>
            <w:r w:rsidR="009027C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caregiving</w:t>
            </w:r>
            <w:r w:rsidR="005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027C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50AE0E" w14:textId="77777777" w:rsidR="00815AC1" w:rsidRPr="00EE3609" w:rsidRDefault="00815AC1" w:rsidP="00815AC1">
            <w:pPr>
              <w:pStyle w:val="ListParagraph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22968A" w14:textId="4F0ADF4B" w:rsidR="00815AC1" w:rsidRPr="00EE3609" w:rsidRDefault="00F404BF" w:rsidP="00D43081">
            <w:pPr>
              <w:pStyle w:val="ListParagraph"/>
              <w:numPr>
                <w:ilvl w:val="0"/>
                <w:numId w:val="1"/>
              </w:num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Recognize that family conflict is highly prevalent in caregiving families.</w:t>
            </w:r>
            <w:r w:rsidR="00815AC1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815AC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7C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Initiate </w:t>
            </w:r>
            <w:r w:rsidR="00815AC1" w:rsidRPr="00EE3609">
              <w:rPr>
                <w:rFonts w:ascii="Times New Roman" w:hAnsi="Times New Roman" w:cs="Times New Roman"/>
                <w:sz w:val="24"/>
                <w:szCs w:val="24"/>
              </w:rPr>
              <w:t>the conversation about family conflict and possible disagreements about caregiving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15AC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Encourage the caregiver who is providing </w:t>
            </w:r>
            <w:proofErr w:type="gramStart"/>
            <w:r w:rsidR="009027C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815AC1" w:rsidRPr="00EE3609">
              <w:rPr>
                <w:rFonts w:ascii="Times New Roman" w:hAnsi="Times New Roman" w:cs="Times New Roman"/>
                <w:sz w:val="24"/>
                <w:szCs w:val="24"/>
              </w:rPr>
              <w:t>majority of</w:t>
            </w:r>
            <w:proofErr w:type="gramEnd"/>
            <w:r w:rsidR="00815AC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care to set boundaries on caregiving and in relationship</w:t>
            </w:r>
            <w:r w:rsidR="009027CB" w:rsidRPr="00EE3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815AC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with family members</w:t>
            </w:r>
            <w:r w:rsidR="00A95B4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who do not provide hands-on or financial help. </w:t>
            </w:r>
            <w:r w:rsidR="00815AC1" w:rsidRPr="00EE3609">
              <w:rPr>
                <w:rFonts w:ascii="Times New Roman" w:hAnsi="Times New Roman" w:cs="Times New Roman"/>
                <w:sz w:val="24"/>
                <w:szCs w:val="24"/>
              </w:rPr>
              <w:t>Explain that caregiving is a full-time job that will be</w:t>
            </w:r>
            <w:r w:rsidR="002B15C2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come </w:t>
            </w:r>
            <w:r w:rsidR="00815AC1" w:rsidRPr="00EE3609">
              <w:rPr>
                <w:rFonts w:ascii="Times New Roman" w:hAnsi="Times New Roman" w:cs="Times New Roman"/>
                <w:sz w:val="24"/>
                <w:szCs w:val="24"/>
              </w:rPr>
              <w:t>progressively more difficult</w:t>
            </w:r>
            <w:r w:rsidR="005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E0AD124" w14:textId="77777777" w:rsidR="00815AC1" w:rsidRPr="00EE3609" w:rsidRDefault="00815AC1" w:rsidP="00815AC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5FA0B1" w14:textId="4D86FFA9" w:rsidR="00815AC1" w:rsidRPr="00EE3609" w:rsidRDefault="00815AC1" w:rsidP="006569B1">
            <w:pPr>
              <w:pStyle w:val="ListParagraph"/>
              <w:numPr>
                <w:ilvl w:val="0"/>
                <w:numId w:val="1"/>
              </w:num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Encourage caregiver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to start discussions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with family members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about caregiving responsibilities and legal and financial planning. Recommend books/resources on </w:t>
            </w:r>
            <w:r w:rsidR="00563DF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initiating and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handling complex discussions (e.g., </w:t>
            </w:r>
            <w:r w:rsidRPr="00EE3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“Crucial Conversations: Tools for Talking when Stakes are High</w:t>
            </w:r>
            <w:r w:rsidR="00595F1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  <w:r w:rsidRPr="00EE36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B72983" w:rsidRPr="00EE3609" w14:paraId="01B6F44E" w14:textId="77777777" w:rsidTr="00B72983">
        <w:tc>
          <w:tcPr>
            <w:tcW w:w="1525" w:type="dxa"/>
          </w:tcPr>
          <w:p w14:paraId="645E5487" w14:textId="7FED7F6F" w:rsidR="00B72983" w:rsidRPr="00EE3609" w:rsidRDefault="002B15C2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Employment</w:t>
            </w:r>
          </w:p>
        </w:tc>
        <w:tc>
          <w:tcPr>
            <w:tcW w:w="11425" w:type="dxa"/>
          </w:tcPr>
          <w:p w14:paraId="71D6FE9E" w14:textId="6F252579" w:rsidR="006569B1" w:rsidRPr="00EE3609" w:rsidRDefault="006569B1" w:rsidP="00E57C86">
            <w:pPr>
              <w:pStyle w:val="ListParagraph"/>
              <w:numPr>
                <w:ilvl w:val="0"/>
                <w:numId w:val="2"/>
              </w:num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Provide information about financial expenditures associated with caregiving. Discuss the possibility 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the caregiver re-apprais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>ing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his/her financial situation 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>allow for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paid help (e.g., brainstorm ways to generate additional income to supply additional help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A1F1CB9" w14:textId="77777777" w:rsidR="006569B1" w:rsidRPr="00EE3609" w:rsidRDefault="006569B1" w:rsidP="006569B1">
            <w:pPr>
              <w:pStyle w:val="ListParagraph"/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F6AD17" w14:textId="7F1B7C01" w:rsidR="00E57C86" w:rsidRPr="00EE3609" w:rsidRDefault="00E57C86" w:rsidP="00D43081">
            <w:pPr>
              <w:pStyle w:val="ListParagraph"/>
              <w:numPr>
                <w:ilvl w:val="0"/>
                <w:numId w:val="2"/>
              </w:num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Forewarn caregivers who are employed that it is very common for caregivers to 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experience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employment disruption as a result of caregiving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Discuss with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caregivers 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possible consequences of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relinquishing employment 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such as diminished 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financial security but 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also </w:t>
            </w:r>
            <w:r w:rsidR="00656CEE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a changed social role with the 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>potential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6CEE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of 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>social isolation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>perceived loneliness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F31CD4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lower 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>self-worth</w:t>
            </w:r>
            <w:r w:rsidR="00656CEE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.  Future employment may also be jeopardized. 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>Discuss options to find a compromise between caregiving and employment (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e.g., 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part-time employment, asking for </w:t>
            </w:r>
            <w:r w:rsidR="00A41C58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paid or unpaid 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r w:rsidR="00A41C58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with caregiving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75B0BF1" w14:textId="77777777" w:rsidR="00BF70EB" w:rsidRPr="00EE3609" w:rsidRDefault="00BF70EB" w:rsidP="00BF70EB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DB6B5" w14:textId="5C7125AD" w:rsidR="00BF70EB" w:rsidRPr="00EE3609" w:rsidRDefault="00BF70EB" w:rsidP="002B15C2">
            <w:pPr>
              <w:pStyle w:val="ListParagraph"/>
              <w:numPr>
                <w:ilvl w:val="0"/>
                <w:numId w:val="2"/>
              </w:numPr>
              <w:ind w:left="299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Arrange a meeting with a social worker who may assist with applying for respite and financial assistance for caregivers. 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aregivers may not be able or willing to find help themselves (e.g., low health literacy, too busy, lacking knowledge about navigating the healthcare system)</w:t>
            </w:r>
            <w:r w:rsidR="005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983" w:rsidRPr="00EE3609" w14:paraId="6A0FF911" w14:textId="77777777" w:rsidTr="00B72983">
        <w:tc>
          <w:tcPr>
            <w:tcW w:w="1525" w:type="dxa"/>
          </w:tcPr>
          <w:p w14:paraId="62C710CD" w14:textId="1258713B" w:rsidR="00B72983" w:rsidRPr="00EE3609" w:rsidRDefault="002948F5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 since Dementia Onset</w:t>
            </w:r>
          </w:p>
        </w:tc>
        <w:tc>
          <w:tcPr>
            <w:tcW w:w="11425" w:type="dxa"/>
          </w:tcPr>
          <w:p w14:paraId="09DC78B9" w14:textId="7BBF4CAA" w:rsidR="0036509D" w:rsidRPr="00EE3609" w:rsidRDefault="0036509D" w:rsidP="00312FF0">
            <w:pPr>
              <w:pStyle w:val="ListParagraph"/>
              <w:numPr>
                <w:ilvl w:val="0"/>
                <w:numId w:val="7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Recognize that PLWDs’ quality of life will decrease with dementia progression. </w:t>
            </w:r>
            <w:r w:rsidR="008C4837" w:rsidRPr="00EE3609">
              <w:rPr>
                <w:rFonts w:ascii="Times New Roman" w:hAnsi="Times New Roman" w:cs="Times New Roman"/>
                <w:sz w:val="24"/>
                <w:szCs w:val="24"/>
              </w:rPr>
              <w:t>Formally a</w:t>
            </w:r>
            <w:r w:rsidR="0065517F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ssess </w:t>
            </w:r>
            <w:r w:rsidR="008C4837" w:rsidRPr="00EE3609">
              <w:rPr>
                <w:rFonts w:ascii="Times New Roman" w:hAnsi="Times New Roman" w:cs="Times New Roman"/>
                <w:sz w:val="24"/>
                <w:szCs w:val="24"/>
              </w:rPr>
              <w:t>cognition</w:t>
            </w:r>
            <w:r w:rsidR="008C4837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5,6</w:t>
            </w:r>
            <w:r w:rsidR="008C4837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="0065517F" w:rsidRPr="00EE3609">
              <w:rPr>
                <w:rFonts w:ascii="Times New Roman" w:hAnsi="Times New Roman" w:cs="Times New Roman"/>
                <w:sz w:val="24"/>
                <w:szCs w:val="24"/>
              </w:rPr>
              <w:t>dementia stage</w:t>
            </w:r>
            <w:r w:rsidR="008C4837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7,8</w:t>
            </w:r>
            <w:r w:rsidR="0065517F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and p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rovide resources appropriate for </w:t>
            </w:r>
            <w:r w:rsidR="00656CEE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dementia stage</w:t>
            </w:r>
            <w:r w:rsidR="005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948F5" w:rsidRPr="00EE3609" w14:paraId="5FACC9A3" w14:textId="77777777" w:rsidTr="00B72983">
        <w:tc>
          <w:tcPr>
            <w:tcW w:w="1525" w:type="dxa"/>
          </w:tcPr>
          <w:p w14:paraId="473EF3C0" w14:textId="51F1019D" w:rsidR="002948F5" w:rsidRPr="00EE3609" w:rsidRDefault="002948F5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Comorbidities</w:t>
            </w:r>
          </w:p>
        </w:tc>
        <w:tc>
          <w:tcPr>
            <w:tcW w:w="11425" w:type="dxa"/>
          </w:tcPr>
          <w:p w14:paraId="59F3122D" w14:textId="74ED0865" w:rsidR="002948F5" w:rsidRPr="00EE3609" w:rsidRDefault="0036509D" w:rsidP="00DC1773">
            <w:pPr>
              <w:pStyle w:val="ListParagraph"/>
              <w:numPr>
                <w:ilvl w:val="0"/>
                <w:numId w:val="8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Ensure comprehensive care provision to PLWD, recognizing that PLWD are likely to have numerous comorbidities that are difficult to manage</w:t>
            </w:r>
            <w:r w:rsidR="00C45EE7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.  Managing comorbidities is further complicated as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PLWDs’ capacity to communicate and care for </w:t>
            </w:r>
            <w:proofErr w:type="spellStart"/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 w:rsidR="00C45EE7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dim</w:t>
            </w:r>
            <w:r w:rsidR="00E226A8" w:rsidRPr="00EE3609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="00C45EE7" w:rsidRPr="00EE3609">
              <w:rPr>
                <w:rFonts w:ascii="Times New Roman" w:hAnsi="Times New Roman" w:cs="Times New Roman"/>
                <w:sz w:val="24"/>
                <w:szCs w:val="24"/>
              </w:rPr>
              <w:t>ishes</w:t>
            </w:r>
            <w:proofErr w:type="spellEnd"/>
            <w:r w:rsidR="005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1417C96" w14:textId="77777777" w:rsidR="00A41C58" w:rsidRPr="00EE3609" w:rsidRDefault="00A41C58" w:rsidP="00A41C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19F3DA" w14:textId="44680799" w:rsidR="00A41C58" w:rsidRPr="00EE3609" w:rsidRDefault="00A41C58" w:rsidP="00D43081">
            <w:pPr>
              <w:pStyle w:val="ListParagraph"/>
              <w:numPr>
                <w:ilvl w:val="0"/>
                <w:numId w:val="8"/>
              </w:numPr>
              <w:ind w:left="271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Employ geriatric care guidelines</w:t>
            </w:r>
            <w:r w:rsidR="00717052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and prescribe medications and treatments in concordance with the person’s dementia stage and adhering to geriatric pharmacotherapy guidelines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(Beer’s criteria)</w:t>
            </w:r>
            <w:r w:rsidR="00595F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DD4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9</w:t>
            </w:r>
          </w:p>
        </w:tc>
      </w:tr>
      <w:tr w:rsidR="002948F5" w:rsidRPr="00EE3609" w14:paraId="1EC912B7" w14:textId="77777777" w:rsidTr="00B72983">
        <w:tc>
          <w:tcPr>
            <w:tcW w:w="1525" w:type="dxa"/>
          </w:tcPr>
          <w:p w14:paraId="544C5872" w14:textId="456EA606" w:rsidR="002948F5" w:rsidRPr="00EE3609" w:rsidRDefault="002948F5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Dementia type</w:t>
            </w:r>
          </w:p>
        </w:tc>
        <w:tc>
          <w:tcPr>
            <w:tcW w:w="11425" w:type="dxa"/>
          </w:tcPr>
          <w:p w14:paraId="4A750AC8" w14:textId="2A91D162" w:rsidR="002948F5" w:rsidRPr="00EE3609" w:rsidRDefault="002948F5" w:rsidP="00F002B2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Ascertain </w:t>
            </w:r>
            <w:r w:rsidR="00C45EE7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specific type of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dementia</w:t>
            </w:r>
            <w:r w:rsidR="00595F14">
              <w:rPr>
                <w:rFonts w:ascii="Times New Roman" w:hAnsi="Times New Roman" w:cs="Times New Roman"/>
                <w:sz w:val="24"/>
                <w:szCs w:val="24"/>
              </w:rPr>
              <w:t xml:space="preserve"> (e.g., Alzheimer’s disease, vascular dementia, frontotemporal dementia).</w:t>
            </w:r>
            <w:r w:rsidR="00595F14" w:rsidRPr="00595F1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  <w:p w14:paraId="3C231B0C" w14:textId="77777777" w:rsidR="006569B1" w:rsidRPr="00EE3609" w:rsidRDefault="006569B1" w:rsidP="006569B1">
            <w:pPr>
              <w:pStyle w:val="ListParagraph"/>
              <w:ind w:left="389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E9FE2F" w14:textId="30C46FF1" w:rsidR="00A41C58" w:rsidRPr="00EE3609" w:rsidRDefault="00C45EE7" w:rsidP="00784AB3">
            <w:pPr>
              <w:pStyle w:val="ListParagraph"/>
              <w:numPr>
                <w:ilvl w:val="0"/>
                <w:numId w:val="4"/>
              </w:numPr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Tailor </w:t>
            </w:r>
            <w:r w:rsidR="002948F5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information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2948F5" w:rsidRPr="00EE3609">
              <w:rPr>
                <w:rFonts w:ascii="Times New Roman" w:hAnsi="Times New Roman" w:cs="Times New Roman"/>
                <w:sz w:val="24"/>
                <w:szCs w:val="24"/>
              </w:rPr>
              <w:t>specific dementia diagnosis, recognizing that caregivers of persons with non-Alzheimer’s dementia are likely to have insufficient information</w:t>
            </w:r>
            <w:r w:rsidR="00784AB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41C58" w:rsidRPr="00EE3609">
              <w:rPr>
                <w:rFonts w:ascii="Times New Roman" w:hAnsi="Times New Roman" w:cs="Times New Roman"/>
                <w:sz w:val="24"/>
                <w:szCs w:val="24"/>
              </w:rPr>
              <w:t>Refer to specialists</w:t>
            </w:r>
            <w:r w:rsidR="000B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72983" w:rsidRPr="00EE3609" w14:paraId="270031C7" w14:textId="77777777" w:rsidTr="00B72983">
        <w:tc>
          <w:tcPr>
            <w:tcW w:w="1525" w:type="dxa"/>
          </w:tcPr>
          <w:p w14:paraId="01D2F34C" w14:textId="77777777" w:rsidR="00B72983" w:rsidRPr="00EE3609" w:rsidRDefault="00B72983" w:rsidP="00B72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General recommendations</w:t>
            </w:r>
          </w:p>
        </w:tc>
        <w:tc>
          <w:tcPr>
            <w:tcW w:w="11425" w:type="dxa"/>
          </w:tcPr>
          <w:p w14:paraId="42158280" w14:textId="1F2E7499" w:rsidR="007C0FAA" w:rsidRPr="00EE3609" w:rsidRDefault="007B071E" w:rsidP="00717052">
            <w:pPr>
              <w:pStyle w:val="ListParagraph"/>
              <w:numPr>
                <w:ilvl w:val="0"/>
                <w:numId w:val="9"/>
              </w:numPr>
              <w:ind w:left="36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Confirm whether 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>adults who may possibly be caregivers are indeed caregivers</w:t>
            </w:r>
            <w:r w:rsidR="00E226A8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Without direct questioning, m</w:t>
            </w:r>
            <w:r w:rsidR="00B72983" w:rsidRPr="00EE3609">
              <w:rPr>
                <w:rFonts w:ascii="Times New Roman" w:hAnsi="Times New Roman" w:cs="Times New Roman"/>
                <w:sz w:val="24"/>
                <w:szCs w:val="24"/>
              </w:rPr>
              <w:t>any persons may not think of themselves as caregivers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or they may not volunteer this information</w:t>
            </w:r>
            <w:r w:rsidR="00717052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E3C2D70" w14:textId="77777777" w:rsidR="007C0FAA" w:rsidRPr="00EE3609" w:rsidRDefault="007C0FAA" w:rsidP="007C0F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EA7D2A" w14:textId="7876C7EE" w:rsidR="007C0FAA" w:rsidRPr="00EE3609" w:rsidRDefault="00B72983" w:rsidP="007C0FAA">
            <w:pPr>
              <w:pStyle w:val="ListParagraph"/>
              <w:numPr>
                <w:ilvl w:val="0"/>
                <w:numId w:val="9"/>
              </w:numPr>
              <w:ind w:left="36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Supplement discussion</w:t>
            </w:r>
            <w:r w:rsidR="009A6509" w:rsidRPr="00EE3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with </w:t>
            </w:r>
            <w:r w:rsidR="009A6509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administering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validated </w:t>
            </w:r>
            <w:r w:rsidR="009A6509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survey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instruments that </w:t>
            </w:r>
            <w:r w:rsidR="009A6509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measure important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PLWD- and caregiver</w:t>
            </w:r>
            <w:r w:rsidR="000B7A11">
              <w:rPr>
                <w:rFonts w:ascii="Times New Roman" w:hAnsi="Times New Roman" w:cs="Times New Roman"/>
                <w:sz w:val="24"/>
                <w:szCs w:val="24"/>
              </w:rPr>
              <w:t>-centered</w:t>
            </w:r>
            <w:r w:rsidR="009A6509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variables, including but not limited to: </w:t>
            </w:r>
            <w:proofErr w:type="spellStart"/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Zarit</w:t>
            </w:r>
            <w:proofErr w:type="spellEnd"/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Burden Interview,</w:t>
            </w:r>
            <w:r w:rsidR="00884DD4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10,11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Perceived Stress Scale,</w:t>
            </w:r>
            <w:r w:rsidR="00884DD4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Center for Epidemiologic Studies – Depression,</w:t>
            </w:r>
            <w:r w:rsidR="00884DD4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13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Patient-Reported Outcomes Measurement Information System – Anxiety,</w:t>
            </w:r>
            <w:r w:rsidR="00884DD4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Pearlin’s</w:t>
            </w:r>
            <w:proofErr w:type="spellEnd"/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Caregiver Stress Scales,</w:t>
            </w:r>
            <w:r w:rsidR="00884DD4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15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2B2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Neuropsychiatric Inventory</w:t>
            </w:r>
            <w:r w:rsidR="000B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DD4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16</w:t>
            </w:r>
          </w:p>
          <w:p w14:paraId="62D0B582" w14:textId="77777777" w:rsidR="007C0FAA" w:rsidRPr="00EE3609" w:rsidRDefault="007C0FAA" w:rsidP="007C0FA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272D2E" w14:textId="19C13293" w:rsidR="00A41C58" w:rsidRPr="000B7A11" w:rsidRDefault="009A6509" w:rsidP="000B7A11">
            <w:pPr>
              <w:pStyle w:val="ListParagraph"/>
              <w:numPr>
                <w:ilvl w:val="0"/>
                <w:numId w:val="9"/>
              </w:numPr>
              <w:ind w:left="36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Carefully assess information derived from </w:t>
            </w:r>
            <w:r w:rsidR="005F4953" w:rsidRPr="00EE3609">
              <w:rPr>
                <w:rFonts w:ascii="Times New Roman" w:hAnsi="Times New Roman" w:cs="Times New Roman"/>
                <w:sz w:val="24"/>
                <w:szCs w:val="24"/>
              </w:rPr>
              <w:t>discussion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5F4953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analyzing findings </w:t>
            </w:r>
            <w:r w:rsidR="005F4953" w:rsidRPr="00EE3609">
              <w:rPr>
                <w:rFonts w:ascii="Times New Roman" w:hAnsi="Times New Roman" w:cs="Times New Roman"/>
                <w:sz w:val="24"/>
                <w:szCs w:val="24"/>
              </w:rPr>
              <w:t>from the survey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instrument</w:t>
            </w:r>
            <w:r w:rsidR="005F4953" w:rsidRPr="00EE3609">
              <w:rPr>
                <w:rFonts w:ascii="Times New Roman" w:hAnsi="Times New Roman" w:cs="Times New Roman"/>
                <w:sz w:val="24"/>
                <w:szCs w:val="24"/>
              </w:rPr>
              <w:t>s to create a more comprehensive view of the caregivers’ situation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and offer individualized solutions</w:t>
            </w:r>
            <w:r w:rsidR="00E226A8" w:rsidRPr="00EE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26A8" w:rsidRPr="00EE3609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BF70EB" w:rsidRPr="00EE3609">
              <w:rPr>
                <w:rFonts w:ascii="Times New Roman" w:hAnsi="Times New Roman" w:cs="Times New Roman"/>
                <w:sz w:val="24"/>
                <w:szCs w:val="24"/>
              </w:rPr>
              <w:t>ollow up on the implementation of these solutions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and whether they are effective</w:t>
            </w:r>
            <w:r w:rsidR="000B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69354B" w14:textId="23BDE10F" w:rsidR="00A41C58" w:rsidRPr="00EE3609" w:rsidRDefault="00A41C58" w:rsidP="007C0FAA">
            <w:pPr>
              <w:pStyle w:val="ListParagraph"/>
              <w:numPr>
                <w:ilvl w:val="0"/>
                <w:numId w:val="9"/>
              </w:numPr>
              <w:ind w:left="36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Explain the various neuropsychiatric symptoms</w:t>
            </w:r>
            <w:r w:rsidR="009A6509" w:rsidRPr="00EE3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their etiology</w:t>
            </w:r>
            <w:r w:rsidR="009A6509" w:rsidRPr="00EE360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 and pharmacologic and nonpharmacologic management</w:t>
            </w:r>
            <w:r w:rsidR="000B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84DD4" w:rsidRPr="00EE360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17</w:t>
            </w:r>
          </w:p>
          <w:p w14:paraId="0D2E237E" w14:textId="77777777" w:rsidR="00D43081" w:rsidRPr="00EE3609" w:rsidRDefault="00D43081" w:rsidP="00D43081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1AC4E4" w14:textId="762FB8E7" w:rsidR="00D43081" w:rsidRPr="00EE3609" w:rsidRDefault="009A6509" w:rsidP="007C0FAA">
            <w:pPr>
              <w:pStyle w:val="ListParagraph"/>
              <w:numPr>
                <w:ilvl w:val="0"/>
                <w:numId w:val="9"/>
              </w:numPr>
              <w:ind w:left="360" w:hanging="450"/>
              <w:rPr>
                <w:rFonts w:ascii="Times New Roman" w:hAnsi="Times New Roman" w:cs="Times New Roman"/>
                <w:sz w:val="24"/>
                <w:szCs w:val="24"/>
              </w:rPr>
            </w:pP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Forewarn 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caregivers that dementia will progress despite 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D43081" w:rsidRPr="00EE3609">
              <w:rPr>
                <w:rFonts w:ascii="Times New Roman" w:hAnsi="Times New Roman" w:cs="Times New Roman"/>
                <w:sz w:val="24"/>
                <w:szCs w:val="24"/>
              </w:rPr>
              <w:t>caregivers’ best efforts and clarify prognostic information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.  Reinforce that progress of dementia is the expected</w:t>
            </w:r>
            <w:r w:rsidR="000B7A11">
              <w:rPr>
                <w:rFonts w:ascii="Times New Roman" w:hAnsi="Times New Roman" w:cs="Times New Roman"/>
                <w:sz w:val="24"/>
                <w:szCs w:val="24"/>
              </w:rPr>
              <w:t xml:space="preserve"> course</w:t>
            </w:r>
            <w:r w:rsidRPr="00EE3609">
              <w:rPr>
                <w:rFonts w:ascii="Times New Roman" w:hAnsi="Times New Roman" w:cs="Times New Roman"/>
                <w:sz w:val="24"/>
                <w:szCs w:val="24"/>
              </w:rPr>
              <w:t>, not a reflection of anything the caregiver did or did not do</w:t>
            </w:r>
            <w:r w:rsidR="000B7A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7F4ADEDE" w14:textId="57081A65" w:rsidR="00B72983" w:rsidRPr="00EE3609" w:rsidRDefault="00B72983" w:rsidP="00B72983">
      <w:pPr>
        <w:rPr>
          <w:rFonts w:ascii="Times New Roman" w:hAnsi="Times New Roman" w:cs="Times New Roman"/>
          <w:sz w:val="24"/>
          <w:szCs w:val="24"/>
        </w:rPr>
      </w:pPr>
      <w:r w:rsidRPr="00EE3609">
        <w:rPr>
          <w:rFonts w:ascii="Times New Roman" w:hAnsi="Times New Roman" w:cs="Times New Roman"/>
          <w:i/>
          <w:iCs/>
          <w:sz w:val="24"/>
          <w:szCs w:val="24"/>
        </w:rPr>
        <w:lastRenderedPageBreak/>
        <w:t>Note.</w:t>
      </w:r>
      <w:r w:rsidR="002B15C2" w:rsidRPr="00EE360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B15C2" w:rsidRPr="00EE3609">
        <w:rPr>
          <w:rFonts w:ascii="Times New Roman" w:hAnsi="Times New Roman" w:cs="Times New Roman"/>
          <w:sz w:val="24"/>
          <w:szCs w:val="24"/>
        </w:rPr>
        <w:t>PLWD – person living with dementia.</w:t>
      </w:r>
      <w:r w:rsidR="00F002B2" w:rsidRPr="00EE36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F002B2" w:rsidRPr="00EE3609">
        <w:rPr>
          <w:rFonts w:ascii="Times New Roman" w:hAnsi="Times New Roman" w:cs="Times New Roman"/>
          <w:sz w:val="24"/>
          <w:szCs w:val="24"/>
        </w:rPr>
        <w:t xml:space="preserve">Oksuzyan et al., (2008) </w:t>
      </w:r>
      <w:r w:rsidR="00F002B2" w:rsidRPr="00EE36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EE3609">
        <w:rPr>
          <w:rFonts w:ascii="Times New Roman" w:hAnsi="Times New Roman" w:cs="Times New Roman"/>
          <w:sz w:val="24"/>
          <w:szCs w:val="24"/>
        </w:rPr>
        <w:t>Centers for Disease Control and Prevention (2019)</w:t>
      </w:r>
      <w:r w:rsidR="00815AC1" w:rsidRPr="00EE3609">
        <w:rPr>
          <w:rFonts w:ascii="Times New Roman" w:hAnsi="Times New Roman" w:cs="Times New Roman"/>
          <w:sz w:val="24"/>
          <w:szCs w:val="24"/>
        </w:rPr>
        <w:t xml:space="preserve"> </w:t>
      </w:r>
      <w:r w:rsidR="00815AC1" w:rsidRPr="00EE3609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15AC1" w:rsidRPr="00EE3609">
        <w:rPr>
          <w:rFonts w:ascii="Times New Roman" w:hAnsi="Times New Roman" w:cs="Times New Roman"/>
          <w:sz w:val="24"/>
          <w:szCs w:val="24"/>
        </w:rPr>
        <w:t xml:space="preserve">Fukui et al., (2017) </w:t>
      </w:r>
      <w:r w:rsidR="00815AC1" w:rsidRPr="00EE36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2B15C2" w:rsidRPr="00EE3609">
        <w:rPr>
          <w:rFonts w:ascii="Times New Roman" w:hAnsi="Times New Roman" w:cs="Times New Roman"/>
          <w:sz w:val="24"/>
          <w:szCs w:val="24"/>
        </w:rPr>
        <w:t>Grenny et al., (2013)</w:t>
      </w:r>
      <w:r w:rsidR="00BF70EB" w:rsidRPr="00EE3609">
        <w:rPr>
          <w:rFonts w:ascii="Times New Roman" w:hAnsi="Times New Roman" w:cs="Times New Roman"/>
          <w:sz w:val="24"/>
          <w:szCs w:val="24"/>
        </w:rPr>
        <w:t xml:space="preserve"> </w:t>
      </w:r>
      <w:r w:rsidR="00BF70EB" w:rsidRPr="00EE36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F70EB" w:rsidRPr="00EE3609">
        <w:rPr>
          <w:rFonts w:ascii="Times New Roman" w:hAnsi="Times New Roman" w:cs="Times New Roman"/>
          <w:sz w:val="24"/>
          <w:szCs w:val="24"/>
        </w:rPr>
        <w:t>Alzheimer’s Association (2021)</w:t>
      </w:r>
      <w:r w:rsidR="008C4837" w:rsidRPr="00EE3609">
        <w:rPr>
          <w:rFonts w:ascii="Times New Roman" w:hAnsi="Times New Roman" w:cs="Times New Roman"/>
          <w:sz w:val="24"/>
          <w:szCs w:val="24"/>
        </w:rPr>
        <w:t xml:space="preserve"> </w:t>
      </w:r>
      <w:r w:rsidR="008C4837" w:rsidRPr="00EE36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8C4837" w:rsidRPr="00EE3609">
        <w:rPr>
          <w:rFonts w:ascii="Times New Roman" w:hAnsi="Times New Roman" w:cs="Times New Roman"/>
          <w:sz w:val="24"/>
          <w:szCs w:val="24"/>
        </w:rPr>
        <w:t xml:space="preserve">Borson et al., (2003) </w:t>
      </w:r>
      <w:r w:rsidR="008C4837" w:rsidRPr="00EE360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8C4837" w:rsidRPr="00EE3609">
        <w:rPr>
          <w:rFonts w:ascii="Times New Roman" w:hAnsi="Times New Roman" w:cs="Times New Roman"/>
          <w:sz w:val="24"/>
          <w:szCs w:val="24"/>
        </w:rPr>
        <w:t xml:space="preserve">Nasreddine et al., (2005) </w:t>
      </w:r>
      <w:r w:rsidR="008C4837" w:rsidRPr="00EE360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65517F" w:rsidRPr="00EE3609">
        <w:rPr>
          <w:rFonts w:ascii="Times New Roman" w:hAnsi="Times New Roman" w:cs="Times New Roman"/>
          <w:sz w:val="24"/>
          <w:szCs w:val="24"/>
        </w:rPr>
        <w:t>Reisberg et al., (198</w:t>
      </w:r>
      <w:r w:rsidR="008C4837" w:rsidRPr="00EE3609">
        <w:rPr>
          <w:rFonts w:ascii="Times New Roman" w:hAnsi="Times New Roman" w:cs="Times New Roman"/>
          <w:sz w:val="24"/>
          <w:szCs w:val="24"/>
        </w:rPr>
        <w:t>4</w:t>
      </w:r>
      <w:r w:rsidR="0065517F" w:rsidRPr="00EE3609">
        <w:rPr>
          <w:rFonts w:ascii="Times New Roman" w:hAnsi="Times New Roman" w:cs="Times New Roman"/>
          <w:sz w:val="24"/>
          <w:szCs w:val="24"/>
        </w:rPr>
        <w:t>)</w:t>
      </w:r>
      <w:r w:rsidR="008C4837" w:rsidRPr="00EE3609">
        <w:rPr>
          <w:rFonts w:ascii="Times New Roman" w:hAnsi="Times New Roman" w:cs="Times New Roman"/>
          <w:sz w:val="24"/>
          <w:szCs w:val="24"/>
        </w:rPr>
        <w:t xml:space="preserve"> </w:t>
      </w:r>
      <w:r w:rsidR="008C4837" w:rsidRPr="00EE3609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="00884DD4" w:rsidRPr="00EE3609">
        <w:rPr>
          <w:rFonts w:ascii="Times New Roman" w:hAnsi="Times New Roman" w:cs="Times New Roman"/>
          <w:sz w:val="24"/>
          <w:szCs w:val="24"/>
        </w:rPr>
        <w:t xml:space="preserve">Morris (1993) </w:t>
      </w:r>
      <w:r w:rsidR="00884DD4" w:rsidRPr="00EE3609">
        <w:rPr>
          <w:rFonts w:ascii="Times New Roman" w:hAnsi="Times New Roman" w:cs="Times New Roman"/>
          <w:sz w:val="24"/>
          <w:szCs w:val="24"/>
          <w:vertAlign w:val="superscript"/>
        </w:rPr>
        <w:t>9</w:t>
      </w:r>
      <w:r w:rsidR="00784AB3" w:rsidRPr="00EE3609">
        <w:rPr>
          <w:rFonts w:ascii="Times New Roman" w:hAnsi="Times New Roman" w:cs="Times New Roman"/>
          <w:sz w:val="24"/>
          <w:szCs w:val="24"/>
        </w:rPr>
        <w:t>2019 American Geriatrics Society Beers Criteria</w:t>
      </w:r>
      <w:r w:rsidR="00784AB3" w:rsidRPr="00EE3609">
        <w:rPr>
          <w:rFonts w:ascii="Times New Roman" w:hAnsi="Times New Roman" w:cs="Times New Roman"/>
          <w:sz w:val="24"/>
          <w:szCs w:val="24"/>
          <w:vertAlign w:val="superscript"/>
        </w:rPr>
        <w:t>®</w:t>
      </w:r>
      <w:r w:rsidR="00784AB3" w:rsidRPr="00EE3609">
        <w:rPr>
          <w:rFonts w:ascii="Times New Roman" w:hAnsi="Times New Roman" w:cs="Times New Roman"/>
          <w:sz w:val="24"/>
          <w:szCs w:val="24"/>
        </w:rPr>
        <w:t xml:space="preserve">  Update Expert Panel</w:t>
      </w:r>
      <w:r w:rsidR="00011DE1" w:rsidRPr="00EE3609">
        <w:rPr>
          <w:rFonts w:ascii="Times New Roman" w:hAnsi="Times New Roman" w:cs="Times New Roman"/>
          <w:sz w:val="24"/>
          <w:szCs w:val="24"/>
        </w:rPr>
        <w:t xml:space="preserve"> </w:t>
      </w:r>
      <w:r w:rsidR="00884DD4" w:rsidRPr="00EE3609">
        <w:rPr>
          <w:rFonts w:ascii="Times New Roman" w:hAnsi="Times New Roman" w:cs="Times New Roman"/>
          <w:sz w:val="24"/>
          <w:szCs w:val="24"/>
          <w:vertAlign w:val="superscript"/>
        </w:rPr>
        <w:t>10</w:t>
      </w:r>
      <w:r w:rsidR="00E226A8" w:rsidRPr="00EE3609">
        <w:rPr>
          <w:rFonts w:ascii="Times New Roman" w:hAnsi="Times New Roman" w:cs="Times New Roman"/>
          <w:sz w:val="24"/>
          <w:szCs w:val="24"/>
        </w:rPr>
        <w:t xml:space="preserve">Zarit et al., (1980) </w:t>
      </w:r>
      <w:r w:rsidR="00884DD4" w:rsidRPr="00EE3609">
        <w:rPr>
          <w:rFonts w:ascii="Times New Roman" w:hAnsi="Times New Roman" w:cs="Times New Roman"/>
          <w:sz w:val="24"/>
          <w:szCs w:val="24"/>
          <w:vertAlign w:val="superscript"/>
        </w:rPr>
        <w:t>11</w:t>
      </w:r>
      <w:r w:rsidR="00E226A8" w:rsidRPr="00EE3609">
        <w:rPr>
          <w:rFonts w:ascii="Times New Roman" w:hAnsi="Times New Roman" w:cs="Times New Roman"/>
          <w:sz w:val="24"/>
          <w:szCs w:val="24"/>
        </w:rPr>
        <w:t xml:space="preserve">Bédard et al., (2001) </w:t>
      </w:r>
      <w:r w:rsidR="00884DD4" w:rsidRPr="00EE3609">
        <w:rPr>
          <w:rFonts w:ascii="Times New Roman" w:hAnsi="Times New Roman" w:cs="Times New Roman"/>
          <w:sz w:val="24"/>
          <w:szCs w:val="24"/>
          <w:vertAlign w:val="superscript"/>
        </w:rPr>
        <w:t>12</w:t>
      </w:r>
      <w:r w:rsidR="00E226A8" w:rsidRPr="00EE3609">
        <w:rPr>
          <w:rFonts w:ascii="Times New Roman" w:hAnsi="Times New Roman" w:cs="Times New Roman"/>
          <w:sz w:val="24"/>
          <w:szCs w:val="24"/>
        </w:rPr>
        <w:t xml:space="preserve">Cohen et al., (1983) </w:t>
      </w:r>
      <w:r w:rsidR="00E226A8" w:rsidRPr="00EE36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84DD4" w:rsidRPr="00EE360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26A8" w:rsidRPr="00EE3609">
        <w:rPr>
          <w:rFonts w:ascii="Times New Roman" w:hAnsi="Times New Roman" w:cs="Times New Roman"/>
          <w:sz w:val="24"/>
          <w:szCs w:val="24"/>
        </w:rPr>
        <w:t>Radloff et al., (1</w:t>
      </w:r>
      <w:r w:rsidR="0018391A" w:rsidRPr="00EE3609">
        <w:rPr>
          <w:rFonts w:ascii="Times New Roman" w:hAnsi="Times New Roman" w:cs="Times New Roman"/>
          <w:sz w:val="24"/>
          <w:szCs w:val="24"/>
        </w:rPr>
        <w:t xml:space="preserve">977) </w:t>
      </w:r>
      <w:r w:rsidR="0018391A" w:rsidRPr="00EE36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84DD4" w:rsidRPr="00EE3609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18391A" w:rsidRPr="00EE3609">
        <w:rPr>
          <w:rFonts w:ascii="Times New Roman" w:hAnsi="Times New Roman" w:cs="Times New Roman"/>
          <w:sz w:val="24"/>
          <w:szCs w:val="24"/>
        </w:rPr>
        <w:t xml:space="preserve">PROMIS (n.d.) </w:t>
      </w:r>
      <w:r w:rsidR="0018391A" w:rsidRPr="00EE36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84DD4" w:rsidRPr="00EE3609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="0018391A" w:rsidRPr="00EE3609">
        <w:rPr>
          <w:rFonts w:ascii="Times New Roman" w:hAnsi="Times New Roman" w:cs="Times New Roman"/>
          <w:sz w:val="24"/>
          <w:szCs w:val="24"/>
        </w:rPr>
        <w:t xml:space="preserve">Pearlin et al., (1990) </w:t>
      </w:r>
      <w:r w:rsidR="0018391A" w:rsidRPr="00EE36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84DD4" w:rsidRPr="00EE3609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="0021378B" w:rsidRPr="00EE3609">
        <w:rPr>
          <w:rFonts w:ascii="Times New Roman" w:hAnsi="Times New Roman" w:cs="Times New Roman"/>
          <w:sz w:val="24"/>
          <w:szCs w:val="24"/>
        </w:rPr>
        <w:t xml:space="preserve">Kaufer et al., (2000) </w:t>
      </w:r>
      <w:r w:rsidR="0021378B" w:rsidRPr="00EE3609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884DD4" w:rsidRPr="00EE3609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="00A41C58" w:rsidRPr="00EE3609">
        <w:rPr>
          <w:rFonts w:ascii="Times New Roman" w:hAnsi="Times New Roman" w:cs="Times New Roman"/>
          <w:sz w:val="24"/>
          <w:szCs w:val="24"/>
        </w:rPr>
        <w:t>Desai et al., (2012</w:t>
      </w:r>
      <w:r w:rsidR="00784AB3" w:rsidRPr="00EE3609">
        <w:rPr>
          <w:rFonts w:ascii="Times New Roman" w:hAnsi="Times New Roman" w:cs="Times New Roman"/>
          <w:sz w:val="24"/>
          <w:szCs w:val="24"/>
        </w:rPr>
        <w:t>)</w:t>
      </w:r>
    </w:p>
    <w:p w14:paraId="33EA91B3" w14:textId="48E43E98" w:rsidR="00B72983" w:rsidRPr="00EE3609" w:rsidRDefault="00B72983" w:rsidP="00B72983">
      <w:pPr>
        <w:rPr>
          <w:rFonts w:ascii="Times New Roman" w:hAnsi="Times New Roman" w:cs="Times New Roman"/>
          <w:sz w:val="24"/>
          <w:szCs w:val="24"/>
        </w:rPr>
      </w:pPr>
    </w:p>
    <w:p w14:paraId="77421A64" w14:textId="3DFB71FA" w:rsidR="00B72983" w:rsidRPr="00EE3609" w:rsidRDefault="00B72983" w:rsidP="00B72983">
      <w:pPr>
        <w:rPr>
          <w:rFonts w:ascii="Times New Roman" w:hAnsi="Times New Roman" w:cs="Times New Roman"/>
          <w:sz w:val="24"/>
          <w:szCs w:val="24"/>
        </w:rPr>
      </w:pPr>
    </w:p>
    <w:p w14:paraId="72506334" w14:textId="10FAA480" w:rsidR="00B72983" w:rsidRPr="00EE3609" w:rsidRDefault="00B72983" w:rsidP="00B72983">
      <w:pPr>
        <w:rPr>
          <w:rFonts w:ascii="Times New Roman" w:hAnsi="Times New Roman" w:cs="Times New Roman"/>
          <w:sz w:val="24"/>
          <w:szCs w:val="24"/>
        </w:rPr>
      </w:pPr>
    </w:p>
    <w:p w14:paraId="7A857779" w14:textId="6D4546E7" w:rsidR="00B72983" w:rsidRPr="00EE3609" w:rsidRDefault="00B72983" w:rsidP="00B72983">
      <w:pPr>
        <w:rPr>
          <w:rFonts w:ascii="Times New Roman" w:hAnsi="Times New Roman" w:cs="Times New Roman"/>
          <w:sz w:val="24"/>
          <w:szCs w:val="24"/>
        </w:rPr>
      </w:pPr>
    </w:p>
    <w:p w14:paraId="15BE0621" w14:textId="35FDDD5B" w:rsidR="00B72983" w:rsidRPr="00EE3609" w:rsidRDefault="00B72983" w:rsidP="00B72983">
      <w:pPr>
        <w:rPr>
          <w:rFonts w:ascii="Times New Roman" w:hAnsi="Times New Roman" w:cs="Times New Roman"/>
          <w:sz w:val="24"/>
          <w:szCs w:val="24"/>
        </w:rPr>
      </w:pPr>
    </w:p>
    <w:p w14:paraId="6721BCD4" w14:textId="145609E1" w:rsidR="00B72983" w:rsidRPr="00EE3609" w:rsidRDefault="00B72983" w:rsidP="00B72983">
      <w:pPr>
        <w:rPr>
          <w:rFonts w:ascii="Times New Roman" w:hAnsi="Times New Roman" w:cs="Times New Roman"/>
          <w:sz w:val="24"/>
          <w:szCs w:val="24"/>
        </w:rPr>
      </w:pPr>
    </w:p>
    <w:p w14:paraId="43C5AFB1" w14:textId="11F1E090" w:rsidR="00B72983" w:rsidRPr="00EE3609" w:rsidRDefault="00B72983" w:rsidP="00B72983">
      <w:pPr>
        <w:rPr>
          <w:rFonts w:ascii="Times New Roman" w:hAnsi="Times New Roman" w:cs="Times New Roman"/>
          <w:sz w:val="24"/>
          <w:szCs w:val="24"/>
        </w:rPr>
      </w:pPr>
    </w:p>
    <w:p w14:paraId="07409DD4" w14:textId="77777777" w:rsidR="00B72983" w:rsidRPr="00EE3609" w:rsidRDefault="00B72983" w:rsidP="00B72983">
      <w:pPr>
        <w:rPr>
          <w:rFonts w:ascii="Times New Roman" w:hAnsi="Times New Roman" w:cs="Times New Roman"/>
          <w:sz w:val="24"/>
          <w:szCs w:val="24"/>
        </w:rPr>
      </w:pPr>
    </w:p>
    <w:sectPr w:rsidR="00B72983" w:rsidRPr="00EE3609" w:rsidSect="007F4466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E2C23F" w14:textId="77777777" w:rsidR="00E27A9F" w:rsidRDefault="00E27A9F" w:rsidP="007F4466">
      <w:pPr>
        <w:spacing w:after="0" w:line="240" w:lineRule="auto"/>
      </w:pPr>
      <w:r>
        <w:separator/>
      </w:r>
    </w:p>
  </w:endnote>
  <w:endnote w:type="continuationSeparator" w:id="0">
    <w:p w14:paraId="7D69B5DA" w14:textId="77777777" w:rsidR="00E27A9F" w:rsidRDefault="00E27A9F" w:rsidP="007F4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9F3DF" w14:textId="77777777" w:rsidR="00E27A9F" w:rsidRDefault="00E27A9F" w:rsidP="007F4466">
      <w:pPr>
        <w:spacing w:after="0" w:line="240" w:lineRule="auto"/>
      </w:pPr>
      <w:r>
        <w:separator/>
      </w:r>
    </w:p>
  </w:footnote>
  <w:footnote w:type="continuationSeparator" w:id="0">
    <w:p w14:paraId="2F004B89" w14:textId="77777777" w:rsidR="00E27A9F" w:rsidRDefault="00E27A9F" w:rsidP="007F4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A698" w14:textId="47A858D8" w:rsidR="007F4466" w:rsidRPr="007F4466" w:rsidRDefault="007F4466" w:rsidP="007F4466">
    <w:pPr>
      <w:pStyle w:val="Header"/>
      <w:rPr>
        <w:rFonts w:ascii="Times New Roman" w:hAnsi="Times New Roman" w:cs="Times New Roman"/>
        <w:sz w:val="24"/>
        <w:szCs w:val="24"/>
      </w:rPr>
    </w:pPr>
    <w:r w:rsidRPr="007F4466">
      <w:rPr>
        <w:rFonts w:ascii="Times New Roman" w:hAnsi="Times New Roman" w:cs="Times New Roman"/>
        <w:sz w:val="24"/>
        <w:szCs w:val="24"/>
      </w:rPr>
      <w:t>Figure</w:t>
    </w:r>
    <w:r>
      <w:rPr>
        <w:rFonts w:ascii="Times New Roman" w:hAnsi="Times New Roman" w:cs="Times New Roman"/>
        <w:sz w:val="24"/>
        <w:szCs w:val="24"/>
      </w:rPr>
      <w:t xml:space="preserve">                                                                                                                                                                                                         </w:t>
    </w:r>
    <w:r w:rsidRPr="007F4466">
      <w:rPr>
        <w:rFonts w:ascii="Times New Roman" w:hAnsi="Times New Roman" w:cs="Times New Roman"/>
        <w:sz w:val="24"/>
        <w:szCs w:val="24"/>
      </w:rPr>
      <w:t xml:space="preserve"> </w:t>
    </w:r>
    <w:sdt>
      <w:sdtPr>
        <w:rPr>
          <w:rFonts w:ascii="Times New Roman" w:hAnsi="Times New Roman" w:cs="Times New Roman"/>
          <w:sz w:val="24"/>
          <w:szCs w:val="24"/>
        </w:rPr>
        <w:id w:val="-1450696384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F446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F446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F446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7F446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F446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sdtContent>
    </w:sdt>
  </w:p>
  <w:p w14:paraId="0AA2CAA8" w14:textId="77777777" w:rsidR="007F4466" w:rsidRDefault="007F44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B09DE"/>
    <w:multiLevelType w:val="hybridMultilevel"/>
    <w:tmpl w:val="8D82546E"/>
    <w:lvl w:ilvl="0" w:tplc="91645790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182632"/>
    <w:multiLevelType w:val="hybridMultilevel"/>
    <w:tmpl w:val="A0E4E7A2"/>
    <w:lvl w:ilvl="0" w:tplc="F5647FE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A0013"/>
    <w:multiLevelType w:val="hybridMultilevel"/>
    <w:tmpl w:val="A3D250E6"/>
    <w:lvl w:ilvl="0" w:tplc="EC288206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D64"/>
    <w:multiLevelType w:val="hybridMultilevel"/>
    <w:tmpl w:val="AD52B948"/>
    <w:lvl w:ilvl="0" w:tplc="8E8868E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906B33"/>
    <w:multiLevelType w:val="hybridMultilevel"/>
    <w:tmpl w:val="9318AE14"/>
    <w:lvl w:ilvl="0" w:tplc="EB384574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5118B1"/>
    <w:multiLevelType w:val="hybridMultilevel"/>
    <w:tmpl w:val="327AD3EA"/>
    <w:lvl w:ilvl="0" w:tplc="436862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50970"/>
    <w:multiLevelType w:val="hybridMultilevel"/>
    <w:tmpl w:val="67C08BCC"/>
    <w:lvl w:ilvl="0" w:tplc="8344566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41140B"/>
    <w:multiLevelType w:val="hybridMultilevel"/>
    <w:tmpl w:val="9F80688E"/>
    <w:lvl w:ilvl="0" w:tplc="A42A66DE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7E47EB"/>
    <w:multiLevelType w:val="hybridMultilevel"/>
    <w:tmpl w:val="515493EA"/>
    <w:lvl w:ilvl="0" w:tplc="DEBC8BF8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466"/>
    <w:rsid w:val="00001BF9"/>
    <w:rsid w:val="00011DE1"/>
    <w:rsid w:val="000130B6"/>
    <w:rsid w:val="00065B5F"/>
    <w:rsid w:val="000B7A11"/>
    <w:rsid w:val="000D1CD5"/>
    <w:rsid w:val="00110F9C"/>
    <w:rsid w:val="001636DE"/>
    <w:rsid w:val="0018391A"/>
    <w:rsid w:val="001F02AE"/>
    <w:rsid w:val="00201526"/>
    <w:rsid w:val="0021378B"/>
    <w:rsid w:val="002413B8"/>
    <w:rsid w:val="002702D4"/>
    <w:rsid w:val="00277034"/>
    <w:rsid w:val="002948F5"/>
    <w:rsid w:val="00296D78"/>
    <w:rsid w:val="002B15C2"/>
    <w:rsid w:val="002D2923"/>
    <w:rsid w:val="00312FF0"/>
    <w:rsid w:val="00326E24"/>
    <w:rsid w:val="0036509D"/>
    <w:rsid w:val="003A0481"/>
    <w:rsid w:val="003A6685"/>
    <w:rsid w:val="005128A6"/>
    <w:rsid w:val="00527BD3"/>
    <w:rsid w:val="00537E71"/>
    <w:rsid w:val="00563DF4"/>
    <w:rsid w:val="005953D0"/>
    <w:rsid w:val="00595F14"/>
    <w:rsid w:val="005D23C3"/>
    <w:rsid w:val="005F4953"/>
    <w:rsid w:val="00617DB8"/>
    <w:rsid w:val="0062143A"/>
    <w:rsid w:val="00630B26"/>
    <w:rsid w:val="0065517F"/>
    <w:rsid w:val="006569B1"/>
    <w:rsid w:val="00656CEE"/>
    <w:rsid w:val="00694674"/>
    <w:rsid w:val="006E168A"/>
    <w:rsid w:val="00717052"/>
    <w:rsid w:val="0077788C"/>
    <w:rsid w:val="00784AB3"/>
    <w:rsid w:val="00786C65"/>
    <w:rsid w:val="00795DB5"/>
    <w:rsid w:val="007A612C"/>
    <w:rsid w:val="007B071E"/>
    <w:rsid w:val="007C0FAA"/>
    <w:rsid w:val="007F4466"/>
    <w:rsid w:val="00815AC1"/>
    <w:rsid w:val="00831F56"/>
    <w:rsid w:val="00865B8D"/>
    <w:rsid w:val="0087380E"/>
    <w:rsid w:val="00882B8E"/>
    <w:rsid w:val="00884DD4"/>
    <w:rsid w:val="008C4837"/>
    <w:rsid w:val="009027CB"/>
    <w:rsid w:val="00986793"/>
    <w:rsid w:val="00994EFB"/>
    <w:rsid w:val="009A6509"/>
    <w:rsid w:val="009E1C7A"/>
    <w:rsid w:val="009F186F"/>
    <w:rsid w:val="00A00C79"/>
    <w:rsid w:val="00A07C3C"/>
    <w:rsid w:val="00A41C58"/>
    <w:rsid w:val="00A477E9"/>
    <w:rsid w:val="00A95B43"/>
    <w:rsid w:val="00AB123B"/>
    <w:rsid w:val="00AD0BD7"/>
    <w:rsid w:val="00B1079C"/>
    <w:rsid w:val="00B448F3"/>
    <w:rsid w:val="00B65122"/>
    <w:rsid w:val="00B72983"/>
    <w:rsid w:val="00BA19FD"/>
    <w:rsid w:val="00BB7ABD"/>
    <w:rsid w:val="00BC7CC4"/>
    <w:rsid w:val="00BE0459"/>
    <w:rsid w:val="00BF70EB"/>
    <w:rsid w:val="00C13726"/>
    <w:rsid w:val="00C45EE7"/>
    <w:rsid w:val="00C95634"/>
    <w:rsid w:val="00CA2459"/>
    <w:rsid w:val="00CA4BC1"/>
    <w:rsid w:val="00CB4589"/>
    <w:rsid w:val="00CC4427"/>
    <w:rsid w:val="00D1470B"/>
    <w:rsid w:val="00D43081"/>
    <w:rsid w:val="00D54FF9"/>
    <w:rsid w:val="00D80F3B"/>
    <w:rsid w:val="00D9497B"/>
    <w:rsid w:val="00DB40A5"/>
    <w:rsid w:val="00DC1773"/>
    <w:rsid w:val="00DD08EF"/>
    <w:rsid w:val="00DE4438"/>
    <w:rsid w:val="00E226A8"/>
    <w:rsid w:val="00E27A9F"/>
    <w:rsid w:val="00E57C86"/>
    <w:rsid w:val="00ED3854"/>
    <w:rsid w:val="00EE3609"/>
    <w:rsid w:val="00EF626A"/>
    <w:rsid w:val="00F002B2"/>
    <w:rsid w:val="00F1191A"/>
    <w:rsid w:val="00F31CD4"/>
    <w:rsid w:val="00F404BF"/>
    <w:rsid w:val="00F46E47"/>
    <w:rsid w:val="00F4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D6F1"/>
  <w15:chartTrackingRefBased/>
  <w15:docId w15:val="{AE3F833B-07B0-458E-AB55-A63295FDB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466"/>
  </w:style>
  <w:style w:type="paragraph" w:styleId="Footer">
    <w:name w:val="footer"/>
    <w:basedOn w:val="Normal"/>
    <w:link w:val="FooterChar"/>
    <w:uiPriority w:val="99"/>
    <w:unhideWhenUsed/>
    <w:rsid w:val="007F4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466"/>
  </w:style>
  <w:style w:type="table" w:styleId="TableGrid">
    <w:name w:val="Table Grid"/>
    <w:basedOn w:val="TableNormal"/>
    <w:uiPriority w:val="39"/>
    <w:rsid w:val="00BE0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6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6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9B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02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27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27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2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27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891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Kovaleva, Mariya</dc:creator>
  <cp:keywords/>
  <dc:description/>
  <cp:lastModifiedBy>Kovaleva, Mariya</cp:lastModifiedBy>
  <cp:revision>2</cp:revision>
  <dcterms:created xsi:type="dcterms:W3CDTF">2021-11-10T16:33:00Z</dcterms:created>
  <dcterms:modified xsi:type="dcterms:W3CDTF">2021-11-10T16:33:00Z</dcterms:modified>
</cp:coreProperties>
</file>