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1AAC" w14:textId="23994AA2" w:rsidR="008F34E8" w:rsidRDefault="008F34E8" w:rsidP="00617046">
      <w:pPr>
        <w:widowControl w:val="0"/>
        <w:autoSpaceDE w:val="0"/>
        <w:autoSpaceDN w:val="0"/>
        <w:adjustRightInd w:val="0"/>
        <w:jc w:val="center"/>
        <w:rPr>
          <w:b/>
        </w:rPr>
      </w:pPr>
      <w:r w:rsidRPr="00194C13">
        <w:rPr>
          <w:b/>
        </w:rPr>
        <w:t>Supplementa</w:t>
      </w:r>
      <w:r>
        <w:rPr>
          <w:b/>
        </w:rPr>
        <w:t>l digital content</w:t>
      </w:r>
    </w:p>
    <w:p w14:paraId="2C14540F" w14:textId="77777777" w:rsidR="00617046" w:rsidRDefault="00617046" w:rsidP="00617046">
      <w:pPr>
        <w:widowControl w:val="0"/>
        <w:autoSpaceDE w:val="0"/>
        <w:autoSpaceDN w:val="0"/>
        <w:adjustRightInd w:val="0"/>
        <w:rPr>
          <w:b/>
        </w:rPr>
      </w:pPr>
    </w:p>
    <w:p w14:paraId="6535F89D" w14:textId="22E981B7" w:rsidR="00CE42FE" w:rsidRDefault="00CE42FE" w:rsidP="00617046">
      <w:pPr>
        <w:widowControl w:val="0"/>
        <w:autoSpaceDE w:val="0"/>
        <w:autoSpaceDN w:val="0"/>
        <w:adjustRightInd w:val="0"/>
        <w:rPr>
          <w:b/>
        </w:rPr>
      </w:pPr>
      <w:r>
        <w:rPr>
          <w:b/>
        </w:rPr>
        <w:t>Assessments</w:t>
      </w:r>
    </w:p>
    <w:p w14:paraId="73222125" w14:textId="77777777" w:rsidR="00617046" w:rsidRDefault="00617046" w:rsidP="00617046">
      <w:pPr>
        <w:widowControl w:val="0"/>
        <w:autoSpaceDE w:val="0"/>
        <w:autoSpaceDN w:val="0"/>
        <w:adjustRightInd w:val="0"/>
        <w:rPr>
          <w:b/>
        </w:rPr>
      </w:pPr>
    </w:p>
    <w:p w14:paraId="628F9BDD" w14:textId="7F5E7635" w:rsidR="00CE42FE" w:rsidRDefault="00CE42FE" w:rsidP="00617046">
      <w:pPr>
        <w:widowControl w:val="0"/>
        <w:autoSpaceDE w:val="0"/>
        <w:autoSpaceDN w:val="0"/>
        <w:adjustRightInd w:val="0"/>
        <w:ind w:firstLine="720"/>
      </w:pPr>
      <w:r>
        <w:t>The most common tests administered to the children at baseline were: the Bayley</w:t>
      </w:r>
      <w:r w:rsidR="008D62E0">
        <w:t xml:space="preserve"> </w:t>
      </w:r>
      <w:r>
        <w:t>Scales of Infant Development, 2</w:t>
      </w:r>
      <w:r w:rsidRPr="002051A8">
        <w:rPr>
          <w:vertAlign w:val="superscript"/>
        </w:rPr>
        <w:t>nd</w:t>
      </w:r>
      <w:r>
        <w:t xml:space="preserve"> Editio</w:t>
      </w:r>
      <w:r w:rsidR="008D62E0">
        <w:t>n</w:t>
      </w:r>
      <w:r>
        <w:t xml:space="preserve"> (</w:t>
      </w:r>
      <w:r w:rsidR="008D62E0">
        <w:t xml:space="preserve">Bayley, 1993; </w:t>
      </w:r>
      <w:r>
        <w:t xml:space="preserve">73% of cognition assessments); the </w:t>
      </w:r>
      <w:proofErr w:type="spellStart"/>
      <w:r>
        <w:t>Reynell</w:t>
      </w:r>
      <w:proofErr w:type="spellEnd"/>
      <w:r>
        <w:t xml:space="preserve"> Developmental Language Scale</w:t>
      </w:r>
      <w:r w:rsidR="008D62E0">
        <w:t>s</w:t>
      </w:r>
      <w:r>
        <w:t xml:space="preserve"> (</w:t>
      </w:r>
      <w:proofErr w:type="spellStart"/>
      <w:r w:rsidR="008D62E0">
        <w:t>Reynell</w:t>
      </w:r>
      <w:proofErr w:type="spellEnd"/>
      <w:r w:rsidR="008D62E0">
        <w:t xml:space="preserve"> &amp; Gruber, 1990; </w:t>
      </w:r>
      <w:r>
        <w:t xml:space="preserve">77% of receptive and expressive language assessments); and the Vineland </w:t>
      </w:r>
      <w:r w:rsidRPr="000C0436">
        <w:t>Adaptive Behavior Scales: Interview Editio</w:t>
      </w:r>
      <w:r w:rsidR="008D62E0">
        <w:t>n</w:t>
      </w:r>
      <w:r>
        <w:t xml:space="preserve"> (</w:t>
      </w:r>
      <w:r w:rsidR="008D62E0">
        <w:t xml:space="preserve">Sparrow, </w:t>
      </w:r>
      <w:proofErr w:type="spellStart"/>
      <w:r w:rsidR="008D62E0">
        <w:t>Balla</w:t>
      </w:r>
      <w:proofErr w:type="spellEnd"/>
      <w:r w:rsidR="008D62E0">
        <w:t xml:space="preserve">, &amp; </w:t>
      </w:r>
      <w:r w:rsidR="008D62E0">
        <w:rPr>
          <w:color w:val="000000"/>
        </w:rPr>
        <w:t>Cicchetti</w:t>
      </w:r>
      <w:r w:rsidR="008D62E0">
        <w:t xml:space="preserve">, 1984; </w:t>
      </w:r>
      <w:r>
        <w:t xml:space="preserve">94% of </w:t>
      </w:r>
      <w:r w:rsidRPr="00486DEC">
        <w:t>adaptive behavior</w:t>
      </w:r>
      <w:r>
        <w:t xml:space="preserve"> assessments).  Common final assessments were: the </w:t>
      </w:r>
      <w:r w:rsidRPr="000C0436">
        <w:t>Wechsler In</w:t>
      </w:r>
      <w:r>
        <w:t xml:space="preserve">telligence Scale for Children, </w:t>
      </w:r>
      <w:r w:rsidRPr="000C0436">
        <w:t>3</w:t>
      </w:r>
      <w:r w:rsidRPr="000C0436">
        <w:rPr>
          <w:vertAlign w:val="superscript"/>
        </w:rPr>
        <w:t>rd</w:t>
      </w:r>
      <w:r>
        <w:t xml:space="preserve"> </w:t>
      </w:r>
      <w:r w:rsidRPr="000C0436">
        <w:t>and 4</w:t>
      </w:r>
      <w:r w:rsidRPr="000C0436">
        <w:rPr>
          <w:vertAlign w:val="superscript"/>
        </w:rPr>
        <w:t>th</w:t>
      </w:r>
      <w:r>
        <w:t xml:space="preserve"> Edition</w:t>
      </w:r>
      <w:r w:rsidR="008D62E0">
        <w:t>s</w:t>
      </w:r>
      <w:r>
        <w:t xml:space="preserve"> (</w:t>
      </w:r>
      <w:r w:rsidR="008D62E0">
        <w:t xml:space="preserve">Wechsler, 1991, 2003; </w:t>
      </w:r>
      <w:r>
        <w:t>56% of cognition assessments</w:t>
      </w:r>
      <w:r w:rsidRPr="000C0436">
        <w:t>);</w:t>
      </w:r>
      <w:r>
        <w:t xml:space="preserve"> the </w:t>
      </w:r>
      <w:r w:rsidRPr="00736DE3">
        <w:t xml:space="preserve">Wechsler </w:t>
      </w:r>
      <w:r>
        <w:t xml:space="preserve">Preschool and </w:t>
      </w:r>
      <w:r w:rsidRPr="00736DE3">
        <w:t>Primary Scale</w:t>
      </w:r>
      <w:r>
        <w:t xml:space="preserve"> </w:t>
      </w:r>
      <w:r w:rsidRPr="00736DE3">
        <w:t>of Intelligence</w:t>
      </w:r>
      <w:r>
        <w:t>, Revised and 3</w:t>
      </w:r>
      <w:r w:rsidRPr="00736DE3">
        <w:rPr>
          <w:vertAlign w:val="superscript"/>
        </w:rPr>
        <w:t>rd</w:t>
      </w:r>
      <w:r>
        <w:t xml:space="preserve"> Edition</w:t>
      </w:r>
      <w:r w:rsidR="008D62E0">
        <w:t>s</w:t>
      </w:r>
      <w:r>
        <w:t xml:space="preserve"> (</w:t>
      </w:r>
      <w:r w:rsidR="008D62E0">
        <w:t xml:space="preserve">Wechsler, 1989, 2002; </w:t>
      </w:r>
      <w:r>
        <w:t xml:space="preserve">35% of cognition assessments); the </w:t>
      </w:r>
      <w:r w:rsidRPr="00FC7200">
        <w:t>Receptive One-Word Picture Vocabulary Test</w:t>
      </w:r>
      <w:r>
        <w:t xml:space="preserve"> and </w:t>
      </w:r>
      <w:r w:rsidRPr="00FC7200">
        <w:t>Expressive One-Word Picture Vocabulary Tes</w:t>
      </w:r>
      <w:r w:rsidR="00D078D1">
        <w:t>t</w:t>
      </w:r>
      <w:r>
        <w:t xml:space="preserve"> (</w:t>
      </w:r>
      <w:r w:rsidR="008D62E0">
        <w:t xml:space="preserve">Brownell, 2000a, 2000b; </w:t>
      </w:r>
      <w:r>
        <w:t xml:space="preserve">82% of receptive and expressive language assessments); and the Vineland </w:t>
      </w:r>
      <w:r w:rsidRPr="000C0436">
        <w:t>Adaptive Behavior Scales: Interview Editio</w:t>
      </w:r>
      <w:r w:rsidR="00D078D1">
        <w:t>n</w:t>
      </w:r>
      <w:r>
        <w:t xml:space="preserve"> (</w:t>
      </w:r>
      <w:r w:rsidR="008D62E0">
        <w:t xml:space="preserve">Sparrow et al., 1984; </w:t>
      </w:r>
      <w:r>
        <w:t xml:space="preserve">all </w:t>
      </w:r>
      <w:r w:rsidRPr="00486DEC">
        <w:t>adaptive behavior</w:t>
      </w:r>
      <w:r>
        <w:t xml:space="preserve"> assessments).  Intervals between the baseline and the final assessment for each domain are summarized in Supplemental Table 1.</w:t>
      </w:r>
    </w:p>
    <w:p w14:paraId="65E9D380" w14:textId="77777777" w:rsidR="00617046" w:rsidRDefault="00617046" w:rsidP="00617046">
      <w:pPr>
        <w:widowControl w:val="0"/>
        <w:autoSpaceDE w:val="0"/>
        <w:autoSpaceDN w:val="0"/>
        <w:adjustRightInd w:val="0"/>
        <w:ind w:firstLine="720"/>
      </w:pPr>
    </w:p>
    <w:p w14:paraId="3CDDF34D" w14:textId="6208289E" w:rsidR="00617046" w:rsidRPr="00CC1CBA" w:rsidRDefault="00617046" w:rsidP="00617046">
      <w:pPr>
        <w:keepNext/>
        <w:keepLines/>
        <w:tabs>
          <w:tab w:val="left" w:pos="1933"/>
        </w:tabs>
        <w:ind w:right="-180"/>
        <w:outlineLvl w:val="0"/>
        <w:rPr>
          <w:b/>
        </w:rPr>
      </w:pPr>
      <w:r w:rsidRPr="00CC1CBA">
        <w:rPr>
          <w:b/>
        </w:rPr>
        <w:t>Supplementa</w:t>
      </w:r>
      <w:r>
        <w:rPr>
          <w:b/>
        </w:rPr>
        <w:t>l</w:t>
      </w:r>
      <w:r w:rsidRPr="00CC1CBA">
        <w:rPr>
          <w:b/>
        </w:rPr>
        <w:t xml:space="preserve"> Table </w:t>
      </w:r>
      <w:r>
        <w:rPr>
          <w:b/>
        </w:rPr>
        <w:t>1</w:t>
      </w:r>
      <w:r w:rsidRPr="00CC1CBA">
        <w:rPr>
          <w:b/>
        </w:rPr>
        <w:t>. Mean (</w:t>
      </w:r>
      <w:r w:rsidRPr="00CC1CBA">
        <w:rPr>
          <w:b/>
          <w:i/>
        </w:rPr>
        <w:t>SD</w:t>
      </w:r>
      <w:r w:rsidRPr="00CC1CBA">
        <w:rPr>
          <w:b/>
        </w:rPr>
        <w:t>) Months between Baseline and Final Assessments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2371"/>
        <w:gridCol w:w="2396"/>
      </w:tblGrid>
      <w:tr w:rsidR="00617046" w:rsidRPr="00633A14" w14:paraId="2A62D757" w14:textId="77777777" w:rsidTr="000D4F1C">
        <w:tc>
          <w:tcPr>
            <w:tcW w:w="3873" w:type="dxa"/>
            <w:tcBorders>
              <w:top w:val="single" w:sz="4" w:space="0" w:color="auto"/>
            </w:tcBorders>
          </w:tcPr>
          <w:p w14:paraId="29CBACE9" w14:textId="77777777" w:rsidR="00617046" w:rsidRPr="00633A14" w:rsidRDefault="00617046" w:rsidP="00617046">
            <w:pPr>
              <w:rPr>
                <w:b/>
              </w:rPr>
            </w:pPr>
            <w:r w:rsidRPr="00633A14">
              <w:t>Domain(s)</w:t>
            </w:r>
          </w:p>
        </w:tc>
        <w:tc>
          <w:tcPr>
            <w:tcW w:w="2371" w:type="dxa"/>
            <w:tcBorders>
              <w:top w:val="single" w:sz="4" w:space="0" w:color="auto"/>
            </w:tcBorders>
          </w:tcPr>
          <w:p w14:paraId="05B53B9E" w14:textId="77777777" w:rsidR="00617046" w:rsidRPr="00633A14" w:rsidRDefault="00617046" w:rsidP="00617046">
            <w:pPr>
              <w:tabs>
                <w:tab w:val="decimal" w:pos="693"/>
              </w:tabs>
            </w:pPr>
            <w:r w:rsidRPr="00633A14">
              <w:t>Eclectic Treatment</w:t>
            </w:r>
          </w:p>
        </w:tc>
        <w:tc>
          <w:tcPr>
            <w:tcW w:w="2396" w:type="dxa"/>
            <w:tcBorders>
              <w:top w:val="single" w:sz="4" w:space="0" w:color="auto"/>
            </w:tcBorders>
          </w:tcPr>
          <w:p w14:paraId="14BCCF21" w14:textId="77777777" w:rsidR="00617046" w:rsidRPr="00633A14" w:rsidRDefault="00617046" w:rsidP="00617046">
            <w:pPr>
              <w:tabs>
                <w:tab w:val="decimal" w:pos="673"/>
              </w:tabs>
            </w:pPr>
            <w:r w:rsidRPr="00633A14">
              <w:t>ABA</w:t>
            </w:r>
            <w:r w:rsidRPr="00633A14" w:rsidDel="00D4291C">
              <w:t xml:space="preserve"> </w:t>
            </w:r>
            <w:r>
              <w:t>Treatment</w:t>
            </w:r>
          </w:p>
        </w:tc>
      </w:tr>
      <w:tr w:rsidR="00617046" w:rsidRPr="00633A14" w14:paraId="0F124A65" w14:textId="77777777" w:rsidTr="000D4F1C">
        <w:tc>
          <w:tcPr>
            <w:tcW w:w="3873" w:type="dxa"/>
            <w:tcBorders>
              <w:top w:val="single" w:sz="4" w:space="0" w:color="auto"/>
            </w:tcBorders>
          </w:tcPr>
          <w:p w14:paraId="2CEC00D8" w14:textId="77777777" w:rsidR="00617046" w:rsidRPr="00633A14" w:rsidRDefault="00617046" w:rsidP="00617046">
            <w:r w:rsidRPr="00633A14">
              <w:t>Cognitive</w:t>
            </w:r>
          </w:p>
        </w:tc>
        <w:tc>
          <w:tcPr>
            <w:tcW w:w="2371" w:type="dxa"/>
            <w:tcBorders>
              <w:top w:val="single" w:sz="4" w:space="0" w:color="auto"/>
            </w:tcBorders>
          </w:tcPr>
          <w:p w14:paraId="74E928F2" w14:textId="77777777" w:rsidR="00617046" w:rsidRPr="00633A14" w:rsidRDefault="00617046" w:rsidP="00617046">
            <w:pPr>
              <w:tabs>
                <w:tab w:val="decimal" w:pos="693"/>
              </w:tabs>
            </w:pPr>
            <w:r w:rsidRPr="00633A14">
              <w:t>52.</w:t>
            </w:r>
            <w:r>
              <w:t>65</w:t>
            </w:r>
            <w:r w:rsidRPr="00633A14">
              <w:t xml:space="preserve"> (16.</w:t>
            </w:r>
            <w:r>
              <w:t>69</w:t>
            </w:r>
            <w:r w:rsidRPr="00633A14">
              <w:t>)</w:t>
            </w:r>
          </w:p>
        </w:tc>
        <w:tc>
          <w:tcPr>
            <w:tcW w:w="2396" w:type="dxa"/>
            <w:tcBorders>
              <w:top w:val="single" w:sz="4" w:space="0" w:color="auto"/>
            </w:tcBorders>
          </w:tcPr>
          <w:p w14:paraId="2FD4BAE2" w14:textId="77777777" w:rsidR="00617046" w:rsidRPr="00633A14" w:rsidRDefault="00617046" w:rsidP="00617046">
            <w:pPr>
              <w:tabs>
                <w:tab w:val="decimal" w:pos="673"/>
              </w:tabs>
            </w:pPr>
            <w:r w:rsidRPr="00633A14">
              <w:t>50.</w:t>
            </w:r>
            <w:r>
              <w:t>74</w:t>
            </w:r>
            <w:r w:rsidRPr="00633A14">
              <w:t xml:space="preserve"> (23.</w:t>
            </w:r>
            <w:r>
              <w:t>96</w:t>
            </w:r>
            <w:r w:rsidRPr="00633A14">
              <w:t>)</w:t>
            </w:r>
          </w:p>
        </w:tc>
      </w:tr>
      <w:tr w:rsidR="00617046" w:rsidRPr="00633A14" w14:paraId="4067AFAA" w14:textId="77777777" w:rsidTr="000D4F1C">
        <w:tc>
          <w:tcPr>
            <w:tcW w:w="3873" w:type="dxa"/>
          </w:tcPr>
          <w:p w14:paraId="4BBCB372" w14:textId="77777777" w:rsidR="00617046" w:rsidRPr="00633A14" w:rsidRDefault="00617046" w:rsidP="00617046">
            <w:pPr>
              <w:rPr>
                <w:b/>
              </w:rPr>
            </w:pPr>
            <w:r>
              <w:t>Expressive, receptive</w:t>
            </w:r>
          </w:p>
        </w:tc>
        <w:tc>
          <w:tcPr>
            <w:tcW w:w="2371" w:type="dxa"/>
          </w:tcPr>
          <w:p w14:paraId="213D0371" w14:textId="77777777" w:rsidR="00617046" w:rsidRPr="00633A14" w:rsidRDefault="00617046" w:rsidP="00617046">
            <w:pPr>
              <w:tabs>
                <w:tab w:val="decimal" w:pos="693"/>
              </w:tabs>
            </w:pPr>
            <w:r w:rsidRPr="00633A14">
              <w:t>49.</w:t>
            </w:r>
            <w:r>
              <w:t>23</w:t>
            </w:r>
            <w:r w:rsidRPr="00633A14">
              <w:t xml:space="preserve"> (17.</w:t>
            </w:r>
            <w:r>
              <w:t>53</w:t>
            </w:r>
            <w:r w:rsidRPr="00633A14">
              <w:t>)</w:t>
            </w:r>
          </w:p>
        </w:tc>
        <w:tc>
          <w:tcPr>
            <w:tcW w:w="2396" w:type="dxa"/>
          </w:tcPr>
          <w:p w14:paraId="3CB9D686" w14:textId="77777777" w:rsidR="00617046" w:rsidRPr="00633A14" w:rsidRDefault="00617046" w:rsidP="00617046">
            <w:pPr>
              <w:tabs>
                <w:tab w:val="decimal" w:pos="673"/>
              </w:tabs>
            </w:pPr>
            <w:r w:rsidRPr="00633A14">
              <w:t>5</w:t>
            </w:r>
            <w:r>
              <w:t>1.20</w:t>
            </w:r>
            <w:r w:rsidRPr="00633A14">
              <w:t xml:space="preserve"> (22.</w:t>
            </w:r>
            <w:r>
              <w:t>67</w:t>
            </w:r>
            <w:r w:rsidRPr="00633A14">
              <w:t>)</w:t>
            </w:r>
          </w:p>
        </w:tc>
      </w:tr>
      <w:tr w:rsidR="00617046" w:rsidRPr="00633A14" w14:paraId="4CE4FFC7" w14:textId="77777777" w:rsidTr="000D4F1C">
        <w:tc>
          <w:tcPr>
            <w:tcW w:w="3873" w:type="dxa"/>
          </w:tcPr>
          <w:p w14:paraId="64CAF68E" w14:textId="77777777" w:rsidR="00617046" w:rsidRPr="00633A14" w:rsidRDefault="00617046" w:rsidP="00617046">
            <w:pPr>
              <w:rPr>
                <w:b/>
              </w:rPr>
            </w:pPr>
            <w:r w:rsidRPr="00633A14">
              <w:t>Adaptive composite</w:t>
            </w:r>
          </w:p>
        </w:tc>
        <w:tc>
          <w:tcPr>
            <w:tcW w:w="2371" w:type="dxa"/>
          </w:tcPr>
          <w:p w14:paraId="596191B5" w14:textId="77777777" w:rsidR="00617046" w:rsidRPr="00633A14" w:rsidRDefault="00617046" w:rsidP="00617046">
            <w:pPr>
              <w:tabs>
                <w:tab w:val="decimal" w:pos="693"/>
              </w:tabs>
            </w:pPr>
            <w:r w:rsidRPr="00633A14">
              <w:t>5</w:t>
            </w:r>
            <w:r>
              <w:t>1.96</w:t>
            </w:r>
            <w:r w:rsidRPr="00633A14">
              <w:t xml:space="preserve"> (16.</w:t>
            </w:r>
            <w:r>
              <w:t>88</w:t>
            </w:r>
            <w:r w:rsidRPr="00633A14">
              <w:t>)</w:t>
            </w:r>
          </w:p>
        </w:tc>
        <w:tc>
          <w:tcPr>
            <w:tcW w:w="2396" w:type="dxa"/>
          </w:tcPr>
          <w:p w14:paraId="0F1FAAB8" w14:textId="77777777" w:rsidR="00617046" w:rsidRPr="00633A14" w:rsidRDefault="00617046" w:rsidP="00617046">
            <w:pPr>
              <w:tabs>
                <w:tab w:val="decimal" w:pos="673"/>
              </w:tabs>
            </w:pPr>
            <w:r w:rsidRPr="00633A14">
              <w:t>52.</w:t>
            </w:r>
            <w:r>
              <w:t>59</w:t>
            </w:r>
            <w:r w:rsidRPr="00633A14">
              <w:t xml:space="preserve"> (23.</w:t>
            </w:r>
            <w:r>
              <w:t>37</w:t>
            </w:r>
            <w:r w:rsidRPr="00633A14">
              <w:t>)</w:t>
            </w:r>
          </w:p>
        </w:tc>
      </w:tr>
      <w:tr w:rsidR="00617046" w:rsidRPr="00633A14" w14:paraId="7D492F93" w14:textId="77777777" w:rsidTr="000D4F1C">
        <w:tc>
          <w:tcPr>
            <w:tcW w:w="3873" w:type="dxa"/>
          </w:tcPr>
          <w:p w14:paraId="08355235" w14:textId="77777777" w:rsidR="00617046" w:rsidRPr="00633A14" w:rsidRDefault="00617046" w:rsidP="00617046">
            <w:pPr>
              <w:rPr>
                <w:b/>
              </w:rPr>
            </w:pPr>
            <w:r w:rsidRPr="00633A14">
              <w:t>Communication, self-help, social</w:t>
            </w:r>
          </w:p>
        </w:tc>
        <w:tc>
          <w:tcPr>
            <w:tcW w:w="2371" w:type="dxa"/>
          </w:tcPr>
          <w:p w14:paraId="009F77BA" w14:textId="77777777" w:rsidR="00617046" w:rsidRPr="00633A14" w:rsidRDefault="00617046" w:rsidP="00617046">
            <w:pPr>
              <w:tabs>
                <w:tab w:val="decimal" w:pos="693"/>
              </w:tabs>
            </w:pPr>
            <w:r w:rsidRPr="00633A14">
              <w:t>53.</w:t>
            </w:r>
            <w:r>
              <w:t>03</w:t>
            </w:r>
            <w:r w:rsidRPr="00633A14">
              <w:t xml:space="preserve"> (16.4</w:t>
            </w:r>
            <w:r>
              <w:t>0</w:t>
            </w:r>
            <w:r w:rsidRPr="00633A14">
              <w:t>)</w:t>
            </w:r>
          </w:p>
        </w:tc>
        <w:tc>
          <w:tcPr>
            <w:tcW w:w="2396" w:type="dxa"/>
          </w:tcPr>
          <w:p w14:paraId="00C0BE17" w14:textId="77777777" w:rsidR="00617046" w:rsidRPr="00633A14" w:rsidRDefault="00617046" w:rsidP="00617046">
            <w:pPr>
              <w:tabs>
                <w:tab w:val="decimal" w:pos="673"/>
              </w:tabs>
            </w:pPr>
            <w:r w:rsidRPr="00633A14">
              <w:t>50.</w:t>
            </w:r>
            <w:r>
              <w:t>09</w:t>
            </w:r>
            <w:r w:rsidRPr="00633A14">
              <w:t xml:space="preserve"> (24.</w:t>
            </w:r>
            <w:r>
              <w:t>00</w:t>
            </w:r>
            <w:r w:rsidRPr="00633A14">
              <w:t>)</w:t>
            </w:r>
          </w:p>
        </w:tc>
      </w:tr>
      <w:tr w:rsidR="00617046" w:rsidRPr="00633A14" w14:paraId="237B7471" w14:textId="77777777" w:rsidTr="000D4F1C">
        <w:tc>
          <w:tcPr>
            <w:tcW w:w="3873" w:type="dxa"/>
            <w:tcBorders>
              <w:bottom w:val="single" w:sz="4" w:space="0" w:color="auto"/>
            </w:tcBorders>
          </w:tcPr>
          <w:p w14:paraId="7BB32115" w14:textId="77777777" w:rsidR="00617046" w:rsidRPr="00633A14" w:rsidRDefault="00617046" w:rsidP="00617046">
            <w:pPr>
              <w:rPr>
                <w:b/>
              </w:rPr>
            </w:pPr>
            <w:r w:rsidRPr="00633A14">
              <w:t>Motor</w:t>
            </w:r>
          </w:p>
        </w:tc>
        <w:tc>
          <w:tcPr>
            <w:tcW w:w="2371" w:type="dxa"/>
            <w:tcBorders>
              <w:bottom w:val="single" w:sz="4" w:space="0" w:color="auto"/>
            </w:tcBorders>
          </w:tcPr>
          <w:p w14:paraId="22090BE8" w14:textId="77777777" w:rsidR="00617046" w:rsidRPr="00633A14" w:rsidRDefault="00617046" w:rsidP="00617046">
            <w:pPr>
              <w:tabs>
                <w:tab w:val="decimal" w:pos="693"/>
              </w:tabs>
            </w:pPr>
            <w:r w:rsidRPr="00633A14">
              <w:t>2</w:t>
            </w:r>
            <w:r>
              <w:t>6.93</w:t>
            </w:r>
            <w:r w:rsidRPr="00633A14">
              <w:t xml:space="preserve"> (8.</w:t>
            </w:r>
            <w:r>
              <w:t>74</w:t>
            </w:r>
            <w:r w:rsidRPr="00633A14">
              <w:t>)</w:t>
            </w:r>
          </w:p>
        </w:tc>
        <w:tc>
          <w:tcPr>
            <w:tcW w:w="2396" w:type="dxa"/>
            <w:tcBorders>
              <w:bottom w:val="single" w:sz="4" w:space="0" w:color="auto"/>
            </w:tcBorders>
          </w:tcPr>
          <w:p w14:paraId="501A7EB3" w14:textId="77777777" w:rsidR="00617046" w:rsidRPr="00633A14" w:rsidRDefault="00617046" w:rsidP="00617046">
            <w:pPr>
              <w:tabs>
                <w:tab w:val="decimal" w:pos="673"/>
              </w:tabs>
            </w:pPr>
            <w:r w:rsidRPr="00633A14">
              <w:t>30.</w:t>
            </w:r>
            <w:r>
              <w:t>62</w:t>
            </w:r>
            <w:r w:rsidRPr="00633A14">
              <w:t xml:space="preserve"> (8.2</w:t>
            </w:r>
            <w:r>
              <w:t>5</w:t>
            </w:r>
            <w:r w:rsidRPr="00633A14">
              <w:t>)</w:t>
            </w:r>
          </w:p>
        </w:tc>
      </w:tr>
    </w:tbl>
    <w:p w14:paraId="522EDD9B" w14:textId="77777777" w:rsidR="00617046" w:rsidRDefault="00617046" w:rsidP="00617046"/>
    <w:p w14:paraId="034BF489" w14:textId="5663C644" w:rsidR="00E93D8F" w:rsidRDefault="00E93D8F" w:rsidP="00617046">
      <w:pPr>
        <w:widowControl w:val="0"/>
        <w:autoSpaceDE w:val="0"/>
        <w:autoSpaceDN w:val="0"/>
        <w:adjustRightInd w:val="0"/>
        <w:rPr>
          <w:b/>
        </w:rPr>
      </w:pPr>
      <w:r w:rsidRPr="00194C13">
        <w:rPr>
          <w:b/>
        </w:rPr>
        <w:t>Analyses of standard scores and developmental quotients</w:t>
      </w:r>
    </w:p>
    <w:p w14:paraId="4CBA06B4" w14:textId="77777777" w:rsidR="00617046" w:rsidRPr="008B4201" w:rsidRDefault="00617046" w:rsidP="00617046">
      <w:pPr>
        <w:widowControl w:val="0"/>
        <w:autoSpaceDE w:val="0"/>
        <w:autoSpaceDN w:val="0"/>
        <w:adjustRightInd w:val="0"/>
        <w:rPr>
          <w:b/>
        </w:rPr>
      </w:pPr>
    </w:p>
    <w:p w14:paraId="13F0E1CC" w14:textId="46ACB01A" w:rsidR="00E93D8F" w:rsidRDefault="00E93D8F" w:rsidP="00617046">
      <w:pPr>
        <w:widowControl w:val="0"/>
        <w:autoSpaceDE w:val="0"/>
        <w:autoSpaceDN w:val="0"/>
        <w:adjustRightInd w:val="0"/>
        <w:ind w:firstLine="720"/>
      </w:pPr>
      <w:r>
        <w:t xml:space="preserve">The analyses in the main article dichotomized baseline and final assessments for each child as normal (standard score [SS] ≥ 85 or developmental quotient [DQ] ≥ 85) or subnormal (SS &lt; 85 or DQ &lt; 85).  Statistical significance was determined using Fisher’s exact test, which is designed for dichotomous variables.  </w:t>
      </w:r>
      <w:r w:rsidR="00EB0358">
        <w:t>T</w:t>
      </w:r>
      <w:r>
        <w:t xml:space="preserve">his approach </w:t>
      </w:r>
      <w:r w:rsidR="00EB0358">
        <w:t xml:space="preserve">was adopted </w:t>
      </w:r>
      <w:r>
        <w:t xml:space="preserve">because families of children with autism have an implicit </w:t>
      </w:r>
      <w:r w:rsidRPr="00F06FAA">
        <w:t>understanding of what it m</w:t>
      </w:r>
      <w:r>
        <w:t xml:space="preserve">eans for a child to be “normal,” and so </w:t>
      </w:r>
      <w:r w:rsidR="005E63DE">
        <w:t>should</w:t>
      </w:r>
      <w:r>
        <w:t xml:space="preserve"> find analyses of the dichotomized outcomes meaningful.  However, several sets of analogous statistical analyses </w:t>
      </w:r>
      <w:r w:rsidR="00EB0358">
        <w:t xml:space="preserve">were also conducted </w:t>
      </w:r>
      <w:r>
        <w:t xml:space="preserve">using the original standard scores and developmental quotients.  Parents and guardians who lack familiarity with these measures </w:t>
      </w:r>
      <w:r w:rsidR="005E63DE">
        <w:t>will</w:t>
      </w:r>
      <w:r>
        <w:t xml:space="preserve"> find such analyses opaque; however, they have greater statistical power than analyses designed for dichotomous variables.  Thus, the results obtained from analyses of SS and DQ scores</w:t>
      </w:r>
      <w:r w:rsidR="006726FC">
        <w:t xml:space="preserve"> are reported below.</w:t>
      </w:r>
    </w:p>
    <w:p w14:paraId="1B13012B" w14:textId="17A005BA" w:rsidR="00E93D8F" w:rsidRDefault="00E93D8F" w:rsidP="00617046">
      <w:pPr>
        <w:widowControl w:val="0"/>
        <w:autoSpaceDE w:val="0"/>
        <w:autoSpaceDN w:val="0"/>
        <w:adjustRightInd w:val="0"/>
        <w:ind w:firstLine="720"/>
      </w:pPr>
      <w:r>
        <w:t>One set of analyses used paired t-tests to compare the average (mean) baseline SS or DQ score of each domain with the average final SS or DQ score for that domain, to</w:t>
      </w:r>
      <w:r w:rsidRPr="004C3B38">
        <w:t xml:space="preserve"> </w:t>
      </w:r>
      <w:r>
        <w:t xml:space="preserve">determine whether treatment typically results in statistically significant gains or declines.  Separate t-tests were conducted for each treatment group.  The tests revealed that children in the eclectic group exhibited statistically significant gains in their average cognitive, expressive communication, and receptive communication scores following treatment </w:t>
      </w:r>
      <w:r>
        <w:lastRenderedPageBreak/>
        <w:t>(Supplementa</w:t>
      </w:r>
      <w:r w:rsidR="00922346">
        <w:t>l</w:t>
      </w:r>
      <w:r>
        <w:t xml:space="preserve"> Table </w:t>
      </w:r>
      <w:r w:rsidR="00C14706">
        <w:t>2</w:t>
      </w:r>
      <w:r>
        <w:t xml:space="preserve">).  However, these gains were accompanied by statistically significant </w:t>
      </w:r>
      <w:r w:rsidRPr="00F54AE3">
        <w:rPr>
          <w:i/>
        </w:rPr>
        <w:t>declines</w:t>
      </w:r>
      <w:r>
        <w:t xml:space="preserve"> in the average adaptive composite and social domain scores.  Average scores declined as well for the communication, self-help, and motor domains following eclectic treatment, although these declines were not statistically significant (all </w:t>
      </w:r>
      <w:r w:rsidRPr="002647B8">
        <w:rPr>
          <w:i/>
        </w:rPr>
        <w:t>p</w:t>
      </w:r>
      <w:r>
        <w:t xml:space="preserve"> &gt; .10).  A different pattern was evident in the ABA treatment group.  For these children, the average scores for all but one domain exhibited statistically significant gains following treatment.  The sole exception was the motor domain, which exhibited a small, nonsignificant decline (</w:t>
      </w:r>
      <w:r w:rsidRPr="002A3D5D">
        <w:rPr>
          <w:i/>
        </w:rPr>
        <w:t>p</w:t>
      </w:r>
      <w:r>
        <w:t xml:space="preserve"> = .836).</w:t>
      </w:r>
    </w:p>
    <w:p w14:paraId="71087E58" w14:textId="77777777" w:rsidR="00617046" w:rsidRDefault="00617046" w:rsidP="00617046">
      <w:pPr>
        <w:widowControl w:val="0"/>
        <w:autoSpaceDE w:val="0"/>
        <w:autoSpaceDN w:val="0"/>
        <w:adjustRightInd w:val="0"/>
        <w:ind w:firstLine="720"/>
      </w:pPr>
    </w:p>
    <w:p w14:paraId="0237E480" w14:textId="57EC7B48" w:rsidR="00617046" w:rsidRPr="00CC1CBA" w:rsidRDefault="00617046" w:rsidP="00617046">
      <w:pPr>
        <w:keepNext/>
        <w:widowControl w:val="0"/>
        <w:autoSpaceDE w:val="0"/>
        <w:autoSpaceDN w:val="0"/>
        <w:adjustRightInd w:val="0"/>
        <w:rPr>
          <w:b/>
        </w:rPr>
      </w:pPr>
      <w:r w:rsidRPr="00CC1CBA">
        <w:rPr>
          <w:b/>
        </w:rPr>
        <w:t>Supplementa</w:t>
      </w:r>
      <w:r>
        <w:rPr>
          <w:b/>
        </w:rPr>
        <w:t>l</w:t>
      </w:r>
      <w:r w:rsidRPr="00CC1CBA">
        <w:rPr>
          <w:b/>
        </w:rPr>
        <w:t xml:space="preserve"> Table </w:t>
      </w:r>
      <w:r>
        <w:rPr>
          <w:b/>
        </w:rPr>
        <w:t>2</w:t>
      </w:r>
      <w:r w:rsidRPr="00CC1CBA">
        <w:rPr>
          <w:b/>
        </w:rPr>
        <w:t>.  Baseline and Final Scores (</w:t>
      </w:r>
      <w:r w:rsidRPr="00CC1CBA">
        <w:rPr>
          <w:b/>
          <w:i/>
        </w:rPr>
        <w:t>M</w:t>
      </w:r>
      <w:r w:rsidRPr="00CC1CBA">
        <w:rPr>
          <w:b/>
        </w:rPr>
        <w:t xml:space="preserve"> ± </w:t>
      </w:r>
      <w:r w:rsidRPr="00CC1CBA">
        <w:rPr>
          <w:b/>
          <w:i/>
        </w:rPr>
        <w:t>SD</w:t>
      </w:r>
      <w:r w:rsidRPr="00CC1CBA">
        <w:rPr>
          <w:b/>
        </w:rPr>
        <w:t>)</w:t>
      </w:r>
    </w:p>
    <w:tbl>
      <w:tblPr>
        <w:tblStyle w:val="TableGrid"/>
        <w:tblW w:w="53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620"/>
        <w:gridCol w:w="1980"/>
        <w:gridCol w:w="1815"/>
        <w:gridCol w:w="2019"/>
      </w:tblGrid>
      <w:tr w:rsidR="00617046" w14:paraId="3AE114FD" w14:textId="77777777" w:rsidTr="000D4F1C">
        <w:tc>
          <w:tcPr>
            <w:tcW w:w="1890" w:type="dxa"/>
            <w:vMerge w:val="restart"/>
            <w:tcBorders>
              <w:top w:val="single" w:sz="4" w:space="0" w:color="auto"/>
            </w:tcBorders>
            <w:vAlign w:val="bottom"/>
          </w:tcPr>
          <w:p w14:paraId="3545AB56" w14:textId="77777777" w:rsidR="00617046" w:rsidRDefault="00617046" w:rsidP="00617046">
            <w:pPr>
              <w:keepNext/>
              <w:keepLines/>
              <w:tabs>
                <w:tab w:val="left" w:pos="360"/>
              </w:tabs>
            </w:pPr>
            <w:r>
              <w:t>Domain</w:t>
            </w:r>
          </w:p>
        </w:tc>
        <w:tc>
          <w:tcPr>
            <w:tcW w:w="3600" w:type="dxa"/>
            <w:gridSpan w:val="2"/>
            <w:tcBorders>
              <w:top w:val="single" w:sz="4" w:space="0" w:color="auto"/>
              <w:bottom w:val="single" w:sz="4" w:space="0" w:color="auto"/>
            </w:tcBorders>
            <w:vAlign w:val="bottom"/>
          </w:tcPr>
          <w:p w14:paraId="4CCADBDC" w14:textId="77777777" w:rsidR="00617046" w:rsidRDefault="00617046" w:rsidP="00617046">
            <w:pPr>
              <w:keepNext/>
              <w:keepLines/>
              <w:jc w:val="center"/>
            </w:pPr>
            <w:r>
              <w:t>Eclectic Treatment</w:t>
            </w:r>
          </w:p>
        </w:tc>
        <w:tc>
          <w:tcPr>
            <w:tcW w:w="3834" w:type="dxa"/>
            <w:gridSpan w:val="2"/>
            <w:tcBorders>
              <w:top w:val="single" w:sz="4" w:space="0" w:color="auto"/>
              <w:bottom w:val="single" w:sz="4" w:space="0" w:color="auto"/>
            </w:tcBorders>
            <w:vAlign w:val="bottom"/>
          </w:tcPr>
          <w:p w14:paraId="1D615AB2" w14:textId="77777777" w:rsidR="00617046" w:rsidRDefault="00617046" w:rsidP="00617046">
            <w:pPr>
              <w:keepNext/>
              <w:keepLines/>
              <w:jc w:val="center"/>
            </w:pPr>
            <w:r>
              <w:t>ABA Treatment</w:t>
            </w:r>
          </w:p>
        </w:tc>
      </w:tr>
      <w:tr w:rsidR="00617046" w14:paraId="53E311E4" w14:textId="77777777" w:rsidTr="000D4F1C">
        <w:tc>
          <w:tcPr>
            <w:tcW w:w="1890" w:type="dxa"/>
            <w:vMerge/>
            <w:tcBorders>
              <w:bottom w:val="single" w:sz="4" w:space="0" w:color="auto"/>
            </w:tcBorders>
            <w:vAlign w:val="bottom"/>
          </w:tcPr>
          <w:p w14:paraId="67EEFBD5" w14:textId="77777777" w:rsidR="00617046" w:rsidRDefault="00617046" w:rsidP="00617046">
            <w:pPr>
              <w:keepNext/>
              <w:keepLines/>
              <w:tabs>
                <w:tab w:val="left" w:pos="360"/>
              </w:tabs>
            </w:pPr>
          </w:p>
        </w:tc>
        <w:tc>
          <w:tcPr>
            <w:tcW w:w="1620" w:type="dxa"/>
            <w:tcBorders>
              <w:top w:val="single" w:sz="4" w:space="0" w:color="auto"/>
              <w:bottom w:val="single" w:sz="4" w:space="0" w:color="auto"/>
            </w:tcBorders>
            <w:vAlign w:val="bottom"/>
          </w:tcPr>
          <w:p w14:paraId="564016FC" w14:textId="77777777" w:rsidR="00617046" w:rsidRDefault="00617046" w:rsidP="00617046">
            <w:pPr>
              <w:keepNext/>
              <w:keepLines/>
              <w:tabs>
                <w:tab w:val="left" w:pos="1427"/>
              </w:tabs>
              <w:jc w:val="center"/>
            </w:pPr>
            <w:r>
              <w:t>Baseline Score</w:t>
            </w:r>
          </w:p>
        </w:tc>
        <w:tc>
          <w:tcPr>
            <w:tcW w:w="1980" w:type="dxa"/>
            <w:tcBorders>
              <w:top w:val="single" w:sz="4" w:space="0" w:color="auto"/>
              <w:bottom w:val="single" w:sz="4" w:space="0" w:color="auto"/>
            </w:tcBorders>
            <w:vAlign w:val="bottom"/>
          </w:tcPr>
          <w:p w14:paraId="73BE9E01" w14:textId="77777777" w:rsidR="00617046" w:rsidRDefault="00617046" w:rsidP="00617046">
            <w:pPr>
              <w:keepNext/>
              <w:keepLines/>
              <w:jc w:val="center"/>
            </w:pPr>
            <w:r>
              <w:t>Final</w:t>
            </w:r>
          </w:p>
          <w:p w14:paraId="72C0921C" w14:textId="77777777" w:rsidR="00617046" w:rsidRDefault="00617046" w:rsidP="00617046">
            <w:pPr>
              <w:keepNext/>
              <w:keepLines/>
              <w:jc w:val="center"/>
            </w:pPr>
            <w:r>
              <w:t>Score</w:t>
            </w:r>
          </w:p>
        </w:tc>
        <w:tc>
          <w:tcPr>
            <w:tcW w:w="1815" w:type="dxa"/>
            <w:tcBorders>
              <w:top w:val="single" w:sz="4" w:space="0" w:color="auto"/>
              <w:bottom w:val="single" w:sz="4" w:space="0" w:color="auto"/>
            </w:tcBorders>
            <w:vAlign w:val="bottom"/>
          </w:tcPr>
          <w:p w14:paraId="60B21EDA" w14:textId="77777777" w:rsidR="00617046" w:rsidRDefault="00617046" w:rsidP="00617046">
            <w:pPr>
              <w:keepNext/>
              <w:keepLines/>
              <w:jc w:val="center"/>
            </w:pPr>
            <w:r>
              <w:t>Baseline</w:t>
            </w:r>
          </w:p>
          <w:p w14:paraId="2C567394" w14:textId="77777777" w:rsidR="00617046" w:rsidRDefault="00617046" w:rsidP="00617046">
            <w:pPr>
              <w:keepNext/>
              <w:keepLines/>
              <w:jc w:val="center"/>
            </w:pPr>
            <w:r>
              <w:t>Score</w:t>
            </w:r>
          </w:p>
        </w:tc>
        <w:tc>
          <w:tcPr>
            <w:tcW w:w="2019" w:type="dxa"/>
            <w:tcBorders>
              <w:top w:val="single" w:sz="4" w:space="0" w:color="auto"/>
              <w:bottom w:val="single" w:sz="4" w:space="0" w:color="auto"/>
            </w:tcBorders>
            <w:vAlign w:val="bottom"/>
          </w:tcPr>
          <w:p w14:paraId="0B9CBB34" w14:textId="77777777" w:rsidR="00617046" w:rsidRDefault="00617046" w:rsidP="00617046">
            <w:pPr>
              <w:keepNext/>
              <w:keepLines/>
              <w:jc w:val="center"/>
            </w:pPr>
            <w:r>
              <w:t>Final</w:t>
            </w:r>
          </w:p>
          <w:p w14:paraId="16C6637B" w14:textId="77777777" w:rsidR="00617046" w:rsidRDefault="00617046" w:rsidP="00617046">
            <w:pPr>
              <w:keepNext/>
              <w:keepLines/>
              <w:jc w:val="center"/>
            </w:pPr>
            <w:r>
              <w:t>Score</w:t>
            </w:r>
          </w:p>
        </w:tc>
      </w:tr>
      <w:tr w:rsidR="00617046" w14:paraId="7CE1FE44" w14:textId="77777777" w:rsidTr="000D4F1C">
        <w:trPr>
          <w:trHeight w:val="288"/>
        </w:trPr>
        <w:tc>
          <w:tcPr>
            <w:tcW w:w="1890" w:type="dxa"/>
          </w:tcPr>
          <w:p w14:paraId="4932381C" w14:textId="77777777" w:rsidR="00617046" w:rsidRDefault="00617046" w:rsidP="00617046">
            <w:pPr>
              <w:keepNext/>
              <w:keepLines/>
              <w:tabs>
                <w:tab w:val="left" w:pos="360"/>
              </w:tabs>
            </w:pPr>
            <w:r w:rsidRPr="00CE27D7">
              <w:t>Cognitive</w:t>
            </w:r>
          </w:p>
        </w:tc>
        <w:tc>
          <w:tcPr>
            <w:tcW w:w="1620" w:type="dxa"/>
          </w:tcPr>
          <w:p w14:paraId="269F73AC" w14:textId="77777777" w:rsidR="00617046" w:rsidRPr="00484F7B" w:rsidRDefault="00617046" w:rsidP="00617046">
            <w:pPr>
              <w:keepNext/>
              <w:keepLines/>
              <w:adjustRightInd w:val="0"/>
              <w:jc w:val="center"/>
            </w:pPr>
            <w:r w:rsidRPr="00484F7B">
              <w:t>57.23 ± 14.62</w:t>
            </w:r>
          </w:p>
        </w:tc>
        <w:tc>
          <w:tcPr>
            <w:tcW w:w="1980" w:type="dxa"/>
          </w:tcPr>
          <w:p w14:paraId="4E255DBB" w14:textId="77777777" w:rsidR="00617046" w:rsidRPr="00484F7B" w:rsidRDefault="00617046" w:rsidP="00617046">
            <w:pPr>
              <w:keepNext/>
              <w:keepLines/>
              <w:adjustRightInd w:val="0"/>
            </w:pPr>
            <w:r w:rsidRPr="00484F7B">
              <w:t>70.3</w:t>
            </w:r>
            <w:r>
              <w:t>5</w:t>
            </w:r>
            <w:r w:rsidRPr="00484F7B">
              <w:t xml:space="preserve"> ± 2</w:t>
            </w:r>
            <w:r>
              <w:t>4.10**</w:t>
            </w:r>
          </w:p>
        </w:tc>
        <w:tc>
          <w:tcPr>
            <w:tcW w:w="1815" w:type="dxa"/>
          </w:tcPr>
          <w:p w14:paraId="0A89BD62" w14:textId="77777777" w:rsidR="00617046" w:rsidRPr="00484F7B" w:rsidRDefault="00617046" w:rsidP="00617046">
            <w:pPr>
              <w:keepNext/>
              <w:keepLines/>
              <w:adjustRightInd w:val="0"/>
              <w:jc w:val="center"/>
            </w:pPr>
            <w:r>
              <w:t>64.45 ± 17.25</w:t>
            </w:r>
          </w:p>
        </w:tc>
        <w:tc>
          <w:tcPr>
            <w:tcW w:w="2019" w:type="dxa"/>
          </w:tcPr>
          <w:p w14:paraId="61330209" w14:textId="77777777" w:rsidR="00617046" w:rsidRPr="00484F7B" w:rsidRDefault="00617046" w:rsidP="00617046">
            <w:pPr>
              <w:keepNext/>
              <w:keepLines/>
              <w:adjustRightInd w:val="0"/>
            </w:pPr>
            <w:r>
              <w:t>90.60 ± 22.28***</w:t>
            </w:r>
          </w:p>
        </w:tc>
      </w:tr>
      <w:tr w:rsidR="00617046" w14:paraId="0E498A98" w14:textId="77777777" w:rsidTr="000D4F1C">
        <w:trPr>
          <w:trHeight w:val="288"/>
        </w:trPr>
        <w:tc>
          <w:tcPr>
            <w:tcW w:w="1890" w:type="dxa"/>
          </w:tcPr>
          <w:p w14:paraId="04E45F3B" w14:textId="77777777" w:rsidR="00617046" w:rsidRDefault="00617046" w:rsidP="00617046">
            <w:pPr>
              <w:keepNext/>
              <w:keepLines/>
              <w:tabs>
                <w:tab w:val="left" w:pos="360"/>
              </w:tabs>
            </w:pPr>
            <w:r w:rsidRPr="00CE27D7">
              <w:t>Expressive</w:t>
            </w:r>
          </w:p>
        </w:tc>
        <w:tc>
          <w:tcPr>
            <w:tcW w:w="1620" w:type="dxa"/>
          </w:tcPr>
          <w:p w14:paraId="48261CE5" w14:textId="77777777" w:rsidR="00617046" w:rsidRPr="00484F7B" w:rsidRDefault="00617046" w:rsidP="00617046">
            <w:pPr>
              <w:keepNext/>
              <w:keepLines/>
              <w:adjustRightInd w:val="0"/>
              <w:jc w:val="center"/>
            </w:pPr>
            <w:r w:rsidRPr="00484F7B">
              <w:t>4</w:t>
            </w:r>
            <w:r>
              <w:t>6.86</w:t>
            </w:r>
            <w:r w:rsidRPr="00484F7B">
              <w:t xml:space="preserve"> ± </w:t>
            </w:r>
            <w:r>
              <w:t>11</w:t>
            </w:r>
            <w:r w:rsidRPr="00484F7B">
              <w:t>.</w:t>
            </w:r>
            <w:r>
              <w:t>15</w:t>
            </w:r>
          </w:p>
        </w:tc>
        <w:tc>
          <w:tcPr>
            <w:tcW w:w="1980" w:type="dxa"/>
          </w:tcPr>
          <w:p w14:paraId="792F5B73" w14:textId="77777777" w:rsidR="00617046" w:rsidRPr="00484F7B" w:rsidRDefault="00617046" w:rsidP="00617046">
            <w:pPr>
              <w:keepNext/>
              <w:keepLines/>
              <w:adjustRightInd w:val="0"/>
            </w:pPr>
            <w:r>
              <w:t>63.68</w:t>
            </w:r>
            <w:r w:rsidRPr="00484F7B">
              <w:t xml:space="preserve"> ± </w:t>
            </w:r>
            <w:r>
              <w:t>27.47**</w:t>
            </w:r>
          </w:p>
        </w:tc>
        <w:tc>
          <w:tcPr>
            <w:tcW w:w="1815" w:type="dxa"/>
          </w:tcPr>
          <w:p w14:paraId="28D437F3" w14:textId="77777777" w:rsidR="00617046" w:rsidRPr="00484F7B" w:rsidRDefault="00617046" w:rsidP="00617046">
            <w:pPr>
              <w:keepNext/>
              <w:keepLines/>
              <w:adjustRightInd w:val="0"/>
              <w:jc w:val="center"/>
            </w:pPr>
            <w:r>
              <w:t>51.24 ± 12.78</w:t>
            </w:r>
          </w:p>
        </w:tc>
        <w:tc>
          <w:tcPr>
            <w:tcW w:w="2019" w:type="dxa"/>
          </w:tcPr>
          <w:p w14:paraId="707331C7" w14:textId="77777777" w:rsidR="00617046" w:rsidRPr="00484F7B" w:rsidRDefault="00617046" w:rsidP="00617046">
            <w:pPr>
              <w:keepNext/>
              <w:keepLines/>
              <w:adjustRightInd w:val="0"/>
            </w:pPr>
            <w:r>
              <w:t>86.36 ± 26.45***</w:t>
            </w:r>
          </w:p>
        </w:tc>
      </w:tr>
      <w:tr w:rsidR="00617046" w14:paraId="4FF8608E" w14:textId="77777777" w:rsidTr="000D4F1C">
        <w:trPr>
          <w:trHeight w:val="288"/>
        </w:trPr>
        <w:tc>
          <w:tcPr>
            <w:tcW w:w="1890" w:type="dxa"/>
          </w:tcPr>
          <w:p w14:paraId="3656A0E4" w14:textId="77777777" w:rsidR="00617046" w:rsidRDefault="00617046" w:rsidP="00617046">
            <w:pPr>
              <w:keepNext/>
              <w:keepLines/>
              <w:tabs>
                <w:tab w:val="left" w:pos="360"/>
              </w:tabs>
            </w:pPr>
            <w:r w:rsidRPr="00CE27D7">
              <w:t>Receptive</w:t>
            </w:r>
          </w:p>
        </w:tc>
        <w:tc>
          <w:tcPr>
            <w:tcW w:w="1620" w:type="dxa"/>
          </w:tcPr>
          <w:p w14:paraId="34672318" w14:textId="77777777" w:rsidR="00617046" w:rsidRPr="00484F7B" w:rsidRDefault="00617046" w:rsidP="00617046">
            <w:pPr>
              <w:keepNext/>
              <w:keepLines/>
              <w:adjustRightInd w:val="0"/>
              <w:jc w:val="center"/>
            </w:pPr>
            <w:r w:rsidRPr="00484F7B">
              <w:t>46.</w:t>
            </w:r>
            <w:r>
              <w:t>9</w:t>
            </w:r>
            <w:r w:rsidRPr="00484F7B">
              <w:t>7 ± 14.</w:t>
            </w:r>
            <w:r>
              <w:t>51</w:t>
            </w:r>
          </w:p>
        </w:tc>
        <w:tc>
          <w:tcPr>
            <w:tcW w:w="1980" w:type="dxa"/>
          </w:tcPr>
          <w:p w14:paraId="73BA2882" w14:textId="77777777" w:rsidR="00617046" w:rsidRPr="00484F7B" w:rsidRDefault="00617046" w:rsidP="00617046">
            <w:pPr>
              <w:keepNext/>
              <w:keepLines/>
              <w:adjustRightInd w:val="0"/>
            </w:pPr>
            <w:r>
              <w:t>61.27</w:t>
            </w:r>
            <w:r w:rsidRPr="00484F7B">
              <w:t xml:space="preserve"> ± </w:t>
            </w:r>
            <w:r>
              <w:t>26.35**</w:t>
            </w:r>
          </w:p>
        </w:tc>
        <w:tc>
          <w:tcPr>
            <w:tcW w:w="1815" w:type="dxa"/>
          </w:tcPr>
          <w:p w14:paraId="47B0E66E" w14:textId="77777777" w:rsidR="00617046" w:rsidRPr="00484F7B" w:rsidRDefault="00617046" w:rsidP="00617046">
            <w:pPr>
              <w:keepNext/>
              <w:keepLines/>
              <w:adjustRightInd w:val="0"/>
              <w:jc w:val="center"/>
            </w:pPr>
            <w:r>
              <w:t>50.35 ± 16.47</w:t>
            </w:r>
          </w:p>
        </w:tc>
        <w:tc>
          <w:tcPr>
            <w:tcW w:w="2019" w:type="dxa"/>
          </w:tcPr>
          <w:p w14:paraId="6884F6AE" w14:textId="77777777" w:rsidR="00617046" w:rsidRPr="00484F7B" w:rsidRDefault="00617046" w:rsidP="00617046">
            <w:pPr>
              <w:keepNext/>
              <w:keepLines/>
              <w:adjustRightInd w:val="0"/>
            </w:pPr>
            <w:r>
              <w:t>81.91 ± 26.38***</w:t>
            </w:r>
          </w:p>
        </w:tc>
      </w:tr>
      <w:tr w:rsidR="00617046" w14:paraId="0E1158D9" w14:textId="77777777" w:rsidTr="000D4F1C">
        <w:trPr>
          <w:trHeight w:val="275"/>
        </w:trPr>
        <w:tc>
          <w:tcPr>
            <w:tcW w:w="1890" w:type="dxa"/>
          </w:tcPr>
          <w:p w14:paraId="069CFE48" w14:textId="77777777" w:rsidR="00617046" w:rsidRDefault="00617046" w:rsidP="00617046">
            <w:pPr>
              <w:keepNext/>
              <w:keepLines/>
              <w:tabs>
                <w:tab w:val="left" w:pos="360"/>
              </w:tabs>
            </w:pPr>
            <w:r>
              <w:t>Adaptive comp.</w:t>
            </w:r>
          </w:p>
        </w:tc>
        <w:tc>
          <w:tcPr>
            <w:tcW w:w="1620" w:type="dxa"/>
          </w:tcPr>
          <w:p w14:paraId="4FD3C9B3" w14:textId="77777777" w:rsidR="00617046" w:rsidRDefault="00617046" w:rsidP="00617046">
            <w:pPr>
              <w:keepNext/>
              <w:keepLines/>
              <w:adjustRightInd w:val="0"/>
              <w:jc w:val="center"/>
            </w:pPr>
            <w:r>
              <w:t>69.86 ±   9.65</w:t>
            </w:r>
          </w:p>
        </w:tc>
        <w:tc>
          <w:tcPr>
            <w:tcW w:w="1980" w:type="dxa"/>
          </w:tcPr>
          <w:p w14:paraId="0AEDC50D" w14:textId="77777777" w:rsidR="00617046" w:rsidRDefault="00617046" w:rsidP="00617046">
            <w:pPr>
              <w:keepNext/>
              <w:keepLines/>
              <w:adjustRightInd w:val="0"/>
            </w:pPr>
            <w:r>
              <w:t>60.93 ± 18.63*</w:t>
            </w:r>
          </w:p>
        </w:tc>
        <w:tc>
          <w:tcPr>
            <w:tcW w:w="1815" w:type="dxa"/>
          </w:tcPr>
          <w:p w14:paraId="5EAD4236" w14:textId="77777777" w:rsidR="00617046" w:rsidRDefault="00617046" w:rsidP="00617046">
            <w:pPr>
              <w:keepNext/>
              <w:keepLines/>
              <w:adjustRightInd w:val="0"/>
              <w:jc w:val="center"/>
            </w:pPr>
            <w:r>
              <w:t>71.75 ±   7.50</w:t>
            </w:r>
          </w:p>
        </w:tc>
        <w:tc>
          <w:tcPr>
            <w:tcW w:w="2019" w:type="dxa"/>
          </w:tcPr>
          <w:p w14:paraId="37D1FE30" w14:textId="77777777" w:rsidR="00617046" w:rsidRDefault="00617046" w:rsidP="00617046">
            <w:pPr>
              <w:keepNext/>
              <w:keepLines/>
              <w:adjustRightInd w:val="0"/>
            </w:pPr>
            <w:r>
              <w:t>78.57 ± 15.33**</w:t>
            </w:r>
          </w:p>
        </w:tc>
      </w:tr>
      <w:tr w:rsidR="00617046" w14:paraId="7AA077C7" w14:textId="77777777" w:rsidTr="000D4F1C">
        <w:trPr>
          <w:trHeight w:val="275"/>
        </w:trPr>
        <w:tc>
          <w:tcPr>
            <w:tcW w:w="1890" w:type="dxa"/>
          </w:tcPr>
          <w:p w14:paraId="4A8A3567" w14:textId="77777777" w:rsidR="00617046" w:rsidRDefault="00617046" w:rsidP="00617046">
            <w:pPr>
              <w:keepNext/>
              <w:keepLines/>
              <w:tabs>
                <w:tab w:val="left" w:pos="360"/>
              </w:tabs>
            </w:pPr>
            <w:r>
              <w:tab/>
            </w:r>
            <w:r w:rsidRPr="00CE27D7">
              <w:t>Self-help</w:t>
            </w:r>
          </w:p>
        </w:tc>
        <w:tc>
          <w:tcPr>
            <w:tcW w:w="1620" w:type="dxa"/>
          </w:tcPr>
          <w:p w14:paraId="332F8F94" w14:textId="77777777" w:rsidR="00617046" w:rsidRDefault="00617046" w:rsidP="00617046">
            <w:pPr>
              <w:keepNext/>
              <w:keepLines/>
              <w:adjustRightInd w:val="0"/>
              <w:jc w:val="center"/>
            </w:pPr>
            <w:r>
              <w:t>70.06 ± 10.55</w:t>
            </w:r>
          </w:p>
        </w:tc>
        <w:tc>
          <w:tcPr>
            <w:tcW w:w="1980" w:type="dxa"/>
          </w:tcPr>
          <w:p w14:paraId="42A3EE77" w14:textId="77777777" w:rsidR="00617046" w:rsidRDefault="00617046" w:rsidP="00617046">
            <w:pPr>
              <w:keepNext/>
              <w:keepLines/>
              <w:adjustRightInd w:val="0"/>
            </w:pPr>
            <w:r>
              <w:t>64.90 ± 19.16</w:t>
            </w:r>
          </w:p>
        </w:tc>
        <w:tc>
          <w:tcPr>
            <w:tcW w:w="1815" w:type="dxa"/>
          </w:tcPr>
          <w:p w14:paraId="260032EF" w14:textId="77777777" w:rsidR="00617046" w:rsidRDefault="00617046" w:rsidP="00617046">
            <w:pPr>
              <w:keepNext/>
              <w:keepLines/>
              <w:adjustRightInd w:val="0"/>
              <w:jc w:val="center"/>
            </w:pPr>
            <w:r>
              <w:t>70.72 ± 11.73</w:t>
            </w:r>
          </w:p>
        </w:tc>
        <w:tc>
          <w:tcPr>
            <w:tcW w:w="2019" w:type="dxa"/>
          </w:tcPr>
          <w:p w14:paraId="70AEBD48" w14:textId="77777777" w:rsidR="00617046" w:rsidRDefault="00617046" w:rsidP="00617046">
            <w:pPr>
              <w:keepNext/>
              <w:keepLines/>
              <w:adjustRightInd w:val="0"/>
            </w:pPr>
            <w:r>
              <w:t>82.91 ± 17.47***</w:t>
            </w:r>
          </w:p>
        </w:tc>
      </w:tr>
      <w:tr w:rsidR="00617046" w14:paraId="3A8702BB" w14:textId="77777777" w:rsidTr="000D4F1C">
        <w:trPr>
          <w:trHeight w:val="288"/>
        </w:trPr>
        <w:tc>
          <w:tcPr>
            <w:tcW w:w="1890" w:type="dxa"/>
          </w:tcPr>
          <w:p w14:paraId="791FFA9C" w14:textId="77777777" w:rsidR="00617046" w:rsidRDefault="00617046" w:rsidP="00617046">
            <w:pPr>
              <w:keepNext/>
              <w:keepLines/>
              <w:tabs>
                <w:tab w:val="left" w:pos="360"/>
              </w:tabs>
            </w:pPr>
            <w:r>
              <w:tab/>
            </w:r>
            <w:r w:rsidRPr="00CE27D7">
              <w:t>Social</w:t>
            </w:r>
          </w:p>
        </w:tc>
        <w:tc>
          <w:tcPr>
            <w:tcW w:w="1620" w:type="dxa"/>
          </w:tcPr>
          <w:p w14:paraId="5ADE3379" w14:textId="77777777" w:rsidR="00617046" w:rsidRDefault="00617046" w:rsidP="00617046">
            <w:pPr>
              <w:keepNext/>
              <w:keepLines/>
              <w:adjustRightInd w:val="0"/>
              <w:jc w:val="center"/>
            </w:pPr>
            <w:r>
              <w:t>75.06 ± 11.92</w:t>
            </w:r>
          </w:p>
        </w:tc>
        <w:tc>
          <w:tcPr>
            <w:tcW w:w="1980" w:type="dxa"/>
          </w:tcPr>
          <w:p w14:paraId="19698C17" w14:textId="77777777" w:rsidR="00617046" w:rsidRDefault="00617046" w:rsidP="00617046">
            <w:pPr>
              <w:keepNext/>
              <w:keepLines/>
              <w:adjustRightInd w:val="0"/>
            </w:pPr>
            <w:r>
              <w:t>67.35 ± 18.44*</w:t>
            </w:r>
          </w:p>
        </w:tc>
        <w:tc>
          <w:tcPr>
            <w:tcW w:w="1815" w:type="dxa"/>
          </w:tcPr>
          <w:p w14:paraId="01300DC0" w14:textId="77777777" w:rsidR="00617046" w:rsidRDefault="00617046" w:rsidP="00617046">
            <w:pPr>
              <w:keepNext/>
              <w:keepLines/>
              <w:adjustRightInd w:val="0"/>
              <w:jc w:val="center"/>
            </w:pPr>
            <w:r>
              <w:t>73.48 ± 11.05</w:t>
            </w:r>
          </w:p>
        </w:tc>
        <w:tc>
          <w:tcPr>
            <w:tcW w:w="2019" w:type="dxa"/>
          </w:tcPr>
          <w:p w14:paraId="2B8C257D" w14:textId="77777777" w:rsidR="00617046" w:rsidRDefault="00617046" w:rsidP="00617046">
            <w:pPr>
              <w:keepNext/>
              <w:keepLines/>
              <w:adjustRightInd w:val="0"/>
            </w:pPr>
            <w:r>
              <w:t>81.37 ± 15.48**</w:t>
            </w:r>
          </w:p>
        </w:tc>
      </w:tr>
      <w:tr w:rsidR="00617046" w14:paraId="2B28E710" w14:textId="77777777" w:rsidTr="000D4F1C">
        <w:trPr>
          <w:trHeight w:val="275"/>
        </w:trPr>
        <w:tc>
          <w:tcPr>
            <w:tcW w:w="1890" w:type="dxa"/>
          </w:tcPr>
          <w:p w14:paraId="68808880" w14:textId="77777777" w:rsidR="00617046" w:rsidRDefault="00617046" w:rsidP="00617046">
            <w:pPr>
              <w:keepNext/>
              <w:keepLines/>
              <w:tabs>
                <w:tab w:val="left" w:pos="360"/>
              </w:tabs>
            </w:pPr>
            <w:r>
              <w:tab/>
              <w:t>Comm.</w:t>
            </w:r>
          </w:p>
        </w:tc>
        <w:tc>
          <w:tcPr>
            <w:tcW w:w="1620" w:type="dxa"/>
          </w:tcPr>
          <w:p w14:paraId="26018073" w14:textId="77777777" w:rsidR="00617046" w:rsidRDefault="00617046" w:rsidP="00617046">
            <w:pPr>
              <w:keepNext/>
              <w:keepLines/>
              <w:adjustRightInd w:val="0"/>
              <w:jc w:val="center"/>
            </w:pPr>
            <w:r>
              <w:t>64.61 ±   8.91</w:t>
            </w:r>
          </w:p>
        </w:tc>
        <w:tc>
          <w:tcPr>
            <w:tcW w:w="1980" w:type="dxa"/>
          </w:tcPr>
          <w:p w14:paraId="22A98F79" w14:textId="77777777" w:rsidR="00617046" w:rsidRDefault="00617046" w:rsidP="00617046">
            <w:pPr>
              <w:keepNext/>
              <w:keepLines/>
              <w:adjustRightInd w:val="0"/>
            </w:pPr>
            <w:r>
              <w:t>63.32 ± 20.17</w:t>
            </w:r>
          </w:p>
        </w:tc>
        <w:tc>
          <w:tcPr>
            <w:tcW w:w="1815" w:type="dxa"/>
          </w:tcPr>
          <w:p w14:paraId="5DF1EAAC" w14:textId="77777777" w:rsidR="00617046" w:rsidRDefault="00617046" w:rsidP="00617046">
            <w:pPr>
              <w:keepNext/>
              <w:keepLines/>
              <w:adjustRightInd w:val="0"/>
              <w:jc w:val="center"/>
            </w:pPr>
            <w:r>
              <w:t>65.32 ± 10.35</w:t>
            </w:r>
          </w:p>
        </w:tc>
        <w:tc>
          <w:tcPr>
            <w:tcW w:w="2019" w:type="dxa"/>
          </w:tcPr>
          <w:p w14:paraId="24C4C0E5" w14:textId="77777777" w:rsidR="00617046" w:rsidRDefault="00617046" w:rsidP="00617046">
            <w:pPr>
              <w:keepNext/>
              <w:keepLines/>
              <w:adjustRightInd w:val="0"/>
            </w:pPr>
            <w:r>
              <w:t>81.30 ± 16.90***</w:t>
            </w:r>
          </w:p>
        </w:tc>
      </w:tr>
      <w:tr w:rsidR="00617046" w14:paraId="21A4B3D8" w14:textId="77777777" w:rsidTr="000D4F1C">
        <w:trPr>
          <w:trHeight w:val="302"/>
        </w:trPr>
        <w:tc>
          <w:tcPr>
            <w:tcW w:w="1890" w:type="dxa"/>
            <w:tcBorders>
              <w:bottom w:val="single" w:sz="4" w:space="0" w:color="auto"/>
            </w:tcBorders>
          </w:tcPr>
          <w:p w14:paraId="5B350A6E" w14:textId="77777777" w:rsidR="00617046" w:rsidRDefault="00617046" w:rsidP="00617046">
            <w:pPr>
              <w:keepNext/>
              <w:keepLines/>
              <w:tabs>
                <w:tab w:val="left" w:pos="360"/>
              </w:tabs>
            </w:pPr>
            <w:r>
              <w:tab/>
            </w:r>
            <w:r w:rsidRPr="00CE27D7">
              <w:t>Motor</w:t>
            </w:r>
          </w:p>
        </w:tc>
        <w:tc>
          <w:tcPr>
            <w:tcW w:w="1620" w:type="dxa"/>
            <w:tcBorders>
              <w:bottom w:val="single" w:sz="4" w:space="0" w:color="auto"/>
            </w:tcBorders>
          </w:tcPr>
          <w:p w14:paraId="1CDE11F4" w14:textId="77777777" w:rsidR="00617046" w:rsidRDefault="00617046" w:rsidP="00617046">
            <w:pPr>
              <w:keepNext/>
              <w:keepLines/>
              <w:adjustRightInd w:val="0"/>
              <w:jc w:val="center"/>
            </w:pPr>
            <w:r>
              <w:t>90.37 ± 11.70</w:t>
            </w:r>
          </w:p>
        </w:tc>
        <w:tc>
          <w:tcPr>
            <w:tcW w:w="1980" w:type="dxa"/>
            <w:tcBorders>
              <w:bottom w:val="single" w:sz="4" w:space="0" w:color="auto"/>
            </w:tcBorders>
          </w:tcPr>
          <w:p w14:paraId="0E637803" w14:textId="77777777" w:rsidR="00617046" w:rsidRDefault="00617046" w:rsidP="00617046">
            <w:pPr>
              <w:keepNext/>
              <w:keepLines/>
              <w:adjustRightInd w:val="0"/>
            </w:pPr>
            <w:r>
              <w:t>84.80 ± 15.87</w:t>
            </w:r>
          </w:p>
        </w:tc>
        <w:tc>
          <w:tcPr>
            <w:tcW w:w="1815" w:type="dxa"/>
            <w:tcBorders>
              <w:bottom w:val="single" w:sz="4" w:space="0" w:color="auto"/>
            </w:tcBorders>
          </w:tcPr>
          <w:p w14:paraId="18FFD1AD" w14:textId="77777777" w:rsidR="00617046" w:rsidRDefault="00617046" w:rsidP="00617046">
            <w:pPr>
              <w:keepNext/>
              <w:keepLines/>
              <w:adjustRightInd w:val="0"/>
              <w:jc w:val="center"/>
            </w:pPr>
            <w:r>
              <w:t>93.76 ± 11.95</w:t>
            </w:r>
          </w:p>
        </w:tc>
        <w:tc>
          <w:tcPr>
            <w:tcW w:w="2019" w:type="dxa"/>
            <w:tcBorders>
              <w:bottom w:val="single" w:sz="4" w:space="0" w:color="auto"/>
            </w:tcBorders>
          </w:tcPr>
          <w:p w14:paraId="291B915F" w14:textId="77777777" w:rsidR="00617046" w:rsidRDefault="00617046" w:rsidP="00617046">
            <w:pPr>
              <w:keepNext/>
              <w:keepLines/>
              <w:adjustRightInd w:val="0"/>
            </w:pPr>
            <w:r>
              <w:t>93.24 ± 12.47</w:t>
            </w:r>
          </w:p>
        </w:tc>
      </w:tr>
    </w:tbl>
    <w:p w14:paraId="46942023" w14:textId="6DE3E4A3" w:rsidR="00617046" w:rsidRDefault="00617046" w:rsidP="00617046">
      <w:pPr>
        <w:widowControl w:val="0"/>
        <w:autoSpaceDE w:val="0"/>
        <w:autoSpaceDN w:val="0"/>
        <w:adjustRightInd w:val="0"/>
      </w:pPr>
      <w:r>
        <w:t xml:space="preserve">* </w:t>
      </w:r>
      <w:r w:rsidRPr="009D1E6C">
        <w:rPr>
          <w:i/>
        </w:rPr>
        <w:t>p</w:t>
      </w:r>
      <w:r>
        <w:t xml:space="preserve"> &lt; .05, ** </w:t>
      </w:r>
      <w:r w:rsidRPr="009D1E6C">
        <w:rPr>
          <w:i/>
        </w:rPr>
        <w:t>p</w:t>
      </w:r>
      <w:r>
        <w:t xml:space="preserve"> &lt; .01, *** </w:t>
      </w:r>
      <w:r w:rsidRPr="009D1E6C">
        <w:rPr>
          <w:i/>
        </w:rPr>
        <w:t>p</w:t>
      </w:r>
      <w:r>
        <w:t xml:space="preserve"> &lt; .001 for t-test comparing baseline and final means</w:t>
      </w:r>
    </w:p>
    <w:p w14:paraId="5AC725FE" w14:textId="77777777" w:rsidR="00617046" w:rsidRDefault="00617046" w:rsidP="00617046">
      <w:pPr>
        <w:widowControl w:val="0"/>
        <w:autoSpaceDE w:val="0"/>
        <w:autoSpaceDN w:val="0"/>
        <w:adjustRightInd w:val="0"/>
      </w:pPr>
    </w:p>
    <w:p w14:paraId="03EFC7C8" w14:textId="264257DE" w:rsidR="00E93D8F" w:rsidRDefault="00E93D8F" w:rsidP="00617046">
      <w:pPr>
        <w:widowControl w:val="0"/>
        <w:autoSpaceDE w:val="0"/>
        <w:autoSpaceDN w:val="0"/>
        <w:adjustRightInd w:val="0"/>
        <w:ind w:firstLine="720"/>
      </w:pPr>
      <w:r>
        <w:t xml:space="preserve">Next, analyses of covariance (ANCOVAs) </w:t>
      </w:r>
      <w:r w:rsidR="00BC533D">
        <w:t xml:space="preserve">were conducted </w:t>
      </w:r>
      <w:r>
        <w:t>to compare the relative efficacy of the two treatment types, with each child’s change score–the gain or decline in the SS or DQ score from baseline to the final assessment–serving as the dependent measure</w:t>
      </w:r>
      <w:r w:rsidR="008F34E8">
        <w:t xml:space="preserve">.  Covariates were </w:t>
      </w:r>
      <w:r>
        <w:t>the baseline SS or DQ score</w:t>
      </w:r>
      <w:r w:rsidR="008F34E8">
        <w:t>, the child’s age at diagnosis, and the parents’ mean years of education</w:t>
      </w:r>
      <w:r>
        <w:t xml:space="preserve">.  The ANCOVAs found that, after controlling for </w:t>
      </w:r>
      <w:r w:rsidR="008F34E8">
        <w:t>covariates</w:t>
      </w:r>
      <w:r>
        <w:t xml:space="preserve">, ABA treatment resulted in significantly larger average improvements than eclectic treatment in all domains other than the motor domain, where ABA treatment resulted in significantly smaller </w:t>
      </w:r>
      <w:r w:rsidRPr="00F54AE3">
        <w:rPr>
          <w:i/>
        </w:rPr>
        <w:t>losses</w:t>
      </w:r>
      <w:r>
        <w:t xml:space="preserve"> than eclectic treatment (Supplementa</w:t>
      </w:r>
      <w:r w:rsidR="00922346">
        <w:t>l</w:t>
      </w:r>
      <w:r>
        <w:t xml:space="preserve"> Table </w:t>
      </w:r>
      <w:r w:rsidR="00C14706">
        <w:t>3</w:t>
      </w:r>
      <w:r>
        <w:t>).  Taken together, the t-tests and ANCOVAs suggest that all domains responded positively to ABA treatment, while some domains also responded–but less strongly–to eclectic treatment.</w:t>
      </w:r>
    </w:p>
    <w:p w14:paraId="5A31A9E7" w14:textId="5E7C1D30" w:rsidR="00617046" w:rsidRDefault="00617046" w:rsidP="00617046">
      <w:pPr>
        <w:widowControl w:val="0"/>
        <w:autoSpaceDE w:val="0"/>
        <w:autoSpaceDN w:val="0"/>
        <w:adjustRightInd w:val="0"/>
        <w:ind w:firstLine="720"/>
      </w:pPr>
      <w:r>
        <w:t>Despite this general pattern across all domains, s</w:t>
      </w:r>
      <w:r w:rsidRPr="00486DEC">
        <w:t xml:space="preserve">ome domains </w:t>
      </w:r>
      <w:r>
        <w:t>demonstrated larger gains</w:t>
      </w:r>
      <w:r w:rsidRPr="00486DEC">
        <w:t xml:space="preserve"> than </w:t>
      </w:r>
      <w:r>
        <w:t>others</w:t>
      </w:r>
      <w:r w:rsidRPr="00486DEC">
        <w:t xml:space="preserve">. </w:t>
      </w:r>
      <w:r>
        <w:t xml:space="preserve"> This was confirmed by a 2 (domain: cognitive or </w:t>
      </w:r>
      <w:r w:rsidRPr="00486DEC">
        <w:t>adaptive composite</w:t>
      </w:r>
      <w:r>
        <w:t xml:space="preserve">) by 2 (treatment type: ABA or eclectic) by 2 (time: baseline or final) </w:t>
      </w:r>
      <w:r w:rsidRPr="00486DEC">
        <w:t>repeated measures analysis of variance (</w:t>
      </w:r>
      <w:r>
        <w:t>ANOVA</w:t>
      </w:r>
      <w:r w:rsidRPr="00486DEC">
        <w:t>)</w:t>
      </w:r>
      <w:r>
        <w:t>.  This ANOVA tested three main effects, three two-way interactions, and one three-way interaction.  However, only three of these terms were of particular interest: the treatment by time interaction, which indicated if scores changed more following one type of treatment than the other (similar to the ANCOVAs described above); the domain by time interaction, which indicated whether one domain was more responsive to treatment than the other; and the three-way interaction, which indicated whether any such difference in domain responsiveness varied, depending upon the type of treatment.</w:t>
      </w:r>
    </w:p>
    <w:p w14:paraId="4FE13C41" w14:textId="20734956" w:rsidR="00617046" w:rsidRPr="00B944C3" w:rsidRDefault="00617046" w:rsidP="00617046">
      <w:pPr>
        <w:keepNext/>
        <w:widowControl w:val="0"/>
        <w:autoSpaceDE w:val="0"/>
        <w:autoSpaceDN w:val="0"/>
        <w:adjustRightInd w:val="0"/>
        <w:rPr>
          <w:b/>
        </w:rPr>
      </w:pPr>
      <w:r w:rsidRPr="00B944C3">
        <w:rPr>
          <w:b/>
        </w:rPr>
        <w:lastRenderedPageBreak/>
        <w:t>Supplementa</w:t>
      </w:r>
      <w:r>
        <w:rPr>
          <w:b/>
        </w:rPr>
        <w:t>l</w:t>
      </w:r>
      <w:r w:rsidRPr="00B944C3">
        <w:rPr>
          <w:b/>
        </w:rPr>
        <w:t xml:space="preserve"> Table </w:t>
      </w:r>
      <w:r>
        <w:rPr>
          <w:b/>
        </w:rPr>
        <w:t>3</w:t>
      </w:r>
      <w:r w:rsidRPr="00B944C3">
        <w:rPr>
          <w:b/>
        </w:rPr>
        <w:t>.  Changes (</w:t>
      </w:r>
      <w:r w:rsidRPr="00B944C3">
        <w:rPr>
          <w:b/>
          <w:i/>
        </w:rPr>
        <w:t>M</w:t>
      </w:r>
      <w:r w:rsidRPr="00B944C3">
        <w:rPr>
          <w:b/>
        </w:rPr>
        <w:t xml:space="preserve"> ± </w:t>
      </w:r>
      <w:r w:rsidRPr="00B944C3">
        <w:rPr>
          <w:b/>
          <w:i/>
        </w:rPr>
        <w:t>SD</w:t>
      </w:r>
      <w:r w:rsidRPr="00B944C3">
        <w:rPr>
          <w:b/>
        </w:rPr>
        <w:t>) from Baseline to Final Assessment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156"/>
        <w:gridCol w:w="3156"/>
      </w:tblGrid>
      <w:tr w:rsidR="00617046" w14:paraId="3DAD472C" w14:textId="77777777" w:rsidTr="000D4F1C">
        <w:tc>
          <w:tcPr>
            <w:tcW w:w="3156" w:type="dxa"/>
            <w:tcBorders>
              <w:top w:val="single" w:sz="4" w:space="0" w:color="auto"/>
              <w:bottom w:val="single" w:sz="4" w:space="0" w:color="auto"/>
            </w:tcBorders>
            <w:vAlign w:val="bottom"/>
          </w:tcPr>
          <w:p w14:paraId="0ED15B70" w14:textId="77777777" w:rsidR="00617046" w:rsidRDefault="00617046" w:rsidP="00617046">
            <w:pPr>
              <w:keepNext/>
              <w:keepLines/>
              <w:tabs>
                <w:tab w:val="left" w:pos="360"/>
              </w:tabs>
            </w:pPr>
            <w:r>
              <w:t>Domain</w:t>
            </w:r>
          </w:p>
        </w:tc>
        <w:tc>
          <w:tcPr>
            <w:tcW w:w="3156" w:type="dxa"/>
            <w:tcBorders>
              <w:top w:val="single" w:sz="4" w:space="0" w:color="auto"/>
              <w:bottom w:val="single" w:sz="4" w:space="0" w:color="auto"/>
            </w:tcBorders>
            <w:vAlign w:val="bottom"/>
          </w:tcPr>
          <w:p w14:paraId="10AD98A7" w14:textId="77777777" w:rsidR="00617046" w:rsidRDefault="00617046" w:rsidP="00617046">
            <w:pPr>
              <w:keepNext/>
              <w:keepLines/>
              <w:jc w:val="center"/>
            </w:pPr>
            <w:r>
              <w:t>Eclectic Treatment</w:t>
            </w:r>
          </w:p>
        </w:tc>
        <w:tc>
          <w:tcPr>
            <w:tcW w:w="3156" w:type="dxa"/>
            <w:tcBorders>
              <w:top w:val="single" w:sz="4" w:space="0" w:color="auto"/>
              <w:bottom w:val="single" w:sz="4" w:space="0" w:color="auto"/>
            </w:tcBorders>
            <w:vAlign w:val="bottom"/>
          </w:tcPr>
          <w:p w14:paraId="6EC604A6" w14:textId="77777777" w:rsidR="00617046" w:rsidRDefault="00617046" w:rsidP="00617046">
            <w:pPr>
              <w:keepNext/>
              <w:keepLines/>
              <w:jc w:val="center"/>
            </w:pPr>
            <w:r>
              <w:t>ABA Treatment</w:t>
            </w:r>
          </w:p>
        </w:tc>
      </w:tr>
      <w:tr w:rsidR="00617046" w14:paraId="208D2B5B" w14:textId="77777777" w:rsidTr="000D4F1C">
        <w:trPr>
          <w:trHeight w:val="288"/>
        </w:trPr>
        <w:tc>
          <w:tcPr>
            <w:tcW w:w="3156" w:type="dxa"/>
          </w:tcPr>
          <w:p w14:paraId="3B9027FE" w14:textId="77777777" w:rsidR="00617046" w:rsidRDefault="00617046" w:rsidP="00617046">
            <w:pPr>
              <w:keepNext/>
              <w:keepLines/>
              <w:tabs>
                <w:tab w:val="left" w:pos="360"/>
              </w:tabs>
            </w:pPr>
            <w:r w:rsidRPr="00CE27D7">
              <w:t>Cognitive</w:t>
            </w:r>
          </w:p>
        </w:tc>
        <w:tc>
          <w:tcPr>
            <w:tcW w:w="3156" w:type="dxa"/>
          </w:tcPr>
          <w:p w14:paraId="245B2047" w14:textId="77777777" w:rsidR="00617046" w:rsidRPr="00484F7B" w:rsidRDefault="00617046" w:rsidP="00617046">
            <w:pPr>
              <w:keepNext/>
              <w:keepLines/>
              <w:ind w:left="-24"/>
              <w:jc w:val="center"/>
            </w:pPr>
            <w:r>
              <w:t>13.13 ± 22.47</w:t>
            </w:r>
          </w:p>
        </w:tc>
        <w:tc>
          <w:tcPr>
            <w:tcW w:w="3156" w:type="dxa"/>
          </w:tcPr>
          <w:p w14:paraId="56F217F0" w14:textId="77777777" w:rsidR="00617046" w:rsidRPr="00484F7B" w:rsidRDefault="00617046" w:rsidP="00617046">
            <w:pPr>
              <w:keepNext/>
              <w:keepLines/>
              <w:tabs>
                <w:tab w:val="decimal" w:pos="983"/>
              </w:tabs>
            </w:pPr>
            <w:r>
              <w:t>26.15 ± 22.74**</w:t>
            </w:r>
          </w:p>
        </w:tc>
      </w:tr>
      <w:tr w:rsidR="00617046" w14:paraId="71047F17" w14:textId="77777777" w:rsidTr="000D4F1C">
        <w:trPr>
          <w:trHeight w:val="288"/>
        </w:trPr>
        <w:tc>
          <w:tcPr>
            <w:tcW w:w="3156" w:type="dxa"/>
          </w:tcPr>
          <w:p w14:paraId="62C4FB60" w14:textId="77777777" w:rsidR="00617046" w:rsidRDefault="00617046" w:rsidP="00617046">
            <w:pPr>
              <w:keepNext/>
              <w:keepLines/>
              <w:tabs>
                <w:tab w:val="left" w:pos="360"/>
              </w:tabs>
            </w:pPr>
            <w:r w:rsidRPr="00CE27D7">
              <w:t>Expressive</w:t>
            </w:r>
          </w:p>
        </w:tc>
        <w:tc>
          <w:tcPr>
            <w:tcW w:w="3156" w:type="dxa"/>
          </w:tcPr>
          <w:p w14:paraId="39EC905B" w14:textId="77777777" w:rsidR="00617046" w:rsidRPr="00484F7B" w:rsidRDefault="00617046" w:rsidP="00617046">
            <w:pPr>
              <w:keepNext/>
              <w:keepLines/>
              <w:ind w:left="-24"/>
              <w:jc w:val="center"/>
            </w:pPr>
            <w:r>
              <w:t>16.82 ± 25.40</w:t>
            </w:r>
          </w:p>
        </w:tc>
        <w:tc>
          <w:tcPr>
            <w:tcW w:w="3156" w:type="dxa"/>
          </w:tcPr>
          <w:p w14:paraId="436ABDE9" w14:textId="77777777" w:rsidR="00617046" w:rsidRPr="00484F7B" w:rsidRDefault="00617046" w:rsidP="00617046">
            <w:pPr>
              <w:keepNext/>
              <w:keepLines/>
              <w:tabs>
                <w:tab w:val="decimal" w:pos="983"/>
              </w:tabs>
            </w:pPr>
            <w:r>
              <w:t>34.89 ± 27.58**</w:t>
            </w:r>
          </w:p>
        </w:tc>
      </w:tr>
      <w:tr w:rsidR="00617046" w14:paraId="3E6AB28A" w14:textId="77777777" w:rsidTr="000D4F1C">
        <w:trPr>
          <w:trHeight w:val="288"/>
        </w:trPr>
        <w:tc>
          <w:tcPr>
            <w:tcW w:w="3156" w:type="dxa"/>
          </w:tcPr>
          <w:p w14:paraId="548C8154" w14:textId="77777777" w:rsidR="00617046" w:rsidRDefault="00617046" w:rsidP="00617046">
            <w:pPr>
              <w:keepNext/>
              <w:keepLines/>
              <w:tabs>
                <w:tab w:val="left" w:pos="360"/>
              </w:tabs>
            </w:pPr>
            <w:r w:rsidRPr="00CE27D7">
              <w:t>Receptive</w:t>
            </w:r>
          </w:p>
        </w:tc>
        <w:tc>
          <w:tcPr>
            <w:tcW w:w="3156" w:type="dxa"/>
          </w:tcPr>
          <w:p w14:paraId="2D4A439E" w14:textId="77777777" w:rsidR="00617046" w:rsidRPr="00484F7B" w:rsidRDefault="00617046" w:rsidP="00617046">
            <w:pPr>
              <w:keepNext/>
              <w:keepLines/>
              <w:ind w:left="-24"/>
              <w:jc w:val="center"/>
            </w:pPr>
            <w:r>
              <w:t>14.30 ± 21.64</w:t>
            </w:r>
          </w:p>
        </w:tc>
        <w:tc>
          <w:tcPr>
            <w:tcW w:w="3156" w:type="dxa"/>
          </w:tcPr>
          <w:p w14:paraId="1510BE8C" w14:textId="77777777" w:rsidR="00617046" w:rsidRPr="00484F7B" w:rsidRDefault="00617046" w:rsidP="00617046">
            <w:pPr>
              <w:keepNext/>
              <w:keepLines/>
              <w:tabs>
                <w:tab w:val="decimal" w:pos="983"/>
              </w:tabs>
            </w:pPr>
            <w:r>
              <w:t>31.57 ± 24.97**</w:t>
            </w:r>
          </w:p>
        </w:tc>
      </w:tr>
      <w:tr w:rsidR="00617046" w14:paraId="2AABF20F" w14:textId="77777777" w:rsidTr="000D4F1C">
        <w:trPr>
          <w:trHeight w:val="275"/>
        </w:trPr>
        <w:tc>
          <w:tcPr>
            <w:tcW w:w="3156" w:type="dxa"/>
          </w:tcPr>
          <w:p w14:paraId="1E501C05" w14:textId="77777777" w:rsidR="00617046" w:rsidRDefault="00617046" w:rsidP="00617046">
            <w:pPr>
              <w:keepNext/>
              <w:keepLines/>
              <w:tabs>
                <w:tab w:val="left" w:pos="360"/>
              </w:tabs>
            </w:pPr>
            <w:r>
              <w:t>Adaptive composite</w:t>
            </w:r>
          </w:p>
        </w:tc>
        <w:tc>
          <w:tcPr>
            <w:tcW w:w="3156" w:type="dxa"/>
          </w:tcPr>
          <w:p w14:paraId="024FB507" w14:textId="77777777" w:rsidR="00617046" w:rsidRDefault="00617046" w:rsidP="00617046">
            <w:pPr>
              <w:keepNext/>
              <w:keepLines/>
              <w:ind w:left="-24"/>
              <w:jc w:val="center"/>
            </w:pPr>
            <w:r>
              <w:t xml:space="preserve"> -8.93 ± 19.33</w:t>
            </w:r>
          </w:p>
        </w:tc>
        <w:tc>
          <w:tcPr>
            <w:tcW w:w="3156" w:type="dxa"/>
          </w:tcPr>
          <w:p w14:paraId="46E06C6A" w14:textId="77777777" w:rsidR="00617046" w:rsidRDefault="00617046" w:rsidP="00617046">
            <w:pPr>
              <w:keepNext/>
              <w:keepLines/>
              <w:tabs>
                <w:tab w:val="decimal" w:pos="983"/>
              </w:tabs>
            </w:pPr>
            <w:r>
              <w:t>6.82 ± 14.93***</w:t>
            </w:r>
          </w:p>
        </w:tc>
      </w:tr>
      <w:tr w:rsidR="00617046" w14:paraId="7F03619C" w14:textId="77777777" w:rsidTr="000D4F1C">
        <w:trPr>
          <w:trHeight w:val="275"/>
        </w:trPr>
        <w:tc>
          <w:tcPr>
            <w:tcW w:w="3156" w:type="dxa"/>
          </w:tcPr>
          <w:p w14:paraId="2171E1DF" w14:textId="77777777" w:rsidR="00617046" w:rsidRDefault="00617046" w:rsidP="00617046">
            <w:pPr>
              <w:keepNext/>
              <w:keepLines/>
              <w:tabs>
                <w:tab w:val="left" w:pos="360"/>
              </w:tabs>
            </w:pPr>
            <w:r>
              <w:tab/>
            </w:r>
            <w:r w:rsidRPr="00CE27D7">
              <w:t>Self-help</w:t>
            </w:r>
          </w:p>
        </w:tc>
        <w:tc>
          <w:tcPr>
            <w:tcW w:w="3156" w:type="dxa"/>
          </w:tcPr>
          <w:p w14:paraId="28F2F93C" w14:textId="77777777" w:rsidR="00617046" w:rsidRDefault="00617046" w:rsidP="00617046">
            <w:pPr>
              <w:keepNext/>
              <w:keepLines/>
              <w:ind w:left="-24"/>
              <w:jc w:val="center"/>
            </w:pPr>
            <w:r>
              <w:t xml:space="preserve"> -5.16 ± 21.71</w:t>
            </w:r>
          </w:p>
        </w:tc>
        <w:tc>
          <w:tcPr>
            <w:tcW w:w="3156" w:type="dxa"/>
          </w:tcPr>
          <w:p w14:paraId="0C5048BE" w14:textId="77777777" w:rsidR="00617046" w:rsidRDefault="00617046" w:rsidP="00617046">
            <w:pPr>
              <w:keepNext/>
              <w:keepLines/>
              <w:tabs>
                <w:tab w:val="decimal" w:pos="983"/>
              </w:tabs>
            </w:pPr>
            <w:r>
              <w:t>12.19 ± 17.54***</w:t>
            </w:r>
          </w:p>
        </w:tc>
      </w:tr>
      <w:tr w:rsidR="00617046" w14:paraId="6F456EA9" w14:textId="77777777" w:rsidTr="000D4F1C">
        <w:trPr>
          <w:trHeight w:val="288"/>
        </w:trPr>
        <w:tc>
          <w:tcPr>
            <w:tcW w:w="3156" w:type="dxa"/>
          </w:tcPr>
          <w:p w14:paraId="3FC48D8A" w14:textId="77777777" w:rsidR="00617046" w:rsidRDefault="00617046" w:rsidP="00617046">
            <w:pPr>
              <w:keepNext/>
              <w:keepLines/>
              <w:tabs>
                <w:tab w:val="left" w:pos="360"/>
              </w:tabs>
            </w:pPr>
            <w:r>
              <w:tab/>
            </w:r>
            <w:r w:rsidRPr="00CE27D7">
              <w:t>Social</w:t>
            </w:r>
          </w:p>
        </w:tc>
        <w:tc>
          <w:tcPr>
            <w:tcW w:w="3156" w:type="dxa"/>
          </w:tcPr>
          <w:p w14:paraId="7276C850" w14:textId="77777777" w:rsidR="00617046" w:rsidRDefault="00617046" w:rsidP="00617046">
            <w:pPr>
              <w:keepNext/>
              <w:keepLines/>
              <w:ind w:left="-24"/>
              <w:jc w:val="center"/>
            </w:pPr>
            <w:r>
              <w:t xml:space="preserve"> -7.71 ± 19.09</w:t>
            </w:r>
          </w:p>
        </w:tc>
        <w:tc>
          <w:tcPr>
            <w:tcW w:w="3156" w:type="dxa"/>
          </w:tcPr>
          <w:p w14:paraId="51EF9574" w14:textId="77777777" w:rsidR="00617046" w:rsidRDefault="00617046" w:rsidP="00617046">
            <w:pPr>
              <w:keepNext/>
              <w:keepLines/>
              <w:tabs>
                <w:tab w:val="decimal" w:pos="983"/>
              </w:tabs>
            </w:pPr>
            <w:r>
              <w:t>7.89 ± 16.55***</w:t>
            </w:r>
          </w:p>
        </w:tc>
      </w:tr>
      <w:tr w:rsidR="00617046" w14:paraId="7E11937A" w14:textId="77777777" w:rsidTr="000D4F1C">
        <w:trPr>
          <w:trHeight w:val="275"/>
        </w:trPr>
        <w:tc>
          <w:tcPr>
            <w:tcW w:w="3156" w:type="dxa"/>
          </w:tcPr>
          <w:p w14:paraId="55B33C55" w14:textId="77777777" w:rsidR="00617046" w:rsidRDefault="00617046" w:rsidP="00617046">
            <w:pPr>
              <w:keepNext/>
              <w:keepLines/>
              <w:tabs>
                <w:tab w:val="left" w:pos="360"/>
              </w:tabs>
            </w:pPr>
            <w:r>
              <w:tab/>
              <w:t>Communication</w:t>
            </w:r>
          </w:p>
        </w:tc>
        <w:tc>
          <w:tcPr>
            <w:tcW w:w="3156" w:type="dxa"/>
          </w:tcPr>
          <w:p w14:paraId="581E7B4B" w14:textId="77777777" w:rsidR="00617046" w:rsidRDefault="00617046" w:rsidP="00617046">
            <w:pPr>
              <w:keepNext/>
              <w:keepLines/>
              <w:ind w:left="-24"/>
              <w:jc w:val="center"/>
            </w:pPr>
            <w:r>
              <w:t xml:space="preserve"> -1.29 ± 18.91</w:t>
            </w:r>
          </w:p>
        </w:tc>
        <w:tc>
          <w:tcPr>
            <w:tcW w:w="3156" w:type="dxa"/>
          </w:tcPr>
          <w:p w14:paraId="246CD419" w14:textId="77777777" w:rsidR="00617046" w:rsidRDefault="00617046" w:rsidP="00617046">
            <w:pPr>
              <w:keepNext/>
              <w:keepLines/>
              <w:tabs>
                <w:tab w:val="decimal" w:pos="983"/>
              </w:tabs>
            </w:pPr>
            <w:r>
              <w:t>15.98 ± 17.70***</w:t>
            </w:r>
          </w:p>
        </w:tc>
      </w:tr>
      <w:tr w:rsidR="00617046" w14:paraId="132E75E2" w14:textId="77777777" w:rsidTr="000D4F1C">
        <w:trPr>
          <w:trHeight w:val="302"/>
        </w:trPr>
        <w:tc>
          <w:tcPr>
            <w:tcW w:w="3156" w:type="dxa"/>
            <w:tcBorders>
              <w:bottom w:val="single" w:sz="4" w:space="0" w:color="auto"/>
            </w:tcBorders>
          </w:tcPr>
          <w:p w14:paraId="0353ABB5" w14:textId="77777777" w:rsidR="00617046" w:rsidRDefault="00617046" w:rsidP="00617046">
            <w:pPr>
              <w:keepNext/>
              <w:keepLines/>
              <w:tabs>
                <w:tab w:val="left" w:pos="360"/>
              </w:tabs>
            </w:pPr>
            <w:r>
              <w:tab/>
            </w:r>
            <w:r w:rsidRPr="00CE27D7">
              <w:t>Motor</w:t>
            </w:r>
          </w:p>
        </w:tc>
        <w:tc>
          <w:tcPr>
            <w:tcW w:w="3156" w:type="dxa"/>
            <w:tcBorders>
              <w:bottom w:val="single" w:sz="4" w:space="0" w:color="auto"/>
            </w:tcBorders>
          </w:tcPr>
          <w:p w14:paraId="3BEEDFF3" w14:textId="77777777" w:rsidR="00617046" w:rsidRDefault="00617046" w:rsidP="00617046">
            <w:pPr>
              <w:keepNext/>
              <w:keepLines/>
              <w:ind w:left="-24"/>
              <w:jc w:val="center"/>
            </w:pPr>
            <w:r>
              <w:t xml:space="preserve"> -5.57 ± 19.35</w:t>
            </w:r>
          </w:p>
        </w:tc>
        <w:tc>
          <w:tcPr>
            <w:tcW w:w="3156" w:type="dxa"/>
            <w:tcBorders>
              <w:bottom w:val="single" w:sz="4" w:space="0" w:color="auto"/>
            </w:tcBorders>
          </w:tcPr>
          <w:p w14:paraId="561232AA" w14:textId="77777777" w:rsidR="00617046" w:rsidRDefault="00617046" w:rsidP="00617046">
            <w:pPr>
              <w:keepNext/>
              <w:keepLines/>
              <w:tabs>
                <w:tab w:val="decimal" w:pos="983"/>
              </w:tabs>
            </w:pPr>
            <w:r>
              <w:t>-0.52 ± 17.03*</w:t>
            </w:r>
          </w:p>
        </w:tc>
      </w:tr>
    </w:tbl>
    <w:p w14:paraId="786D1592" w14:textId="0BE18445" w:rsidR="00617046" w:rsidRDefault="00617046" w:rsidP="00617046">
      <w:r>
        <w:t xml:space="preserve">* </w:t>
      </w:r>
      <w:r w:rsidRPr="001D14A4">
        <w:rPr>
          <w:i/>
        </w:rPr>
        <w:t>p</w:t>
      </w:r>
      <w:r>
        <w:t xml:space="preserve"> &lt; .05, ** </w:t>
      </w:r>
      <w:r w:rsidRPr="009D1E6C">
        <w:rPr>
          <w:i/>
        </w:rPr>
        <w:t>p</w:t>
      </w:r>
      <w:r>
        <w:t xml:space="preserve"> &lt; .01, *** </w:t>
      </w:r>
      <w:r w:rsidRPr="009D1E6C">
        <w:rPr>
          <w:i/>
        </w:rPr>
        <w:t>p</w:t>
      </w:r>
      <w:r>
        <w:t xml:space="preserve"> &lt; .001 for ANCOVA comparing eclectic and ABA mean</w:t>
      </w:r>
      <w:r w:rsidRPr="00FA7700">
        <w:t xml:space="preserve"> </w:t>
      </w:r>
      <w:r>
        <w:t>change scores, after controlling for differences in domain baseline scores</w:t>
      </w:r>
    </w:p>
    <w:p w14:paraId="659BF2DA" w14:textId="77777777" w:rsidR="00617046" w:rsidRDefault="00617046" w:rsidP="00617046"/>
    <w:p w14:paraId="43852FC3" w14:textId="79161E79" w:rsidR="00E93D8F" w:rsidRDefault="00E93D8F" w:rsidP="00617046">
      <w:pPr>
        <w:widowControl w:val="0"/>
        <w:autoSpaceDE w:val="0"/>
        <w:autoSpaceDN w:val="0"/>
        <w:adjustRightInd w:val="0"/>
        <w:spacing w:line="240" w:lineRule="exact"/>
        <w:ind w:firstLine="720"/>
      </w:pPr>
      <w:r>
        <w:t xml:space="preserve">The treatment by time interaction in the repeated measures ANOVA confirmed that </w:t>
      </w:r>
      <w:r w:rsidR="008F34E8">
        <w:t>ABA yielded larger treatment gains than eclectic treatment</w:t>
      </w:r>
      <w:r>
        <w:t xml:space="preserve"> </w:t>
      </w:r>
      <w:r w:rsidRPr="00486DEC">
        <w:t>(</w:t>
      </w:r>
      <w:r w:rsidR="00340ABD" w:rsidRPr="00486DEC">
        <w:rPr>
          <w:noProof/>
          <w:position w:val="-14"/>
        </w:rPr>
        <w:object w:dxaOrig="300" w:dyaOrig="400" w14:anchorId="6DF5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6pt;height:20pt;mso-width-percent:0;mso-height-percent:0;mso-width-percent:0;mso-height-percent:0" o:ole="">
            <v:imagedata r:id="rId8" o:title=""/>
          </v:shape>
          <o:OLEObject Type="Embed" ProgID="Equation.DSMT4" ShapeID="_x0000_i1027" DrawAspect="Content" ObjectID="_1621679175" r:id="rId9"/>
        </w:object>
      </w:r>
      <w:r w:rsidRPr="00486DEC">
        <w:t xml:space="preserve"> = .15, </w:t>
      </w:r>
      <w:r>
        <w:rPr>
          <w:i/>
        </w:rPr>
        <w:t>p</w:t>
      </w:r>
      <w:r>
        <w:t xml:space="preserve"> = .001).  The domain by time interaction was also statistically significant </w:t>
      </w:r>
      <w:r w:rsidRPr="00486DEC">
        <w:t>(</w:t>
      </w:r>
      <w:r w:rsidR="00340ABD" w:rsidRPr="00486DEC">
        <w:rPr>
          <w:noProof/>
          <w:position w:val="-14"/>
        </w:rPr>
        <w:object w:dxaOrig="300" w:dyaOrig="400" w14:anchorId="411AE0E9">
          <v:shape id="_x0000_i1026" type="#_x0000_t75" alt="" style="width:16pt;height:20pt;mso-width-percent:0;mso-height-percent:0;mso-width-percent:0;mso-height-percent:0" o:ole="">
            <v:imagedata r:id="rId8" o:title=""/>
          </v:shape>
          <o:OLEObject Type="Embed" ProgID="Equation.DSMT4" ShapeID="_x0000_i1026" DrawAspect="Content" ObjectID="_1621679176" r:id="rId10"/>
        </w:object>
      </w:r>
      <w:r w:rsidRPr="00486DEC">
        <w:t xml:space="preserve"> = .47, </w:t>
      </w:r>
      <w:r>
        <w:rPr>
          <w:i/>
        </w:rPr>
        <w:t>p</w:t>
      </w:r>
      <w:r w:rsidRPr="00486DEC">
        <w:t xml:space="preserve"> &lt; .001)</w:t>
      </w:r>
      <w:r w:rsidR="008F34E8">
        <w:t>, indicating that treatment had a larger impact on cognition than on adaptive skills</w:t>
      </w:r>
      <w:r w:rsidRPr="00486DEC">
        <w:t>.</w:t>
      </w:r>
      <w:r>
        <w:t xml:space="preserve">  This is evident from Figure 2 in the main article, which shows that cognitive scores improved more than </w:t>
      </w:r>
      <w:r w:rsidRPr="00486DEC">
        <w:t>ada</w:t>
      </w:r>
      <w:r>
        <w:t xml:space="preserve">ptive composite scores: At the final assessment, more children in both treatment groups were in the normal range for cognition (to the right of the vertical line in the right panel) than for </w:t>
      </w:r>
      <w:r w:rsidRPr="00486DEC">
        <w:t>ada</w:t>
      </w:r>
      <w:r>
        <w:t>ptive skills (above the horizontal line in the right panel).  However, t</w:t>
      </w:r>
      <w:r w:rsidRPr="00486DEC">
        <w:t>he</w:t>
      </w:r>
      <w:r>
        <w:t xml:space="preserve"> three-way interaction was</w:t>
      </w:r>
      <w:r w:rsidRPr="00486DEC">
        <w:t xml:space="preserve"> no</w:t>
      </w:r>
      <w:r>
        <w:t>t</w:t>
      </w:r>
      <w:r w:rsidRPr="00486DEC">
        <w:t xml:space="preserve"> significant (</w:t>
      </w:r>
      <w:r w:rsidR="00340ABD" w:rsidRPr="00486DEC">
        <w:rPr>
          <w:noProof/>
          <w:position w:val="-14"/>
        </w:rPr>
        <w:object w:dxaOrig="300" w:dyaOrig="400" w14:anchorId="27987FE5">
          <v:shape id="_x0000_i1025" type="#_x0000_t75" alt="" style="width:16pt;height:20pt;mso-width-percent:0;mso-height-percent:0;mso-width-percent:0;mso-height-percent:0" o:ole="">
            <v:imagedata r:id="rId8" o:title=""/>
          </v:shape>
          <o:OLEObject Type="Embed" ProgID="Equation.DSMT4" ShapeID="_x0000_i1025" DrawAspect="Content" ObjectID="_1621679177" r:id="rId11"/>
        </w:object>
      </w:r>
      <w:r w:rsidRPr="00486DEC">
        <w:t xml:space="preserve"> = .003, </w:t>
      </w:r>
      <w:r>
        <w:rPr>
          <w:i/>
        </w:rPr>
        <w:t>p</w:t>
      </w:r>
      <w:r w:rsidRPr="00486DEC">
        <w:t xml:space="preserve"> = .67)</w:t>
      </w:r>
      <w:r>
        <w:t>.  Thus, even though</w:t>
      </w:r>
      <w:r w:rsidRPr="00486DEC">
        <w:t xml:space="preserve"> </w:t>
      </w:r>
      <w:r>
        <w:t xml:space="preserve">gains were greater from </w:t>
      </w:r>
      <w:r w:rsidRPr="00486DEC">
        <w:t>ABA</w:t>
      </w:r>
      <w:r w:rsidRPr="00486DEC" w:rsidDel="00D4291C">
        <w:t xml:space="preserve"> </w:t>
      </w:r>
      <w:r w:rsidRPr="00486DEC">
        <w:t xml:space="preserve">than </w:t>
      </w:r>
      <w:r>
        <w:t xml:space="preserve">from </w:t>
      </w:r>
      <w:r w:rsidRPr="00486DEC">
        <w:t xml:space="preserve">eclectic </w:t>
      </w:r>
      <w:r>
        <w:t>treatment</w:t>
      </w:r>
      <w:r w:rsidRPr="00486DEC">
        <w:t xml:space="preserve">, </w:t>
      </w:r>
      <w:r>
        <w:t>and even though cognitive gains were greater than</w:t>
      </w:r>
      <w:r w:rsidRPr="00486DEC">
        <w:t xml:space="preserve"> adaptive composite </w:t>
      </w:r>
      <w:r>
        <w:t>gains, ABA treatment was no more effective than eclectic treatment in narrowing the difference between cogniti</w:t>
      </w:r>
      <w:r w:rsidR="0082763C">
        <w:t>ve</w:t>
      </w:r>
      <w:r>
        <w:t xml:space="preserve"> and adaptive skills.  </w:t>
      </w:r>
      <w:r w:rsidR="008F34E8">
        <w:t>In fact, t</w:t>
      </w:r>
      <w:r>
        <w:t>his difference grew in both groups</w:t>
      </w:r>
      <w:r w:rsidR="00287960" w:rsidRPr="00287960">
        <w:t xml:space="preserve"> </w:t>
      </w:r>
      <w:r w:rsidR="00287960">
        <w:t xml:space="preserve">following </w:t>
      </w:r>
      <w:r w:rsidR="00287960">
        <w:t>treatment</w:t>
      </w:r>
      <w:r>
        <w:t xml:space="preserve">: Adaptive composite scores were an average of 7-13 points </w:t>
      </w:r>
      <w:r w:rsidRPr="007221C5">
        <w:rPr>
          <w:i/>
        </w:rPr>
        <w:t>higher</w:t>
      </w:r>
      <w:r>
        <w:t xml:space="preserve"> than cognitive scores at baseline, but 9-13 points </w:t>
      </w:r>
      <w:r w:rsidRPr="007221C5">
        <w:rPr>
          <w:i/>
        </w:rPr>
        <w:t>lower</w:t>
      </w:r>
      <w:r>
        <w:t xml:space="preserve"> at the final assessment (Supplementa</w:t>
      </w:r>
      <w:r w:rsidR="00922346">
        <w:t>l</w:t>
      </w:r>
      <w:r>
        <w:t xml:space="preserve"> Table </w:t>
      </w:r>
      <w:r w:rsidR="00C14706">
        <w:t>4</w:t>
      </w:r>
      <w:r>
        <w:t>).</w:t>
      </w:r>
    </w:p>
    <w:p w14:paraId="526B421D" w14:textId="77777777" w:rsidR="00617046" w:rsidRDefault="00617046" w:rsidP="00617046">
      <w:pPr>
        <w:widowControl w:val="0"/>
        <w:autoSpaceDE w:val="0"/>
        <w:autoSpaceDN w:val="0"/>
        <w:adjustRightInd w:val="0"/>
        <w:ind w:firstLine="720"/>
      </w:pPr>
    </w:p>
    <w:p w14:paraId="0488994B" w14:textId="38A6CF3F" w:rsidR="00617046" w:rsidRPr="0038767A" w:rsidRDefault="00617046" w:rsidP="00617046">
      <w:pPr>
        <w:keepNext/>
        <w:keepLines/>
        <w:widowControl w:val="0"/>
        <w:autoSpaceDE w:val="0"/>
        <w:autoSpaceDN w:val="0"/>
        <w:adjustRightInd w:val="0"/>
        <w:rPr>
          <w:b/>
        </w:rPr>
      </w:pPr>
      <w:r w:rsidRPr="00987654">
        <w:rPr>
          <w:b/>
        </w:rPr>
        <w:t>Supplementa</w:t>
      </w:r>
      <w:r>
        <w:rPr>
          <w:b/>
        </w:rPr>
        <w:t>l</w:t>
      </w:r>
      <w:r w:rsidRPr="00987654">
        <w:rPr>
          <w:b/>
        </w:rPr>
        <w:t xml:space="preserve"> Table </w:t>
      </w:r>
      <w:r>
        <w:rPr>
          <w:b/>
        </w:rPr>
        <w:t>4</w:t>
      </w:r>
      <w:r w:rsidRPr="00987654">
        <w:rPr>
          <w:b/>
        </w:rPr>
        <w:t>.  Baseline and Final Adaptive Composite and Cognitive</w:t>
      </w:r>
      <w:r w:rsidRPr="0038767A">
        <w:rPr>
          <w:b/>
        </w:rPr>
        <w:t xml:space="preserve"> Scores</w:t>
      </w: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6"/>
        <w:gridCol w:w="1266"/>
        <w:gridCol w:w="1266"/>
        <w:gridCol w:w="9"/>
        <w:gridCol w:w="1257"/>
        <w:gridCol w:w="1266"/>
        <w:gridCol w:w="1266"/>
      </w:tblGrid>
      <w:tr w:rsidR="00617046" w:rsidRPr="00B8448C" w14:paraId="233DF2E3" w14:textId="77777777" w:rsidTr="000D4F1C">
        <w:tc>
          <w:tcPr>
            <w:tcW w:w="1260" w:type="dxa"/>
            <w:vMerge w:val="restart"/>
            <w:tcBorders>
              <w:top w:val="single" w:sz="4" w:space="0" w:color="auto"/>
            </w:tcBorders>
            <w:vAlign w:val="bottom"/>
          </w:tcPr>
          <w:p w14:paraId="076D928A" w14:textId="77777777" w:rsidR="00617046" w:rsidRPr="00B8448C" w:rsidRDefault="00617046" w:rsidP="00617046">
            <w:pPr>
              <w:widowControl w:val="0"/>
              <w:autoSpaceDE w:val="0"/>
              <w:autoSpaceDN w:val="0"/>
              <w:adjustRightInd w:val="0"/>
              <w:jc w:val="center"/>
            </w:pPr>
            <w:r w:rsidRPr="00B8448C">
              <w:t xml:space="preserve">Treatment </w:t>
            </w:r>
            <w:r>
              <w:t>G</w:t>
            </w:r>
            <w:r w:rsidRPr="00B8448C">
              <w:t>roup</w:t>
            </w:r>
          </w:p>
        </w:tc>
        <w:tc>
          <w:tcPr>
            <w:tcW w:w="3807" w:type="dxa"/>
            <w:gridSpan w:val="4"/>
            <w:tcBorders>
              <w:top w:val="single" w:sz="4" w:space="0" w:color="auto"/>
              <w:bottom w:val="single" w:sz="4" w:space="0" w:color="auto"/>
            </w:tcBorders>
          </w:tcPr>
          <w:p w14:paraId="119B65C4" w14:textId="77777777" w:rsidR="00617046" w:rsidRPr="00B8448C" w:rsidRDefault="00617046" w:rsidP="00617046">
            <w:pPr>
              <w:widowControl w:val="0"/>
              <w:autoSpaceDE w:val="0"/>
              <w:autoSpaceDN w:val="0"/>
              <w:adjustRightInd w:val="0"/>
              <w:jc w:val="center"/>
            </w:pPr>
            <w:r>
              <w:t>Mean (</w:t>
            </w:r>
            <w:r w:rsidRPr="004C72DC">
              <w:rPr>
                <w:i/>
              </w:rPr>
              <w:t>SD</w:t>
            </w:r>
            <w:r>
              <w:t>) Baseline Score</w:t>
            </w:r>
          </w:p>
        </w:tc>
        <w:tc>
          <w:tcPr>
            <w:tcW w:w="3789" w:type="dxa"/>
            <w:gridSpan w:val="3"/>
            <w:tcBorders>
              <w:top w:val="single" w:sz="4" w:space="0" w:color="auto"/>
              <w:bottom w:val="single" w:sz="4" w:space="0" w:color="auto"/>
            </w:tcBorders>
          </w:tcPr>
          <w:p w14:paraId="119BDB6F" w14:textId="77777777" w:rsidR="00617046" w:rsidRPr="00B8448C" w:rsidRDefault="00617046" w:rsidP="00617046">
            <w:pPr>
              <w:widowControl w:val="0"/>
              <w:autoSpaceDE w:val="0"/>
              <w:autoSpaceDN w:val="0"/>
              <w:adjustRightInd w:val="0"/>
              <w:jc w:val="center"/>
            </w:pPr>
            <w:r>
              <w:t>Mean (</w:t>
            </w:r>
            <w:r w:rsidRPr="004C72DC">
              <w:rPr>
                <w:i/>
              </w:rPr>
              <w:t>SD</w:t>
            </w:r>
            <w:r>
              <w:t>) Final Score</w:t>
            </w:r>
          </w:p>
        </w:tc>
      </w:tr>
      <w:tr w:rsidR="00617046" w:rsidRPr="00B8448C" w14:paraId="16CEB38C" w14:textId="77777777" w:rsidTr="000D4F1C">
        <w:tc>
          <w:tcPr>
            <w:tcW w:w="1260" w:type="dxa"/>
            <w:vMerge/>
            <w:tcBorders>
              <w:bottom w:val="single" w:sz="4" w:space="0" w:color="auto"/>
            </w:tcBorders>
          </w:tcPr>
          <w:p w14:paraId="1A9BC5D5" w14:textId="77777777" w:rsidR="00617046" w:rsidRPr="00B8448C" w:rsidRDefault="00617046" w:rsidP="00617046">
            <w:pPr>
              <w:widowControl w:val="0"/>
              <w:autoSpaceDE w:val="0"/>
              <w:autoSpaceDN w:val="0"/>
              <w:adjustRightInd w:val="0"/>
              <w:jc w:val="center"/>
            </w:pPr>
          </w:p>
        </w:tc>
        <w:tc>
          <w:tcPr>
            <w:tcW w:w="1266" w:type="dxa"/>
            <w:tcBorders>
              <w:top w:val="single" w:sz="4" w:space="0" w:color="auto"/>
              <w:bottom w:val="single" w:sz="4" w:space="0" w:color="auto"/>
            </w:tcBorders>
            <w:vAlign w:val="bottom"/>
          </w:tcPr>
          <w:p w14:paraId="65014E46" w14:textId="77777777" w:rsidR="00617046" w:rsidRPr="00B8448C" w:rsidRDefault="00617046" w:rsidP="00617046">
            <w:pPr>
              <w:widowControl w:val="0"/>
              <w:autoSpaceDE w:val="0"/>
              <w:autoSpaceDN w:val="0"/>
              <w:adjustRightInd w:val="0"/>
              <w:jc w:val="center"/>
            </w:pPr>
            <w:r w:rsidRPr="00B8448C">
              <w:t xml:space="preserve">Adaptive </w:t>
            </w:r>
            <w:r>
              <w:t>C</w:t>
            </w:r>
            <w:r w:rsidRPr="00B8448C">
              <w:t>omposite</w:t>
            </w:r>
          </w:p>
        </w:tc>
        <w:tc>
          <w:tcPr>
            <w:tcW w:w="1266" w:type="dxa"/>
            <w:tcBorders>
              <w:top w:val="single" w:sz="4" w:space="0" w:color="auto"/>
              <w:bottom w:val="single" w:sz="4" w:space="0" w:color="auto"/>
            </w:tcBorders>
            <w:vAlign w:val="bottom"/>
          </w:tcPr>
          <w:p w14:paraId="7E24C1B8" w14:textId="77777777" w:rsidR="00617046" w:rsidRPr="00B8448C" w:rsidRDefault="00617046" w:rsidP="00617046">
            <w:pPr>
              <w:widowControl w:val="0"/>
              <w:autoSpaceDE w:val="0"/>
              <w:autoSpaceDN w:val="0"/>
              <w:adjustRightInd w:val="0"/>
              <w:jc w:val="center"/>
            </w:pPr>
            <w:r w:rsidRPr="00B8448C">
              <w:t>Cognitive</w:t>
            </w:r>
          </w:p>
        </w:tc>
        <w:tc>
          <w:tcPr>
            <w:tcW w:w="1266" w:type="dxa"/>
            <w:tcBorders>
              <w:top w:val="single" w:sz="4" w:space="0" w:color="auto"/>
              <w:bottom w:val="single" w:sz="4" w:space="0" w:color="auto"/>
            </w:tcBorders>
            <w:vAlign w:val="bottom"/>
          </w:tcPr>
          <w:p w14:paraId="6328BE6E" w14:textId="77777777" w:rsidR="00617046" w:rsidRPr="00B8448C" w:rsidRDefault="00617046" w:rsidP="00617046">
            <w:pPr>
              <w:widowControl w:val="0"/>
              <w:autoSpaceDE w:val="0"/>
              <w:autoSpaceDN w:val="0"/>
              <w:adjustRightInd w:val="0"/>
              <w:jc w:val="center"/>
            </w:pPr>
            <w:r>
              <w:t>Difference</w:t>
            </w:r>
          </w:p>
        </w:tc>
        <w:tc>
          <w:tcPr>
            <w:tcW w:w="1266" w:type="dxa"/>
            <w:gridSpan w:val="2"/>
            <w:tcBorders>
              <w:top w:val="single" w:sz="4" w:space="0" w:color="auto"/>
              <w:bottom w:val="single" w:sz="4" w:space="0" w:color="auto"/>
            </w:tcBorders>
            <w:vAlign w:val="bottom"/>
          </w:tcPr>
          <w:p w14:paraId="2D1E7547" w14:textId="77777777" w:rsidR="00617046" w:rsidRPr="00B8448C" w:rsidRDefault="00617046" w:rsidP="00617046">
            <w:pPr>
              <w:widowControl w:val="0"/>
              <w:autoSpaceDE w:val="0"/>
              <w:autoSpaceDN w:val="0"/>
              <w:adjustRightInd w:val="0"/>
              <w:jc w:val="center"/>
            </w:pPr>
            <w:r w:rsidRPr="00B8448C">
              <w:t xml:space="preserve">Adaptive </w:t>
            </w:r>
            <w:r>
              <w:t>C</w:t>
            </w:r>
            <w:r w:rsidRPr="00B8448C">
              <w:t>omposite</w:t>
            </w:r>
          </w:p>
        </w:tc>
        <w:tc>
          <w:tcPr>
            <w:tcW w:w="1266" w:type="dxa"/>
            <w:tcBorders>
              <w:top w:val="single" w:sz="4" w:space="0" w:color="auto"/>
              <w:bottom w:val="single" w:sz="4" w:space="0" w:color="auto"/>
            </w:tcBorders>
            <w:vAlign w:val="bottom"/>
          </w:tcPr>
          <w:p w14:paraId="0485ED2D" w14:textId="77777777" w:rsidR="00617046" w:rsidRPr="00B8448C" w:rsidRDefault="00617046" w:rsidP="00617046">
            <w:pPr>
              <w:widowControl w:val="0"/>
              <w:autoSpaceDE w:val="0"/>
              <w:autoSpaceDN w:val="0"/>
              <w:adjustRightInd w:val="0"/>
              <w:jc w:val="center"/>
            </w:pPr>
            <w:r w:rsidRPr="00B8448C">
              <w:t>Cognitive</w:t>
            </w:r>
          </w:p>
        </w:tc>
        <w:tc>
          <w:tcPr>
            <w:tcW w:w="1266" w:type="dxa"/>
            <w:tcBorders>
              <w:top w:val="single" w:sz="4" w:space="0" w:color="auto"/>
              <w:bottom w:val="single" w:sz="4" w:space="0" w:color="auto"/>
            </w:tcBorders>
            <w:vAlign w:val="bottom"/>
          </w:tcPr>
          <w:p w14:paraId="20E89CA9" w14:textId="77777777" w:rsidR="00617046" w:rsidRPr="00B8448C" w:rsidRDefault="00617046" w:rsidP="00617046">
            <w:pPr>
              <w:widowControl w:val="0"/>
              <w:autoSpaceDE w:val="0"/>
              <w:autoSpaceDN w:val="0"/>
              <w:adjustRightInd w:val="0"/>
              <w:jc w:val="center"/>
            </w:pPr>
            <w:r>
              <w:t>Difference</w:t>
            </w:r>
          </w:p>
        </w:tc>
      </w:tr>
      <w:tr w:rsidR="00617046" w:rsidRPr="00B8448C" w14:paraId="38C07EDA" w14:textId="77777777" w:rsidTr="000D4F1C">
        <w:tc>
          <w:tcPr>
            <w:tcW w:w="1260" w:type="dxa"/>
            <w:tcBorders>
              <w:top w:val="single" w:sz="4" w:space="0" w:color="auto"/>
            </w:tcBorders>
          </w:tcPr>
          <w:p w14:paraId="12CAC586" w14:textId="77777777" w:rsidR="00617046" w:rsidRPr="00B8448C" w:rsidRDefault="00617046" w:rsidP="00617046">
            <w:pPr>
              <w:widowControl w:val="0"/>
              <w:autoSpaceDE w:val="0"/>
              <w:autoSpaceDN w:val="0"/>
              <w:adjustRightInd w:val="0"/>
              <w:spacing w:before="120"/>
              <w:jc w:val="center"/>
            </w:pPr>
            <w:r w:rsidRPr="00B8448C">
              <w:t>ABA</w:t>
            </w:r>
            <w:r>
              <w:br/>
              <w:t>(</w:t>
            </w:r>
            <w:r w:rsidRPr="001A06BD">
              <w:rPr>
                <w:i/>
              </w:rPr>
              <w:t>n</w:t>
            </w:r>
            <w:r>
              <w:t xml:space="preserve"> = 44)</w:t>
            </w:r>
          </w:p>
        </w:tc>
        <w:tc>
          <w:tcPr>
            <w:tcW w:w="1266" w:type="dxa"/>
            <w:tcBorders>
              <w:top w:val="single" w:sz="4" w:space="0" w:color="auto"/>
            </w:tcBorders>
          </w:tcPr>
          <w:p w14:paraId="080859FC" w14:textId="77777777" w:rsidR="00617046" w:rsidRPr="00B8448C" w:rsidRDefault="00617046" w:rsidP="00617046">
            <w:pPr>
              <w:widowControl w:val="0"/>
              <w:autoSpaceDE w:val="0"/>
              <w:autoSpaceDN w:val="0"/>
              <w:adjustRightInd w:val="0"/>
              <w:spacing w:before="120"/>
              <w:jc w:val="center"/>
            </w:pPr>
            <w:r>
              <w:t>71.75</w:t>
            </w:r>
            <w:r>
              <w:br/>
              <w:t>(7.50)</w:t>
            </w:r>
          </w:p>
        </w:tc>
        <w:tc>
          <w:tcPr>
            <w:tcW w:w="1266" w:type="dxa"/>
            <w:tcBorders>
              <w:top w:val="single" w:sz="4" w:space="0" w:color="auto"/>
            </w:tcBorders>
          </w:tcPr>
          <w:p w14:paraId="4370C3C8" w14:textId="77777777" w:rsidR="00617046" w:rsidRPr="00B8448C" w:rsidRDefault="00617046" w:rsidP="00617046">
            <w:pPr>
              <w:widowControl w:val="0"/>
              <w:autoSpaceDE w:val="0"/>
              <w:autoSpaceDN w:val="0"/>
              <w:adjustRightInd w:val="0"/>
              <w:spacing w:before="120"/>
              <w:jc w:val="center"/>
            </w:pPr>
            <w:r>
              <w:t>64.68</w:t>
            </w:r>
            <w:r>
              <w:br/>
              <w:t>(17.25)</w:t>
            </w:r>
          </w:p>
        </w:tc>
        <w:tc>
          <w:tcPr>
            <w:tcW w:w="1266" w:type="dxa"/>
            <w:tcBorders>
              <w:top w:val="single" w:sz="4" w:space="0" w:color="auto"/>
            </w:tcBorders>
          </w:tcPr>
          <w:p w14:paraId="5813A214" w14:textId="77777777" w:rsidR="00617046" w:rsidRPr="00B8448C" w:rsidRDefault="00617046" w:rsidP="00617046">
            <w:pPr>
              <w:widowControl w:val="0"/>
              <w:autoSpaceDE w:val="0"/>
              <w:autoSpaceDN w:val="0"/>
              <w:adjustRightInd w:val="0"/>
              <w:spacing w:before="120"/>
              <w:jc w:val="center"/>
            </w:pPr>
            <w:r>
              <w:t>7.07</w:t>
            </w:r>
            <w:r>
              <w:br/>
              <w:t>(16.20)</w:t>
            </w:r>
          </w:p>
        </w:tc>
        <w:tc>
          <w:tcPr>
            <w:tcW w:w="1266" w:type="dxa"/>
            <w:gridSpan w:val="2"/>
            <w:tcBorders>
              <w:top w:val="single" w:sz="4" w:space="0" w:color="auto"/>
            </w:tcBorders>
          </w:tcPr>
          <w:p w14:paraId="043DAB9E" w14:textId="77777777" w:rsidR="00617046" w:rsidRPr="00B8448C" w:rsidRDefault="00617046" w:rsidP="00617046">
            <w:pPr>
              <w:widowControl w:val="0"/>
              <w:autoSpaceDE w:val="0"/>
              <w:autoSpaceDN w:val="0"/>
              <w:adjustRightInd w:val="0"/>
              <w:spacing w:before="120"/>
              <w:jc w:val="center"/>
            </w:pPr>
            <w:r>
              <w:t>78.57</w:t>
            </w:r>
            <w:r>
              <w:br/>
              <w:t>(15.33)</w:t>
            </w:r>
          </w:p>
        </w:tc>
        <w:tc>
          <w:tcPr>
            <w:tcW w:w="1266" w:type="dxa"/>
            <w:tcBorders>
              <w:top w:val="single" w:sz="4" w:space="0" w:color="auto"/>
            </w:tcBorders>
          </w:tcPr>
          <w:p w14:paraId="4CED716A" w14:textId="77777777" w:rsidR="00617046" w:rsidRPr="00B8448C" w:rsidRDefault="00617046" w:rsidP="00617046">
            <w:pPr>
              <w:widowControl w:val="0"/>
              <w:autoSpaceDE w:val="0"/>
              <w:autoSpaceDN w:val="0"/>
              <w:adjustRightInd w:val="0"/>
              <w:spacing w:before="120"/>
              <w:jc w:val="center"/>
            </w:pPr>
            <w:r>
              <w:t>91.09</w:t>
            </w:r>
            <w:r>
              <w:br/>
              <w:t>(21.99)</w:t>
            </w:r>
          </w:p>
        </w:tc>
        <w:tc>
          <w:tcPr>
            <w:tcW w:w="1266" w:type="dxa"/>
            <w:tcBorders>
              <w:top w:val="single" w:sz="4" w:space="0" w:color="auto"/>
            </w:tcBorders>
          </w:tcPr>
          <w:p w14:paraId="4C24BF02" w14:textId="77777777" w:rsidR="00617046" w:rsidRPr="00B8448C" w:rsidRDefault="00617046" w:rsidP="00617046">
            <w:pPr>
              <w:widowControl w:val="0"/>
              <w:autoSpaceDE w:val="0"/>
              <w:autoSpaceDN w:val="0"/>
              <w:adjustRightInd w:val="0"/>
              <w:spacing w:before="120"/>
              <w:jc w:val="center"/>
            </w:pPr>
            <w:r>
              <w:t>-12.52</w:t>
            </w:r>
            <w:r>
              <w:br/>
              <w:t>(15.38)</w:t>
            </w:r>
          </w:p>
        </w:tc>
      </w:tr>
      <w:tr w:rsidR="00617046" w:rsidRPr="00B8448C" w14:paraId="59B84386" w14:textId="77777777" w:rsidTr="000D4F1C">
        <w:tc>
          <w:tcPr>
            <w:tcW w:w="1260" w:type="dxa"/>
          </w:tcPr>
          <w:p w14:paraId="4BCF43D7" w14:textId="77777777" w:rsidR="00617046" w:rsidRPr="00B8448C" w:rsidRDefault="00617046" w:rsidP="00617046">
            <w:pPr>
              <w:widowControl w:val="0"/>
              <w:autoSpaceDE w:val="0"/>
              <w:autoSpaceDN w:val="0"/>
              <w:adjustRightInd w:val="0"/>
              <w:spacing w:before="120" w:after="120"/>
              <w:jc w:val="center"/>
            </w:pPr>
            <w:r w:rsidRPr="00B8448C">
              <w:t>Eclectic</w:t>
            </w:r>
            <w:r>
              <w:br/>
              <w:t>(</w:t>
            </w:r>
            <w:r w:rsidRPr="001A06BD">
              <w:rPr>
                <w:i/>
              </w:rPr>
              <w:t>n</w:t>
            </w:r>
            <w:r>
              <w:t xml:space="preserve"> = 28)</w:t>
            </w:r>
          </w:p>
        </w:tc>
        <w:tc>
          <w:tcPr>
            <w:tcW w:w="1266" w:type="dxa"/>
          </w:tcPr>
          <w:p w14:paraId="696A765B" w14:textId="77777777" w:rsidR="00617046" w:rsidRPr="00B8448C" w:rsidRDefault="00617046" w:rsidP="00617046">
            <w:pPr>
              <w:widowControl w:val="0"/>
              <w:autoSpaceDE w:val="0"/>
              <w:autoSpaceDN w:val="0"/>
              <w:adjustRightInd w:val="0"/>
              <w:spacing w:before="120" w:after="120"/>
              <w:jc w:val="center"/>
            </w:pPr>
            <w:r>
              <w:t>69.86</w:t>
            </w:r>
            <w:r>
              <w:br/>
              <w:t>(9.65)</w:t>
            </w:r>
          </w:p>
        </w:tc>
        <w:tc>
          <w:tcPr>
            <w:tcW w:w="1266" w:type="dxa"/>
          </w:tcPr>
          <w:p w14:paraId="344B6670" w14:textId="77777777" w:rsidR="00617046" w:rsidRPr="00B8448C" w:rsidRDefault="00617046" w:rsidP="00617046">
            <w:pPr>
              <w:widowControl w:val="0"/>
              <w:autoSpaceDE w:val="0"/>
              <w:autoSpaceDN w:val="0"/>
              <w:adjustRightInd w:val="0"/>
              <w:spacing w:before="120" w:after="120"/>
              <w:jc w:val="center"/>
            </w:pPr>
            <w:r>
              <w:t>56.96</w:t>
            </w:r>
            <w:r>
              <w:br/>
              <w:t>(15.29)</w:t>
            </w:r>
          </w:p>
        </w:tc>
        <w:tc>
          <w:tcPr>
            <w:tcW w:w="1266" w:type="dxa"/>
          </w:tcPr>
          <w:p w14:paraId="4BA5A74F" w14:textId="77777777" w:rsidR="00617046" w:rsidRPr="00B8448C" w:rsidRDefault="00617046" w:rsidP="00617046">
            <w:pPr>
              <w:widowControl w:val="0"/>
              <w:autoSpaceDE w:val="0"/>
              <w:autoSpaceDN w:val="0"/>
              <w:adjustRightInd w:val="0"/>
              <w:spacing w:before="120" w:after="120"/>
              <w:jc w:val="center"/>
            </w:pPr>
            <w:r>
              <w:t>12.89</w:t>
            </w:r>
            <w:r>
              <w:br/>
              <w:t>(19.13)</w:t>
            </w:r>
          </w:p>
        </w:tc>
        <w:tc>
          <w:tcPr>
            <w:tcW w:w="1266" w:type="dxa"/>
            <w:gridSpan w:val="2"/>
          </w:tcPr>
          <w:p w14:paraId="2D106CA0" w14:textId="77777777" w:rsidR="00617046" w:rsidRPr="00B8448C" w:rsidRDefault="00617046" w:rsidP="00617046">
            <w:pPr>
              <w:widowControl w:val="0"/>
              <w:autoSpaceDE w:val="0"/>
              <w:autoSpaceDN w:val="0"/>
              <w:adjustRightInd w:val="0"/>
              <w:spacing w:before="120" w:after="120"/>
              <w:jc w:val="center"/>
            </w:pPr>
            <w:r>
              <w:t>60.93</w:t>
            </w:r>
            <w:r>
              <w:br/>
              <w:t>(18.63)</w:t>
            </w:r>
          </w:p>
        </w:tc>
        <w:tc>
          <w:tcPr>
            <w:tcW w:w="1266" w:type="dxa"/>
          </w:tcPr>
          <w:p w14:paraId="6A23F151" w14:textId="77777777" w:rsidR="00617046" w:rsidRPr="00B8448C" w:rsidRDefault="00617046" w:rsidP="00617046">
            <w:pPr>
              <w:widowControl w:val="0"/>
              <w:autoSpaceDE w:val="0"/>
              <w:autoSpaceDN w:val="0"/>
              <w:adjustRightInd w:val="0"/>
              <w:spacing w:before="120" w:after="120"/>
              <w:jc w:val="center"/>
            </w:pPr>
            <w:r>
              <w:t>69.93</w:t>
            </w:r>
            <w:r>
              <w:br/>
              <w:t>(25.36)</w:t>
            </w:r>
          </w:p>
        </w:tc>
        <w:tc>
          <w:tcPr>
            <w:tcW w:w="1266" w:type="dxa"/>
          </w:tcPr>
          <w:p w14:paraId="7FED9D4B" w14:textId="77777777" w:rsidR="00617046" w:rsidRPr="00B8448C" w:rsidRDefault="00617046" w:rsidP="00617046">
            <w:pPr>
              <w:widowControl w:val="0"/>
              <w:autoSpaceDE w:val="0"/>
              <w:autoSpaceDN w:val="0"/>
              <w:adjustRightInd w:val="0"/>
              <w:spacing w:before="120" w:after="120"/>
              <w:jc w:val="center"/>
            </w:pPr>
            <w:r>
              <w:t>-9.00</w:t>
            </w:r>
            <w:r>
              <w:br/>
              <w:t>(12.64)</w:t>
            </w:r>
          </w:p>
        </w:tc>
      </w:tr>
      <w:tr w:rsidR="00617046" w:rsidRPr="00B8448C" w14:paraId="49A51511" w14:textId="77777777" w:rsidTr="000D4F1C">
        <w:tc>
          <w:tcPr>
            <w:tcW w:w="1260" w:type="dxa"/>
            <w:tcBorders>
              <w:bottom w:val="single" w:sz="4" w:space="0" w:color="auto"/>
            </w:tcBorders>
          </w:tcPr>
          <w:p w14:paraId="0D03607F" w14:textId="77777777" w:rsidR="00617046" w:rsidRPr="00B8448C" w:rsidRDefault="00617046" w:rsidP="00617046">
            <w:pPr>
              <w:widowControl w:val="0"/>
              <w:autoSpaceDE w:val="0"/>
              <w:autoSpaceDN w:val="0"/>
              <w:adjustRightInd w:val="0"/>
              <w:spacing w:before="120" w:after="120"/>
              <w:jc w:val="center"/>
            </w:pPr>
            <w:r>
              <w:t>Overall</w:t>
            </w:r>
            <w:r>
              <w:br/>
              <w:t>(</w:t>
            </w:r>
            <w:r w:rsidRPr="00751FD1">
              <w:rPr>
                <w:i/>
              </w:rPr>
              <w:t>N</w:t>
            </w:r>
            <w:r>
              <w:t xml:space="preserve"> = 72)</w:t>
            </w:r>
          </w:p>
        </w:tc>
        <w:tc>
          <w:tcPr>
            <w:tcW w:w="1266" w:type="dxa"/>
            <w:tcBorders>
              <w:bottom w:val="single" w:sz="4" w:space="0" w:color="auto"/>
            </w:tcBorders>
          </w:tcPr>
          <w:p w14:paraId="5599A26E" w14:textId="77777777" w:rsidR="00617046" w:rsidRDefault="00617046" w:rsidP="00617046">
            <w:pPr>
              <w:widowControl w:val="0"/>
              <w:autoSpaceDE w:val="0"/>
              <w:autoSpaceDN w:val="0"/>
              <w:adjustRightInd w:val="0"/>
              <w:spacing w:before="120" w:after="120"/>
              <w:jc w:val="center"/>
            </w:pPr>
            <w:r>
              <w:t>71.01</w:t>
            </w:r>
            <w:r>
              <w:br/>
              <w:t>(8.39)</w:t>
            </w:r>
          </w:p>
        </w:tc>
        <w:tc>
          <w:tcPr>
            <w:tcW w:w="1266" w:type="dxa"/>
            <w:tcBorders>
              <w:bottom w:val="single" w:sz="4" w:space="0" w:color="auto"/>
            </w:tcBorders>
          </w:tcPr>
          <w:p w14:paraId="01F93BF1" w14:textId="77777777" w:rsidR="00617046" w:rsidRDefault="00617046" w:rsidP="00617046">
            <w:pPr>
              <w:widowControl w:val="0"/>
              <w:autoSpaceDE w:val="0"/>
              <w:autoSpaceDN w:val="0"/>
              <w:adjustRightInd w:val="0"/>
              <w:spacing w:before="120" w:after="120"/>
              <w:jc w:val="center"/>
            </w:pPr>
            <w:r>
              <w:t>61.68</w:t>
            </w:r>
            <w:r>
              <w:br/>
              <w:t>(16.84)</w:t>
            </w:r>
          </w:p>
        </w:tc>
        <w:tc>
          <w:tcPr>
            <w:tcW w:w="1266" w:type="dxa"/>
            <w:tcBorders>
              <w:bottom w:val="single" w:sz="4" w:space="0" w:color="auto"/>
            </w:tcBorders>
          </w:tcPr>
          <w:p w14:paraId="517D4831" w14:textId="77777777" w:rsidR="00617046" w:rsidRDefault="00617046" w:rsidP="00617046">
            <w:pPr>
              <w:widowControl w:val="0"/>
              <w:autoSpaceDE w:val="0"/>
              <w:autoSpaceDN w:val="0"/>
              <w:adjustRightInd w:val="0"/>
              <w:spacing w:before="120" w:after="120"/>
              <w:jc w:val="center"/>
            </w:pPr>
            <w:r>
              <w:t>9.33</w:t>
            </w:r>
            <w:r>
              <w:br/>
              <w:t>(17.50)</w:t>
            </w:r>
          </w:p>
        </w:tc>
        <w:tc>
          <w:tcPr>
            <w:tcW w:w="1266" w:type="dxa"/>
            <w:gridSpan w:val="2"/>
            <w:tcBorders>
              <w:bottom w:val="single" w:sz="4" w:space="0" w:color="auto"/>
            </w:tcBorders>
          </w:tcPr>
          <w:p w14:paraId="4E47701F" w14:textId="77777777" w:rsidR="00617046" w:rsidRDefault="00617046" w:rsidP="00617046">
            <w:pPr>
              <w:widowControl w:val="0"/>
              <w:autoSpaceDE w:val="0"/>
              <w:autoSpaceDN w:val="0"/>
              <w:adjustRightInd w:val="0"/>
              <w:spacing w:before="120" w:after="120"/>
              <w:jc w:val="center"/>
            </w:pPr>
            <w:r>
              <w:t>71.71</w:t>
            </w:r>
            <w:r>
              <w:br/>
              <w:t>(18.69)</w:t>
            </w:r>
          </w:p>
        </w:tc>
        <w:tc>
          <w:tcPr>
            <w:tcW w:w="1266" w:type="dxa"/>
            <w:tcBorders>
              <w:bottom w:val="single" w:sz="4" w:space="0" w:color="auto"/>
            </w:tcBorders>
          </w:tcPr>
          <w:p w14:paraId="25A52A75" w14:textId="77777777" w:rsidR="00617046" w:rsidRDefault="00617046" w:rsidP="00617046">
            <w:pPr>
              <w:widowControl w:val="0"/>
              <w:autoSpaceDE w:val="0"/>
              <w:autoSpaceDN w:val="0"/>
              <w:adjustRightInd w:val="0"/>
              <w:spacing w:before="120" w:after="120"/>
              <w:jc w:val="center"/>
            </w:pPr>
            <w:r>
              <w:t>82.86</w:t>
            </w:r>
            <w:r>
              <w:br/>
              <w:t>(25.40)</w:t>
            </w:r>
          </w:p>
        </w:tc>
        <w:tc>
          <w:tcPr>
            <w:tcW w:w="1266" w:type="dxa"/>
            <w:tcBorders>
              <w:bottom w:val="single" w:sz="4" w:space="0" w:color="auto"/>
            </w:tcBorders>
          </w:tcPr>
          <w:p w14:paraId="4C5A9223" w14:textId="77777777" w:rsidR="00617046" w:rsidRDefault="00617046" w:rsidP="00617046">
            <w:pPr>
              <w:widowControl w:val="0"/>
              <w:autoSpaceDE w:val="0"/>
              <w:autoSpaceDN w:val="0"/>
              <w:adjustRightInd w:val="0"/>
              <w:spacing w:before="120" w:after="120"/>
              <w:jc w:val="center"/>
            </w:pPr>
            <w:r>
              <w:t>-11.15</w:t>
            </w:r>
            <w:r>
              <w:br/>
              <w:t>(14.38)</w:t>
            </w:r>
          </w:p>
        </w:tc>
      </w:tr>
    </w:tbl>
    <w:p w14:paraId="5D260A89" w14:textId="77777777" w:rsidR="00617046" w:rsidRDefault="00617046" w:rsidP="00617046">
      <w:r w:rsidRPr="008033D1">
        <w:rPr>
          <w:i/>
        </w:rPr>
        <w:t>Note</w:t>
      </w:r>
      <w:r>
        <w:t>.  Excludes children who had unknown cognitive or adaptive composite scores at the baseline or final assessment.</w:t>
      </w:r>
    </w:p>
    <w:p w14:paraId="176F100D" w14:textId="77777777" w:rsidR="00617046" w:rsidRDefault="00617046" w:rsidP="00617046"/>
    <w:p w14:paraId="22034020" w14:textId="77777777" w:rsidR="00617046" w:rsidRDefault="00617046">
      <w:pPr>
        <w:rPr>
          <w:b/>
        </w:rPr>
      </w:pPr>
      <w:r>
        <w:rPr>
          <w:b/>
        </w:rPr>
        <w:br w:type="page"/>
      </w:r>
    </w:p>
    <w:p w14:paraId="05E77A85" w14:textId="55290720" w:rsidR="005C1206" w:rsidRDefault="008E3417" w:rsidP="00617046">
      <w:pPr>
        <w:rPr>
          <w:b/>
        </w:rPr>
      </w:pPr>
      <w:r>
        <w:rPr>
          <w:b/>
        </w:rPr>
        <w:lastRenderedPageBreak/>
        <w:t>Supplemental r</w:t>
      </w:r>
      <w:r w:rsidR="005C1206">
        <w:rPr>
          <w:b/>
        </w:rPr>
        <w:t>eferences</w:t>
      </w:r>
    </w:p>
    <w:p w14:paraId="20CD4D6F" w14:textId="77777777" w:rsidR="00617046" w:rsidRDefault="00617046" w:rsidP="00617046">
      <w:pPr>
        <w:ind w:left="540" w:hanging="540"/>
        <w:rPr>
          <w:color w:val="000000"/>
        </w:rPr>
      </w:pPr>
    </w:p>
    <w:p w14:paraId="28439A7E" w14:textId="5337DAAF" w:rsidR="008D62E0" w:rsidRDefault="008D62E0" w:rsidP="00617046">
      <w:pPr>
        <w:ind w:left="540" w:hanging="540"/>
        <w:rPr>
          <w:color w:val="000000"/>
        </w:rPr>
      </w:pPr>
      <w:r>
        <w:rPr>
          <w:color w:val="000000"/>
        </w:rPr>
        <w:t xml:space="preserve">Bayley, N. (1993). </w:t>
      </w:r>
      <w:r>
        <w:rPr>
          <w:i/>
          <w:color w:val="000000"/>
        </w:rPr>
        <w:t>Bayley Scales of Infant Development, second edition.</w:t>
      </w:r>
      <w:r>
        <w:rPr>
          <w:color w:val="000000"/>
        </w:rPr>
        <w:t xml:space="preserve"> San Antonio, TX: The Psychological Corporation.</w:t>
      </w:r>
    </w:p>
    <w:p w14:paraId="448AA4EC" w14:textId="2CA83053" w:rsidR="008D62E0" w:rsidRPr="00BD7746" w:rsidRDefault="008D62E0" w:rsidP="00617046">
      <w:pPr>
        <w:ind w:left="540" w:hanging="540"/>
      </w:pPr>
      <w:r>
        <w:rPr>
          <w:color w:val="000000"/>
        </w:rPr>
        <w:t>Brownell, R. (Ed</w:t>
      </w:r>
      <w:r w:rsidR="00722EA5">
        <w:rPr>
          <w:color w:val="000000"/>
        </w:rPr>
        <w:t>.</w:t>
      </w:r>
      <w:r>
        <w:rPr>
          <w:color w:val="000000"/>
        </w:rPr>
        <w:t xml:space="preserve">). (2000a). </w:t>
      </w:r>
      <w:r>
        <w:rPr>
          <w:i/>
          <w:color w:val="000000"/>
        </w:rPr>
        <w:t>Expressive One-Word Picture Vocabulary Test</w:t>
      </w:r>
      <w:r w:rsidRPr="00831D96">
        <w:rPr>
          <w:i/>
        </w:rPr>
        <w:t>—</w:t>
      </w:r>
      <w:r>
        <w:rPr>
          <w:i/>
          <w:color w:val="000000"/>
        </w:rPr>
        <w:t>2000</w:t>
      </w:r>
      <w:r>
        <w:rPr>
          <w:color w:val="000000"/>
        </w:rPr>
        <w:t xml:space="preserve"> </w:t>
      </w:r>
      <w:r w:rsidRPr="005B3D50">
        <w:rPr>
          <w:i/>
          <w:color w:val="000000"/>
        </w:rPr>
        <w:t>(EOWPVT-2000)</w:t>
      </w:r>
      <w:r>
        <w:rPr>
          <w:color w:val="000000"/>
        </w:rPr>
        <w:t>. Novato, CA: Academic Therapy Publications.</w:t>
      </w:r>
    </w:p>
    <w:p w14:paraId="15E5C0B6" w14:textId="4B52A8D5" w:rsidR="008D62E0" w:rsidRPr="00E52337" w:rsidRDefault="008D62E0" w:rsidP="00617046">
      <w:pPr>
        <w:ind w:left="540" w:hanging="540"/>
        <w:rPr>
          <w:b/>
        </w:rPr>
      </w:pPr>
      <w:r>
        <w:rPr>
          <w:color w:val="000000"/>
        </w:rPr>
        <w:t>Brownell, R. (Ed</w:t>
      </w:r>
      <w:r w:rsidR="00722EA5">
        <w:rPr>
          <w:color w:val="000000"/>
        </w:rPr>
        <w:t>.</w:t>
      </w:r>
      <w:r>
        <w:rPr>
          <w:color w:val="000000"/>
        </w:rPr>
        <w:t xml:space="preserve">). (2000b). </w:t>
      </w:r>
      <w:r>
        <w:rPr>
          <w:i/>
          <w:color w:val="000000"/>
        </w:rPr>
        <w:t>Receptive One-Word Picture Vocabulary Test</w:t>
      </w:r>
      <w:r w:rsidRPr="00831D96">
        <w:rPr>
          <w:i/>
        </w:rPr>
        <w:t>—</w:t>
      </w:r>
      <w:r>
        <w:rPr>
          <w:i/>
          <w:color w:val="000000"/>
        </w:rPr>
        <w:t>2000</w:t>
      </w:r>
      <w:r>
        <w:rPr>
          <w:color w:val="000000"/>
        </w:rPr>
        <w:t xml:space="preserve"> </w:t>
      </w:r>
      <w:r w:rsidRPr="005B3D50">
        <w:rPr>
          <w:i/>
          <w:color w:val="000000"/>
        </w:rPr>
        <w:t>(ROWPVT-2000)</w:t>
      </w:r>
      <w:r>
        <w:rPr>
          <w:color w:val="000000"/>
        </w:rPr>
        <w:t>. Novato, CA: Academic Therapy Publications.</w:t>
      </w:r>
    </w:p>
    <w:p w14:paraId="2A1ECAD4" w14:textId="312F8F21" w:rsidR="008D62E0" w:rsidRDefault="008D62E0" w:rsidP="00617046">
      <w:pPr>
        <w:ind w:left="540" w:hanging="540"/>
        <w:rPr>
          <w:color w:val="000000"/>
        </w:rPr>
      </w:pPr>
      <w:proofErr w:type="spellStart"/>
      <w:r>
        <w:rPr>
          <w:color w:val="000000"/>
        </w:rPr>
        <w:t>Reynell</w:t>
      </w:r>
      <w:proofErr w:type="spellEnd"/>
      <w:r>
        <w:rPr>
          <w:color w:val="000000"/>
        </w:rPr>
        <w:t>, J. K. &amp; Gruber, G. P. (1990</w:t>
      </w:r>
      <w:r>
        <w:rPr>
          <w:i/>
          <w:color w:val="000000"/>
        </w:rPr>
        <w:t xml:space="preserve">). </w:t>
      </w:r>
      <w:proofErr w:type="spellStart"/>
      <w:r>
        <w:rPr>
          <w:i/>
          <w:color w:val="000000"/>
        </w:rPr>
        <w:t>Reynell</w:t>
      </w:r>
      <w:proofErr w:type="spellEnd"/>
      <w:r>
        <w:rPr>
          <w:i/>
          <w:color w:val="000000"/>
        </w:rPr>
        <w:t xml:space="preserve"> Developmental Language Scales</w:t>
      </w:r>
      <w:r>
        <w:rPr>
          <w:color w:val="000000"/>
        </w:rPr>
        <w:t xml:space="preserve">. Los Angeles, </w:t>
      </w:r>
      <w:r w:rsidR="00722EA5">
        <w:rPr>
          <w:color w:val="000000"/>
        </w:rPr>
        <w:t>CA</w:t>
      </w:r>
      <w:bookmarkStart w:id="0" w:name="_GoBack"/>
      <w:bookmarkEnd w:id="0"/>
      <w:r>
        <w:rPr>
          <w:color w:val="000000"/>
        </w:rPr>
        <w:t>: Western Psychological Services.</w:t>
      </w:r>
    </w:p>
    <w:p w14:paraId="7A57F024" w14:textId="77777777" w:rsidR="008D62E0" w:rsidRDefault="008D62E0" w:rsidP="00617046">
      <w:pPr>
        <w:ind w:left="540" w:hanging="540"/>
        <w:rPr>
          <w:color w:val="000000"/>
        </w:rPr>
      </w:pPr>
      <w:r>
        <w:rPr>
          <w:color w:val="000000"/>
        </w:rPr>
        <w:t xml:space="preserve">Sparrow, S. S., </w:t>
      </w:r>
      <w:proofErr w:type="spellStart"/>
      <w:r>
        <w:rPr>
          <w:color w:val="000000"/>
        </w:rPr>
        <w:t>Balla</w:t>
      </w:r>
      <w:proofErr w:type="spellEnd"/>
      <w:r>
        <w:rPr>
          <w:color w:val="000000"/>
        </w:rPr>
        <w:t xml:space="preserve">, D. A., &amp; Cicchetti, D. V. (1984). </w:t>
      </w:r>
      <w:r>
        <w:rPr>
          <w:i/>
          <w:color w:val="000000"/>
        </w:rPr>
        <w:t xml:space="preserve">Vineland Adaptive Behavior Scales (interview edition). </w:t>
      </w:r>
      <w:r>
        <w:rPr>
          <w:color w:val="000000"/>
        </w:rPr>
        <w:t>Circle Pines, MN: American Guidance Service.</w:t>
      </w:r>
    </w:p>
    <w:p w14:paraId="1AA4A013" w14:textId="77777777" w:rsidR="008D62E0" w:rsidRDefault="008D62E0" w:rsidP="00617046">
      <w:pPr>
        <w:ind w:left="540" w:hanging="540"/>
      </w:pPr>
      <w:r>
        <w:rPr>
          <w:color w:val="000000"/>
        </w:rPr>
        <w:t xml:space="preserve">Wechsler, D. (1989). </w:t>
      </w:r>
      <w:r>
        <w:rPr>
          <w:i/>
          <w:color w:val="000000"/>
        </w:rPr>
        <w:t>Wechsler Preschool and Primary Scale of Intelligence</w:t>
      </w:r>
      <w:r w:rsidRPr="00831D96">
        <w:rPr>
          <w:i/>
        </w:rPr>
        <w:t>—</w:t>
      </w:r>
      <w:r>
        <w:rPr>
          <w:i/>
          <w:color w:val="000000"/>
        </w:rPr>
        <w:t>Revised</w:t>
      </w:r>
      <w:r>
        <w:rPr>
          <w:color w:val="000000"/>
        </w:rPr>
        <w:t>. San Antonio, TX: The Psychological Corporation.</w:t>
      </w:r>
    </w:p>
    <w:p w14:paraId="389DAA48" w14:textId="77777777" w:rsidR="008D62E0" w:rsidRDefault="008D62E0" w:rsidP="00617046">
      <w:pPr>
        <w:ind w:left="540" w:hanging="540"/>
      </w:pPr>
      <w:r w:rsidRPr="00906570">
        <w:t xml:space="preserve">Wechsler, D. (1991). </w:t>
      </w:r>
      <w:r w:rsidRPr="005B3D50">
        <w:rPr>
          <w:i/>
        </w:rPr>
        <w:t xml:space="preserve">The Wechsler </w:t>
      </w:r>
      <w:r w:rsidRPr="000346FF">
        <w:rPr>
          <w:i/>
        </w:rPr>
        <w:t xml:space="preserve">Intelligence Scale </w:t>
      </w:r>
      <w:r>
        <w:rPr>
          <w:i/>
        </w:rPr>
        <w:t>f</w:t>
      </w:r>
      <w:r w:rsidRPr="000346FF">
        <w:rPr>
          <w:i/>
        </w:rPr>
        <w:t>or Children</w:t>
      </w:r>
      <w:r w:rsidRPr="005B3D50">
        <w:rPr>
          <w:i/>
        </w:rPr>
        <w:t>—</w:t>
      </w:r>
      <w:r w:rsidRPr="000346FF">
        <w:rPr>
          <w:i/>
        </w:rPr>
        <w:t>third edition</w:t>
      </w:r>
      <w:r w:rsidRPr="00906570">
        <w:t>. San Antonio, TX: The Psychological Corporation</w:t>
      </w:r>
      <w:r>
        <w:t>.</w:t>
      </w:r>
    </w:p>
    <w:p w14:paraId="139A5A89" w14:textId="77777777" w:rsidR="008D62E0" w:rsidRDefault="008D62E0" w:rsidP="00617046">
      <w:pPr>
        <w:ind w:left="540" w:hanging="540"/>
      </w:pPr>
      <w:r w:rsidRPr="002F0217">
        <w:t xml:space="preserve">Wechsler, D. (2002). </w:t>
      </w:r>
      <w:r w:rsidRPr="005B3D50">
        <w:rPr>
          <w:i/>
        </w:rPr>
        <w:t xml:space="preserve">Wechsler </w:t>
      </w:r>
      <w:r w:rsidRPr="000346FF">
        <w:rPr>
          <w:i/>
        </w:rPr>
        <w:t xml:space="preserve">Preschool </w:t>
      </w:r>
      <w:r>
        <w:rPr>
          <w:i/>
        </w:rPr>
        <w:t>a</w:t>
      </w:r>
      <w:r w:rsidRPr="000346FF">
        <w:rPr>
          <w:i/>
        </w:rPr>
        <w:t xml:space="preserve">nd Primary Scale </w:t>
      </w:r>
      <w:r>
        <w:rPr>
          <w:i/>
        </w:rPr>
        <w:t>o</w:t>
      </w:r>
      <w:r w:rsidRPr="000346FF">
        <w:rPr>
          <w:i/>
        </w:rPr>
        <w:t>f Intelligence™</w:t>
      </w:r>
      <w:r w:rsidRPr="00831D96">
        <w:rPr>
          <w:i/>
        </w:rPr>
        <w:t>—</w:t>
      </w:r>
      <w:r w:rsidRPr="000346FF">
        <w:rPr>
          <w:i/>
        </w:rPr>
        <w:t>third edition</w:t>
      </w:r>
      <w:r w:rsidRPr="002F0217">
        <w:t xml:space="preserve">. San Antonio, TX: </w:t>
      </w:r>
      <w:r>
        <w:rPr>
          <w:color w:val="000000"/>
        </w:rPr>
        <w:t>The Psychological Corporation.</w:t>
      </w:r>
    </w:p>
    <w:p w14:paraId="0C4C5754" w14:textId="6A24EB07" w:rsidR="005C1206" w:rsidRPr="005377C1" w:rsidRDefault="008D62E0" w:rsidP="00617046">
      <w:pPr>
        <w:ind w:left="540" w:hanging="540"/>
      </w:pPr>
      <w:r w:rsidRPr="00906570">
        <w:t xml:space="preserve">Wechsler, D. (2003). </w:t>
      </w:r>
      <w:r w:rsidRPr="005B3D50">
        <w:rPr>
          <w:i/>
        </w:rPr>
        <w:t xml:space="preserve">The Wechsler </w:t>
      </w:r>
      <w:r w:rsidRPr="000346FF">
        <w:rPr>
          <w:i/>
        </w:rPr>
        <w:t xml:space="preserve">Intelligence Scale </w:t>
      </w:r>
      <w:r>
        <w:rPr>
          <w:i/>
        </w:rPr>
        <w:t>f</w:t>
      </w:r>
      <w:r w:rsidRPr="000346FF">
        <w:rPr>
          <w:i/>
        </w:rPr>
        <w:t>or Children</w:t>
      </w:r>
      <w:r w:rsidRPr="005B3D50">
        <w:rPr>
          <w:i/>
        </w:rPr>
        <w:t>®—</w:t>
      </w:r>
      <w:r w:rsidRPr="000346FF">
        <w:rPr>
          <w:i/>
        </w:rPr>
        <w:t>fourth edition</w:t>
      </w:r>
      <w:r w:rsidRPr="00906570">
        <w:t>. London: Pearson</w:t>
      </w:r>
      <w:r>
        <w:t>.</w:t>
      </w:r>
    </w:p>
    <w:sectPr w:rsidR="005C1206" w:rsidRPr="005377C1" w:rsidSect="00617046">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627E" w14:textId="77777777" w:rsidR="00340ABD" w:rsidRDefault="00340ABD" w:rsidP="000D71B5">
      <w:r>
        <w:separator/>
      </w:r>
    </w:p>
  </w:endnote>
  <w:endnote w:type="continuationSeparator" w:id="0">
    <w:p w14:paraId="4EFD600B" w14:textId="77777777" w:rsidR="00340ABD" w:rsidRDefault="00340ABD" w:rsidP="000D71B5">
      <w:r>
        <w:continuationSeparator/>
      </w:r>
    </w:p>
  </w:endnote>
  <w:endnote w:type="continuationNotice" w:id="1">
    <w:p w14:paraId="4C8E35BB" w14:textId="77777777" w:rsidR="00340ABD" w:rsidRDefault="00340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0F9C" w14:textId="77777777" w:rsidR="00340ABD" w:rsidRDefault="00340ABD" w:rsidP="000D71B5">
      <w:r>
        <w:separator/>
      </w:r>
    </w:p>
  </w:footnote>
  <w:footnote w:type="continuationSeparator" w:id="0">
    <w:p w14:paraId="4ED0C589" w14:textId="77777777" w:rsidR="00340ABD" w:rsidRDefault="00340ABD" w:rsidP="000D71B5">
      <w:r>
        <w:continuationSeparator/>
      </w:r>
    </w:p>
  </w:footnote>
  <w:footnote w:type="continuationNotice" w:id="1">
    <w:p w14:paraId="6B5641B3" w14:textId="77777777" w:rsidR="00340ABD" w:rsidRDefault="00340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EE11" w14:textId="1FEBDFEC" w:rsidR="005377C1" w:rsidRDefault="005377C1">
    <w:pPr>
      <w:pStyle w:val="Header"/>
    </w:pPr>
    <w:r>
      <w:t>CHOOSING AUTISM TREATMENTS</w:t>
    </w:r>
    <w:r>
      <w:tab/>
    </w:r>
    <w:r>
      <w:tab/>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600DE7"/>
    <w:multiLevelType w:val="hybridMultilevel"/>
    <w:tmpl w:val="D2A8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E34AA"/>
    <w:multiLevelType w:val="hybridMultilevel"/>
    <w:tmpl w:val="286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E4B6C"/>
    <w:multiLevelType w:val="multilevel"/>
    <w:tmpl w:val="7AD6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D2B1B"/>
    <w:multiLevelType w:val="hybridMultilevel"/>
    <w:tmpl w:val="CC7C39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6009F"/>
    <w:multiLevelType w:val="multilevel"/>
    <w:tmpl w:val="074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E660EC"/>
    <w:multiLevelType w:val="multilevel"/>
    <w:tmpl w:val="D2A827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00"/>
    <w:rsid w:val="00000340"/>
    <w:rsid w:val="00000C0F"/>
    <w:rsid w:val="00001A36"/>
    <w:rsid w:val="00002A45"/>
    <w:rsid w:val="00002C9A"/>
    <w:rsid w:val="00006856"/>
    <w:rsid w:val="00007ADA"/>
    <w:rsid w:val="00007C2F"/>
    <w:rsid w:val="00010C2C"/>
    <w:rsid w:val="00011076"/>
    <w:rsid w:val="0001112A"/>
    <w:rsid w:val="000127EE"/>
    <w:rsid w:val="000131F9"/>
    <w:rsid w:val="00013E24"/>
    <w:rsid w:val="00014416"/>
    <w:rsid w:val="000160BA"/>
    <w:rsid w:val="00017B62"/>
    <w:rsid w:val="00020368"/>
    <w:rsid w:val="0002057E"/>
    <w:rsid w:val="0002170F"/>
    <w:rsid w:val="00021EEB"/>
    <w:rsid w:val="00022CBC"/>
    <w:rsid w:val="00024988"/>
    <w:rsid w:val="00025533"/>
    <w:rsid w:val="00025A3E"/>
    <w:rsid w:val="00025CF5"/>
    <w:rsid w:val="00025D96"/>
    <w:rsid w:val="00026A3D"/>
    <w:rsid w:val="00027612"/>
    <w:rsid w:val="00027A8E"/>
    <w:rsid w:val="00027F9D"/>
    <w:rsid w:val="000309E7"/>
    <w:rsid w:val="00030BCE"/>
    <w:rsid w:val="0003141C"/>
    <w:rsid w:val="00032FEE"/>
    <w:rsid w:val="0003463D"/>
    <w:rsid w:val="000346FF"/>
    <w:rsid w:val="00034EFB"/>
    <w:rsid w:val="000368A0"/>
    <w:rsid w:val="00036D2A"/>
    <w:rsid w:val="0004027E"/>
    <w:rsid w:val="0004079F"/>
    <w:rsid w:val="00040F08"/>
    <w:rsid w:val="00042483"/>
    <w:rsid w:val="0004267D"/>
    <w:rsid w:val="00044127"/>
    <w:rsid w:val="00045F23"/>
    <w:rsid w:val="00047A4C"/>
    <w:rsid w:val="00050068"/>
    <w:rsid w:val="00050A8D"/>
    <w:rsid w:val="00050E01"/>
    <w:rsid w:val="00051D72"/>
    <w:rsid w:val="00052364"/>
    <w:rsid w:val="00052CAA"/>
    <w:rsid w:val="000540CB"/>
    <w:rsid w:val="00057BBF"/>
    <w:rsid w:val="00062C53"/>
    <w:rsid w:val="00063406"/>
    <w:rsid w:val="00064890"/>
    <w:rsid w:val="000648A7"/>
    <w:rsid w:val="00064DBF"/>
    <w:rsid w:val="00065686"/>
    <w:rsid w:val="00065DEC"/>
    <w:rsid w:val="00066A56"/>
    <w:rsid w:val="00066B42"/>
    <w:rsid w:val="000673CB"/>
    <w:rsid w:val="000673E8"/>
    <w:rsid w:val="00067659"/>
    <w:rsid w:val="00071EA6"/>
    <w:rsid w:val="0007388B"/>
    <w:rsid w:val="0007418E"/>
    <w:rsid w:val="00074B73"/>
    <w:rsid w:val="00074E13"/>
    <w:rsid w:val="00074FD8"/>
    <w:rsid w:val="00075071"/>
    <w:rsid w:val="00080C8D"/>
    <w:rsid w:val="000823A5"/>
    <w:rsid w:val="000839F7"/>
    <w:rsid w:val="000850F9"/>
    <w:rsid w:val="0008682A"/>
    <w:rsid w:val="0008705F"/>
    <w:rsid w:val="00090F84"/>
    <w:rsid w:val="00091041"/>
    <w:rsid w:val="00092534"/>
    <w:rsid w:val="000925EB"/>
    <w:rsid w:val="00092DB0"/>
    <w:rsid w:val="00093785"/>
    <w:rsid w:val="00093BFE"/>
    <w:rsid w:val="00093C1B"/>
    <w:rsid w:val="000949BF"/>
    <w:rsid w:val="00097416"/>
    <w:rsid w:val="000A173A"/>
    <w:rsid w:val="000A2FA2"/>
    <w:rsid w:val="000A31D5"/>
    <w:rsid w:val="000A3CF2"/>
    <w:rsid w:val="000A3E6D"/>
    <w:rsid w:val="000A3FA0"/>
    <w:rsid w:val="000A47CE"/>
    <w:rsid w:val="000A4B52"/>
    <w:rsid w:val="000A6249"/>
    <w:rsid w:val="000A63E6"/>
    <w:rsid w:val="000A724E"/>
    <w:rsid w:val="000B0304"/>
    <w:rsid w:val="000B04F0"/>
    <w:rsid w:val="000B0910"/>
    <w:rsid w:val="000B124B"/>
    <w:rsid w:val="000B1AA0"/>
    <w:rsid w:val="000B2220"/>
    <w:rsid w:val="000B2D6A"/>
    <w:rsid w:val="000B3520"/>
    <w:rsid w:val="000B4D5F"/>
    <w:rsid w:val="000B54C2"/>
    <w:rsid w:val="000B590E"/>
    <w:rsid w:val="000B6580"/>
    <w:rsid w:val="000B7272"/>
    <w:rsid w:val="000B7771"/>
    <w:rsid w:val="000C0436"/>
    <w:rsid w:val="000C24E6"/>
    <w:rsid w:val="000C2841"/>
    <w:rsid w:val="000C3575"/>
    <w:rsid w:val="000C4644"/>
    <w:rsid w:val="000C4B1E"/>
    <w:rsid w:val="000C4FB0"/>
    <w:rsid w:val="000C74FC"/>
    <w:rsid w:val="000C7659"/>
    <w:rsid w:val="000D0CE2"/>
    <w:rsid w:val="000D1352"/>
    <w:rsid w:val="000D1939"/>
    <w:rsid w:val="000D1E4E"/>
    <w:rsid w:val="000D2A16"/>
    <w:rsid w:val="000D2C9D"/>
    <w:rsid w:val="000D301A"/>
    <w:rsid w:val="000D34E5"/>
    <w:rsid w:val="000D448E"/>
    <w:rsid w:val="000D4D8D"/>
    <w:rsid w:val="000D573D"/>
    <w:rsid w:val="000D6839"/>
    <w:rsid w:val="000D6BAD"/>
    <w:rsid w:val="000D7149"/>
    <w:rsid w:val="000D71B5"/>
    <w:rsid w:val="000E02EE"/>
    <w:rsid w:val="000E14CF"/>
    <w:rsid w:val="000E556E"/>
    <w:rsid w:val="000E5F1F"/>
    <w:rsid w:val="000E66A6"/>
    <w:rsid w:val="000E72A9"/>
    <w:rsid w:val="000E7C91"/>
    <w:rsid w:val="000F0275"/>
    <w:rsid w:val="000F3F0D"/>
    <w:rsid w:val="000F4F7E"/>
    <w:rsid w:val="000F531E"/>
    <w:rsid w:val="000F53CF"/>
    <w:rsid w:val="000F6B37"/>
    <w:rsid w:val="000F6B98"/>
    <w:rsid w:val="000F714C"/>
    <w:rsid w:val="001003E1"/>
    <w:rsid w:val="00100780"/>
    <w:rsid w:val="00100C1D"/>
    <w:rsid w:val="001030EB"/>
    <w:rsid w:val="0010317E"/>
    <w:rsid w:val="0010346D"/>
    <w:rsid w:val="00104FF2"/>
    <w:rsid w:val="00105FCF"/>
    <w:rsid w:val="0011148E"/>
    <w:rsid w:val="001119E8"/>
    <w:rsid w:val="00111DD0"/>
    <w:rsid w:val="0011290A"/>
    <w:rsid w:val="001139CD"/>
    <w:rsid w:val="001166DE"/>
    <w:rsid w:val="00121C4A"/>
    <w:rsid w:val="00122685"/>
    <w:rsid w:val="00123CDE"/>
    <w:rsid w:val="0012484B"/>
    <w:rsid w:val="00126050"/>
    <w:rsid w:val="00126163"/>
    <w:rsid w:val="001313C4"/>
    <w:rsid w:val="0013191B"/>
    <w:rsid w:val="00131B65"/>
    <w:rsid w:val="0013201B"/>
    <w:rsid w:val="00132B91"/>
    <w:rsid w:val="001331D0"/>
    <w:rsid w:val="00133233"/>
    <w:rsid w:val="00136C8D"/>
    <w:rsid w:val="0013705A"/>
    <w:rsid w:val="001379EB"/>
    <w:rsid w:val="00140361"/>
    <w:rsid w:val="00141711"/>
    <w:rsid w:val="00141939"/>
    <w:rsid w:val="00141CFB"/>
    <w:rsid w:val="00142D2C"/>
    <w:rsid w:val="00143804"/>
    <w:rsid w:val="00144728"/>
    <w:rsid w:val="0014548F"/>
    <w:rsid w:val="00146170"/>
    <w:rsid w:val="00146D1A"/>
    <w:rsid w:val="0014711B"/>
    <w:rsid w:val="001471D6"/>
    <w:rsid w:val="00147205"/>
    <w:rsid w:val="001472F8"/>
    <w:rsid w:val="00150924"/>
    <w:rsid w:val="00151022"/>
    <w:rsid w:val="001517DC"/>
    <w:rsid w:val="00151876"/>
    <w:rsid w:val="00151895"/>
    <w:rsid w:val="001525C1"/>
    <w:rsid w:val="00153484"/>
    <w:rsid w:val="00154EB6"/>
    <w:rsid w:val="001557A6"/>
    <w:rsid w:val="00155B42"/>
    <w:rsid w:val="001575FD"/>
    <w:rsid w:val="00160822"/>
    <w:rsid w:val="00160EFA"/>
    <w:rsid w:val="00161DD5"/>
    <w:rsid w:val="00162144"/>
    <w:rsid w:val="001634C6"/>
    <w:rsid w:val="001636BB"/>
    <w:rsid w:val="001636E5"/>
    <w:rsid w:val="0016387A"/>
    <w:rsid w:val="00163CE8"/>
    <w:rsid w:val="00163F3B"/>
    <w:rsid w:val="00167F05"/>
    <w:rsid w:val="0017021A"/>
    <w:rsid w:val="001705CF"/>
    <w:rsid w:val="00171F99"/>
    <w:rsid w:val="00172054"/>
    <w:rsid w:val="00172C22"/>
    <w:rsid w:val="001740BC"/>
    <w:rsid w:val="00174131"/>
    <w:rsid w:val="00174B06"/>
    <w:rsid w:val="00174EC7"/>
    <w:rsid w:val="00175033"/>
    <w:rsid w:val="0017532B"/>
    <w:rsid w:val="0017586C"/>
    <w:rsid w:val="001778CA"/>
    <w:rsid w:val="00182981"/>
    <w:rsid w:val="00182B36"/>
    <w:rsid w:val="00182E50"/>
    <w:rsid w:val="0018310B"/>
    <w:rsid w:val="00183EE4"/>
    <w:rsid w:val="00184112"/>
    <w:rsid w:val="00185D5D"/>
    <w:rsid w:val="00186072"/>
    <w:rsid w:val="001876AD"/>
    <w:rsid w:val="001878C3"/>
    <w:rsid w:val="00190E5D"/>
    <w:rsid w:val="001917CE"/>
    <w:rsid w:val="00193031"/>
    <w:rsid w:val="001936BC"/>
    <w:rsid w:val="00194AA5"/>
    <w:rsid w:val="00194C13"/>
    <w:rsid w:val="001951AA"/>
    <w:rsid w:val="00196155"/>
    <w:rsid w:val="0019645C"/>
    <w:rsid w:val="0019650D"/>
    <w:rsid w:val="00197A7C"/>
    <w:rsid w:val="00197B28"/>
    <w:rsid w:val="001A02E9"/>
    <w:rsid w:val="001A046E"/>
    <w:rsid w:val="001A06BD"/>
    <w:rsid w:val="001A184C"/>
    <w:rsid w:val="001A196C"/>
    <w:rsid w:val="001A27C2"/>
    <w:rsid w:val="001A3399"/>
    <w:rsid w:val="001A39B1"/>
    <w:rsid w:val="001A441A"/>
    <w:rsid w:val="001A4DFB"/>
    <w:rsid w:val="001A50CF"/>
    <w:rsid w:val="001A61D1"/>
    <w:rsid w:val="001A6CC7"/>
    <w:rsid w:val="001A6F97"/>
    <w:rsid w:val="001B1710"/>
    <w:rsid w:val="001B35C5"/>
    <w:rsid w:val="001B39AC"/>
    <w:rsid w:val="001B3FE9"/>
    <w:rsid w:val="001B4DF8"/>
    <w:rsid w:val="001B55D9"/>
    <w:rsid w:val="001B5E18"/>
    <w:rsid w:val="001B6319"/>
    <w:rsid w:val="001B72D7"/>
    <w:rsid w:val="001B77BB"/>
    <w:rsid w:val="001B7F63"/>
    <w:rsid w:val="001C1655"/>
    <w:rsid w:val="001C1909"/>
    <w:rsid w:val="001C1C22"/>
    <w:rsid w:val="001C2320"/>
    <w:rsid w:val="001C37D8"/>
    <w:rsid w:val="001C4A03"/>
    <w:rsid w:val="001C63B9"/>
    <w:rsid w:val="001D0163"/>
    <w:rsid w:val="001D09BE"/>
    <w:rsid w:val="001D0EE8"/>
    <w:rsid w:val="001D0F58"/>
    <w:rsid w:val="001D14A4"/>
    <w:rsid w:val="001D46B0"/>
    <w:rsid w:val="001D5F69"/>
    <w:rsid w:val="001D6FE2"/>
    <w:rsid w:val="001D78F5"/>
    <w:rsid w:val="001E30C6"/>
    <w:rsid w:val="001E333E"/>
    <w:rsid w:val="001E38B8"/>
    <w:rsid w:val="001E4C66"/>
    <w:rsid w:val="001E53CF"/>
    <w:rsid w:val="001E579A"/>
    <w:rsid w:val="001E664B"/>
    <w:rsid w:val="001E66C6"/>
    <w:rsid w:val="001E6D0F"/>
    <w:rsid w:val="001F22B8"/>
    <w:rsid w:val="001F2B68"/>
    <w:rsid w:val="001F4770"/>
    <w:rsid w:val="001F4D64"/>
    <w:rsid w:val="001F505B"/>
    <w:rsid w:val="001F6333"/>
    <w:rsid w:val="001F72E8"/>
    <w:rsid w:val="0020151E"/>
    <w:rsid w:val="00201B35"/>
    <w:rsid w:val="00201B99"/>
    <w:rsid w:val="00202320"/>
    <w:rsid w:val="002033EE"/>
    <w:rsid w:val="00203758"/>
    <w:rsid w:val="002051A8"/>
    <w:rsid w:val="0020587A"/>
    <w:rsid w:val="002059D3"/>
    <w:rsid w:val="00205AE3"/>
    <w:rsid w:val="002073A1"/>
    <w:rsid w:val="0020796D"/>
    <w:rsid w:val="002111DD"/>
    <w:rsid w:val="0021143C"/>
    <w:rsid w:val="002115E4"/>
    <w:rsid w:val="00212189"/>
    <w:rsid w:val="0021244F"/>
    <w:rsid w:val="002148AF"/>
    <w:rsid w:val="002150FE"/>
    <w:rsid w:val="002152E4"/>
    <w:rsid w:val="00215AD5"/>
    <w:rsid w:val="00216A72"/>
    <w:rsid w:val="00217AB8"/>
    <w:rsid w:val="002200E9"/>
    <w:rsid w:val="002204AC"/>
    <w:rsid w:val="0022077B"/>
    <w:rsid w:val="00220905"/>
    <w:rsid w:val="00221B09"/>
    <w:rsid w:val="00222779"/>
    <w:rsid w:val="00223301"/>
    <w:rsid w:val="0022332B"/>
    <w:rsid w:val="00223F75"/>
    <w:rsid w:val="00224395"/>
    <w:rsid w:val="0022451D"/>
    <w:rsid w:val="00224795"/>
    <w:rsid w:val="002248E4"/>
    <w:rsid w:val="00224FE4"/>
    <w:rsid w:val="002250E7"/>
    <w:rsid w:val="00225543"/>
    <w:rsid w:val="0022700B"/>
    <w:rsid w:val="00231622"/>
    <w:rsid w:val="00231FAD"/>
    <w:rsid w:val="00233A65"/>
    <w:rsid w:val="00236FEB"/>
    <w:rsid w:val="00240A7B"/>
    <w:rsid w:val="00240E14"/>
    <w:rsid w:val="002410A6"/>
    <w:rsid w:val="002418BA"/>
    <w:rsid w:val="00241DDD"/>
    <w:rsid w:val="00241F37"/>
    <w:rsid w:val="00242472"/>
    <w:rsid w:val="00242A64"/>
    <w:rsid w:val="00243720"/>
    <w:rsid w:val="00243BF6"/>
    <w:rsid w:val="00244805"/>
    <w:rsid w:val="00244F9E"/>
    <w:rsid w:val="002453C1"/>
    <w:rsid w:val="002459F7"/>
    <w:rsid w:val="0024683F"/>
    <w:rsid w:val="002477A9"/>
    <w:rsid w:val="00247F44"/>
    <w:rsid w:val="00250EF0"/>
    <w:rsid w:val="002510BF"/>
    <w:rsid w:val="00251406"/>
    <w:rsid w:val="00251637"/>
    <w:rsid w:val="0025184A"/>
    <w:rsid w:val="00251DF0"/>
    <w:rsid w:val="00252260"/>
    <w:rsid w:val="00254156"/>
    <w:rsid w:val="00254597"/>
    <w:rsid w:val="00254E62"/>
    <w:rsid w:val="002550F2"/>
    <w:rsid w:val="002559B6"/>
    <w:rsid w:val="00257149"/>
    <w:rsid w:val="002575EB"/>
    <w:rsid w:val="00260506"/>
    <w:rsid w:val="00260E38"/>
    <w:rsid w:val="0026176C"/>
    <w:rsid w:val="00261A5A"/>
    <w:rsid w:val="00261D0C"/>
    <w:rsid w:val="00262156"/>
    <w:rsid w:val="00262B9F"/>
    <w:rsid w:val="00262CD5"/>
    <w:rsid w:val="002647B8"/>
    <w:rsid w:val="00264A38"/>
    <w:rsid w:val="002678C4"/>
    <w:rsid w:val="00267A48"/>
    <w:rsid w:val="00270E32"/>
    <w:rsid w:val="002719B0"/>
    <w:rsid w:val="00271B81"/>
    <w:rsid w:val="00271DE7"/>
    <w:rsid w:val="00272362"/>
    <w:rsid w:val="00273DB7"/>
    <w:rsid w:val="00274383"/>
    <w:rsid w:val="00274442"/>
    <w:rsid w:val="002749DB"/>
    <w:rsid w:val="002761DD"/>
    <w:rsid w:val="00276B51"/>
    <w:rsid w:val="00276CD0"/>
    <w:rsid w:val="00277AF7"/>
    <w:rsid w:val="00277C6D"/>
    <w:rsid w:val="002807F3"/>
    <w:rsid w:val="002808C7"/>
    <w:rsid w:val="00280E9C"/>
    <w:rsid w:val="0028138F"/>
    <w:rsid w:val="0028175E"/>
    <w:rsid w:val="00281FDE"/>
    <w:rsid w:val="002820DF"/>
    <w:rsid w:val="00283DFC"/>
    <w:rsid w:val="00283FE1"/>
    <w:rsid w:val="002871E6"/>
    <w:rsid w:val="00287881"/>
    <w:rsid w:val="00287960"/>
    <w:rsid w:val="00287B6A"/>
    <w:rsid w:val="00287D19"/>
    <w:rsid w:val="0029052C"/>
    <w:rsid w:val="002905EF"/>
    <w:rsid w:val="00292A03"/>
    <w:rsid w:val="00295721"/>
    <w:rsid w:val="0029722D"/>
    <w:rsid w:val="002A02B1"/>
    <w:rsid w:val="002A0607"/>
    <w:rsid w:val="002A1BAE"/>
    <w:rsid w:val="002A2732"/>
    <w:rsid w:val="002A3BFC"/>
    <w:rsid w:val="002A3D5D"/>
    <w:rsid w:val="002A5AF7"/>
    <w:rsid w:val="002A75A6"/>
    <w:rsid w:val="002A7CBB"/>
    <w:rsid w:val="002B03F2"/>
    <w:rsid w:val="002B0493"/>
    <w:rsid w:val="002B1D7B"/>
    <w:rsid w:val="002B2DE8"/>
    <w:rsid w:val="002B2EB6"/>
    <w:rsid w:val="002B4604"/>
    <w:rsid w:val="002B4618"/>
    <w:rsid w:val="002B476A"/>
    <w:rsid w:val="002B6A34"/>
    <w:rsid w:val="002B6B1E"/>
    <w:rsid w:val="002B748B"/>
    <w:rsid w:val="002B766A"/>
    <w:rsid w:val="002C5207"/>
    <w:rsid w:val="002C607C"/>
    <w:rsid w:val="002C6C5D"/>
    <w:rsid w:val="002D080B"/>
    <w:rsid w:val="002D2587"/>
    <w:rsid w:val="002D2C99"/>
    <w:rsid w:val="002D4BE8"/>
    <w:rsid w:val="002D5171"/>
    <w:rsid w:val="002D5D1D"/>
    <w:rsid w:val="002D79F5"/>
    <w:rsid w:val="002D7CD9"/>
    <w:rsid w:val="002D7D25"/>
    <w:rsid w:val="002E0506"/>
    <w:rsid w:val="002E1B07"/>
    <w:rsid w:val="002E2015"/>
    <w:rsid w:val="002E25A5"/>
    <w:rsid w:val="002E29A8"/>
    <w:rsid w:val="002E2FB7"/>
    <w:rsid w:val="002E3BE1"/>
    <w:rsid w:val="002E3F76"/>
    <w:rsid w:val="002E4B6C"/>
    <w:rsid w:val="002E4E70"/>
    <w:rsid w:val="002E5355"/>
    <w:rsid w:val="002E6B4B"/>
    <w:rsid w:val="002F0217"/>
    <w:rsid w:val="002F44A5"/>
    <w:rsid w:val="002F4F67"/>
    <w:rsid w:val="002F5FD3"/>
    <w:rsid w:val="002F71E2"/>
    <w:rsid w:val="002F747D"/>
    <w:rsid w:val="0030006B"/>
    <w:rsid w:val="0030127E"/>
    <w:rsid w:val="003013EA"/>
    <w:rsid w:val="00303334"/>
    <w:rsid w:val="00303F34"/>
    <w:rsid w:val="003042DA"/>
    <w:rsid w:val="00304BEC"/>
    <w:rsid w:val="00305028"/>
    <w:rsid w:val="00305403"/>
    <w:rsid w:val="003109B5"/>
    <w:rsid w:val="00310AF9"/>
    <w:rsid w:val="003112F1"/>
    <w:rsid w:val="00311747"/>
    <w:rsid w:val="00311B22"/>
    <w:rsid w:val="00311C2F"/>
    <w:rsid w:val="003124DA"/>
    <w:rsid w:val="00312D21"/>
    <w:rsid w:val="00313D8C"/>
    <w:rsid w:val="003147D0"/>
    <w:rsid w:val="00314D3C"/>
    <w:rsid w:val="003157FE"/>
    <w:rsid w:val="00315AFB"/>
    <w:rsid w:val="00315B18"/>
    <w:rsid w:val="00316568"/>
    <w:rsid w:val="00316AC3"/>
    <w:rsid w:val="00317828"/>
    <w:rsid w:val="003201AF"/>
    <w:rsid w:val="00320C7E"/>
    <w:rsid w:val="00323778"/>
    <w:rsid w:val="00323802"/>
    <w:rsid w:val="003240C8"/>
    <w:rsid w:val="0032444A"/>
    <w:rsid w:val="003246C2"/>
    <w:rsid w:val="003256C3"/>
    <w:rsid w:val="003257A9"/>
    <w:rsid w:val="00327CB6"/>
    <w:rsid w:val="00330082"/>
    <w:rsid w:val="00331F6A"/>
    <w:rsid w:val="003336A2"/>
    <w:rsid w:val="00333A21"/>
    <w:rsid w:val="00333AC5"/>
    <w:rsid w:val="00334C3C"/>
    <w:rsid w:val="003350DB"/>
    <w:rsid w:val="003361E9"/>
    <w:rsid w:val="00336DC6"/>
    <w:rsid w:val="003371D1"/>
    <w:rsid w:val="00340A6C"/>
    <w:rsid w:val="00340ABD"/>
    <w:rsid w:val="00340E65"/>
    <w:rsid w:val="00341F12"/>
    <w:rsid w:val="003421B5"/>
    <w:rsid w:val="00344AD5"/>
    <w:rsid w:val="00345220"/>
    <w:rsid w:val="003454B6"/>
    <w:rsid w:val="0035166F"/>
    <w:rsid w:val="00352A6E"/>
    <w:rsid w:val="00352B86"/>
    <w:rsid w:val="00352D08"/>
    <w:rsid w:val="00352F71"/>
    <w:rsid w:val="00353521"/>
    <w:rsid w:val="00353B2A"/>
    <w:rsid w:val="0035416C"/>
    <w:rsid w:val="003553E7"/>
    <w:rsid w:val="003572C1"/>
    <w:rsid w:val="00357A97"/>
    <w:rsid w:val="00361B82"/>
    <w:rsid w:val="003622AC"/>
    <w:rsid w:val="003623CE"/>
    <w:rsid w:val="0036283E"/>
    <w:rsid w:val="00364261"/>
    <w:rsid w:val="003648A7"/>
    <w:rsid w:val="00367B5B"/>
    <w:rsid w:val="00367FCD"/>
    <w:rsid w:val="003701BC"/>
    <w:rsid w:val="003707C7"/>
    <w:rsid w:val="003711F9"/>
    <w:rsid w:val="0037216B"/>
    <w:rsid w:val="00372444"/>
    <w:rsid w:val="00372450"/>
    <w:rsid w:val="003736F2"/>
    <w:rsid w:val="0037715F"/>
    <w:rsid w:val="0038070A"/>
    <w:rsid w:val="00381383"/>
    <w:rsid w:val="0038206D"/>
    <w:rsid w:val="003829FE"/>
    <w:rsid w:val="00382D5F"/>
    <w:rsid w:val="0038682A"/>
    <w:rsid w:val="0038684A"/>
    <w:rsid w:val="00386A71"/>
    <w:rsid w:val="00386CBF"/>
    <w:rsid w:val="0038767A"/>
    <w:rsid w:val="00390DEE"/>
    <w:rsid w:val="003923DB"/>
    <w:rsid w:val="00394A39"/>
    <w:rsid w:val="003954DB"/>
    <w:rsid w:val="00395F22"/>
    <w:rsid w:val="0039645A"/>
    <w:rsid w:val="003975E5"/>
    <w:rsid w:val="00397DC1"/>
    <w:rsid w:val="003A1664"/>
    <w:rsid w:val="003A18D9"/>
    <w:rsid w:val="003A1A55"/>
    <w:rsid w:val="003A22BB"/>
    <w:rsid w:val="003A2A53"/>
    <w:rsid w:val="003A2D12"/>
    <w:rsid w:val="003A3155"/>
    <w:rsid w:val="003A3518"/>
    <w:rsid w:val="003A4364"/>
    <w:rsid w:val="003A43FB"/>
    <w:rsid w:val="003A551A"/>
    <w:rsid w:val="003A5D1A"/>
    <w:rsid w:val="003A6709"/>
    <w:rsid w:val="003A6D7D"/>
    <w:rsid w:val="003A76D5"/>
    <w:rsid w:val="003A7ABA"/>
    <w:rsid w:val="003A7E5D"/>
    <w:rsid w:val="003A7E70"/>
    <w:rsid w:val="003B138D"/>
    <w:rsid w:val="003B1DC5"/>
    <w:rsid w:val="003B4C3B"/>
    <w:rsid w:val="003B5278"/>
    <w:rsid w:val="003B6556"/>
    <w:rsid w:val="003B6C51"/>
    <w:rsid w:val="003B7BC0"/>
    <w:rsid w:val="003C00A3"/>
    <w:rsid w:val="003C08EF"/>
    <w:rsid w:val="003C1E7D"/>
    <w:rsid w:val="003C20EC"/>
    <w:rsid w:val="003C457A"/>
    <w:rsid w:val="003C6D92"/>
    <w:rsid w:val="003C6DD3"/>
    <w:rsid w:val="003C79BB"/>
    <w:rsid w:val="003D04FC"/>
    <w:rsid w:val="003D10C8"/>
    <w:rsid w:val="003D1BE3"/>
    <w:rsid w:val="003D2410"/>
    <w:rsid w:val="003D2B38"/>
    <w:rsid w:val="003D2B76"/>
    <w:rsid w:val="003D2B87"/>
    <w:rsid w:val="003D2FA4"/>
    <w:rsid w:val="003D413A"/>
    <w:rsid w:val="003D558B"/>
    <w:rsid w:val="003D5F56"/>
    <w:rsid w:val="003D723A"/>
    <w:rsid w:val="003D7930"/>
    <w:rsid w:val="003E1078"/>
    <w:rsid w:val="003E10A8"/>
    <w:rsid w:val="003E2AA3"/>
    <w:rsid w:val="003E379C"/>
    <w:rsid w:val="003E4093"/>
    <w:rsid w:val="003E57B3"/>
    <w:rsid w:val="003E6C8E"/>
    <w:rsid w:val="003F06DE"/>
    <w:rsid w:val="003F0955"/>
    <w:rsid w:val="003F1991"/>
    <w:rsid w:val="003F257C"/>
    <w:rsid w:val="003F32F7"/>
    <w:rsid w:val="003F505D"/>
    <w:rsid w:val="003F6BF9"/>
    <w:rsid w:val="003F6DC1"/>
    <w:rsid w:val="003F77A4"/>
    <w:rsid w:val="00400F46"/>
    <w:rsid w:val="0040191F"/>
    <w:rsid w:val="00401A94"/>
    <w:rsid w:val="00401EE0"/>
    <w:rsid w:val="004032FB"/>
    <w:rsid w:val="00404CCD"/>
    <w:rsid w:val="0040568B"/>
    <w:rsid w:val="00407DCB"/>
    <w:rsid w:val="00410475"/>
    <w:rsid w:val="00410F20"/>
    <w:rsid w:val="0041181F"/>
    <w:rsid w:val="00411BC1"/>
    <w:rsid w:val="004124E3"/>
    <w:rsid w:val="00412C00"/>
    <w:rsid w:val="00414540"/>
    <w:rsid w:val="0041465C"/>
    <w:rsid w:val="0041582F"/>
    <w:rsid w:val="00415C37"/>
    <w:rsid w:val="00416A6D"/>
    <w:rsid w:val="0041737C"/>
    <w:rsid w:val="00417C97"/>
    <w:rsid w:val="004209DE"/>
    <w:rsid w:val="00420E28"/>
    <w:rsid w:val="00421132"/>
    <w:rsid w:val="00421E6F"/>
    <w:rsid w:val="004225E6"/>
    <w:rsid w:val="00422D46"/>
    <w:rsid w:val="004258D1"/>
    <w:rsid w:val="00425939"/>
    <w:rsid w:val="00426D6E"/>
    <w:rsid w:val="00427126"/>
    <w:rsid w:val="004274AD"/>
    <w:rsid w:val="00430AFF"/>
    <w:rsid w:val="00431050"/>
    <w:rsid w:val="00432F5B"/>
    <w:rsid w:val="00433F86"/>
    <w:rsid w:val="004370ED"/>
    <w:rsid w:val="0043710F"/>
    <w:rsid w:val="004409CF"/>
    <w:rsid w:val="00440FCA"/>
    <w:rsid w:val="00442B4A"/>
    <w:rsid w:val="00442F29"/>
    <w:rsid w:val="0044360F"/>
    <w:rsid w:val="0044408B"/>
    <w:rsid w:val="00444AE7"/>
    <w:rsid w:val="0044588C"/>
    <w:rsid w:val="00445A93"/>
    <w:rsid w:val="00446CB6"/>
    <w:rsid w:val="004509EB"/>
    <w:rsid w:val="0045198D"/>
    <w:rsid w:val="004529D2"/>
    <w:rsid w:val="0045369D"/>
    <w:rsid w:val="00453DDD"/>
    <w:rsid w:val="0045400F"/>
    <w:rsid w:val="00454451"/>
    <w:rsid w:val="004553FB"/>
    <w:rsid w:val="00456998"/>
    <w:rsid w:val="00456B70"/>
    <w:rsid w:val="004577A1"/>
    <w:rsid w:val="00461AB8"/>
    <w:rsid w:val="0046263B"/>
    <w:rsid w:val="00464E4B"/>
    <w:rsid w:val="00465575"/>
    <w:rsid w:val="004677C9"/>
    <w:rsid w:val="00467C2A"/>
    <w:rsid w:val="00467F64"/>
    <w:rsid w:val="004713DD"/>
    <w:rsid w:val="00471D8A"/>
    <w:rsid w:val="004736F2"/>
    <w:rsid w:val="00473B83"/>
    <w:rsid w:val="00474EAB"/>
    <w:rsid w:val="004755A0"/>
    <w:rsid w:val="004756A8"/>
    <w:rsid w:val="0047589F"/>
    <w:rsid w:val="0047713A"/>
    <w:rsid w:val="00477624"/>
    <w:rsid w:val="004776F9"/>
    <w:rsid w:val="0048074F"/>
    <w:rsid w:val="0048177F"/>
    <w:rsid w:val="00482F93"/>
    <w:rsid w:val="00483284"/>
    <w:rsid w:val="00483CCB"/>
    <w:rsid w:val="00484A91"/>
    <w:rsid w:val="00484F7B"/>
    <w:rsid w:val="00486495"/>
    <w:rsid w:val="00486DEC"/>
    <w:rsid w:val="004875C0"/>
    <w:rsid w:val="00487C6D"/>
    <w:rsid w:val="00493643"/>
    <w:rsid w:val="0049503D"/>
    <w:rsid w:val="00495A1D"/>
    <w:rsid w:val="00496322"/>
    <w:rsid w:val="004A0E3A"/>
    <w:rsid w:val="004A0E4A"/>
    <w:rsid w:val="004A10E0"/>
    <w:rsid w:val="004A16C0"/>
    <w:rsid w:val="004A3ACB"/>
    <w:rsid w:val="004A3EAC"/>
    <w:rsid w:val="004A40EF"/>
    <w:rsid w:val="004A4ADC"/>
    <w:rsid w:val="004B09A4"/>
    <w:rsid w:val="004B135B"/>
    <w:rsid w:val="004B17D7"/>
    <w:rsid w:val="004B2AF2"/>
    <w:rsid w:val="004B2CDC"/>
    <w:rsid w:val="004B369A"/>
    <w:rsid w:val="004B3FC7"/>
    <w:rsid w:val="004B464A"/>
    <w:rsid w:val="004B5A12"/>
    <w:rsid w:val="004B6053"/>
    <w:rsid w:val="004B7B31"/>
    <w:rsid w:val="004B7C80"/>
    <w:rsid w:val="004C2156"/>
    <w:rsid w:val="004C218C"/>
    <w:rsid w:val="004C35E5"/>
    <w:rsid w:val="004C3B38"/>
    <w:rsid w:val="004C5534"/>
    <w:rsid w:val="004C5FD5"/>
    <w:rsid w:val="004C6B07"/>
    <w:rsid w:val="004C6D31"/>
    <w:rsid w:val="004C72A5"/>
    <w:rsid w:val="004C72DC"/>
    <w:rsid w:val="004D0070"/>
    <w:rsid w:val="004D012C"/>
    <w:rsid w:val="004D2237"/>
    <w:rsid w:val="004D23FE"/>
    <w:rsid w:val="004D25C2"/>
    <w:rsid w:val="004D27C3"/>
    <w:rsid w:val="004D51DB"/>
    <w:rsid w:val="004D568F"/>
    <w:rsid w:val="004D5C57"/>
    <w:rsid w:val="004D6520"/>
    <w:rsid w:val="004D769D"/>
    <w:rsid w:val="004E06A3"/>
    <w:rsid w:val="004E1185"/>
    <w:rsid w:val="004E1539"/>
    <w:rsid w:val="004E17E2"/>
    <w:rsid w:val="004E1A47"/>
    <w:rsid w:val="004E1E65"/>
    <w:rsid w:val="004E21B8"/>
    <w:rsid w:val="004E2204"/>
    <w:rsid w:val="004E3D43"/>
    <w:rsid w:val="004E5E36"/>
    <w:rsid w:val="004E7580"/>
    <w:rsid w:val="004E7AE3"/>
    <w:rsid w:val="004F08FC"/>
    <w:rsid w:val="004F0C87"/>
    <w:rsid w:val="004F14B2"/>
    <w:rsid w:val="004F1839"/>
    <w:rsid w:val="004F21E0"/>
    <w:rsid w:val="004F3214"/>
    <w:rsid w:val="004F38D3"/>
    <w:rsid w:val="004F4532"/>
    <w:rsid w:val="004F7FAC"/>
    <w:rsid w:val="0050081E"/>
    <w:rsid w:val="0050095E"/>
    <w:rsid w:val="00500B34"/>
    <w:rsid w:val="00500E36"/>
    <w:rsid w:val="00501101"/>
    <w:rsid w:val="005012AD"/>
    <w:rsid w:val="00502B49"/>
    <w:rsid w:val="00503AA7"/>
    <w:rsid w:val="00503B17"/>
    <w:rsid w:val="00503F64"/>
    <w:rsid w:val="00504000"/>
    <w:rsid w:val="005053C5"/>
    <w:rsid w:val="00505650"/>
    <w:rsid w:val="00505AEA"/>
    <w:rsid w:val="00505E18"/>
    <w:rsid w:val="005061A4"/>
    <w:rsid w:val="00506994"/>
    <w:rsid w:val="00510012"/>
    <w:rsid w:val="00511A27"/>
    <w:rsid w:val="00513F2B"/>
    <w:rsid w:val="00514148"/>
    <w:rsid w:val="00514CF4"/>
    <w:rsid w:val="0051707D"/>
    <w:rsid w:val="00517C63"/>
    <w:rsid w:val="005219DC"/>
    <w:rsid w:val="00521D7B"/>
    <w:rsid w:val="005241CE"/>
    <w:rsid w:val="005246EA"/>
    <w:rsid w:val="00524957"/>
    <w:rsid w:val="00524FF7"/>
    <w:rsid w:val="0052707E"/>
    <w:rsid w:val="0052708E"/>
    <w:rsid w:val="005271B9"/>
    <w:rsid w:val="00534D51"/>
    <w:rsid w:val="00534DCE"/>
    <w:rsid w:val="0053594B"/>
    <w:rsid w:val="00535A43"/>
    <w:rsid w:val="00535E38"/>
    <w:rsid w:val="00535E39"/>
    <w:rsid w:val="0053615B"/>
    <w:rsid w:val="00537429"/>
    <w:rsid w:val="005377C1"/>
    <w:rsid w:val="005401DB"/>
    <w:rsid w:val="00540D30"/>
    <w:rsid w:val="005425BF"/>
    <w:rsid w:val="005425C2"/>
    <w:rsid w:val="00543511"/>
    <w:rsid w:val="005438D5"/>
    <w:rsid w:val="005442CC"/>
    <w:rsid w:val="00544F5D"/>
    <w:rsid w:val="00546198"/>
    <w:rsid w:val="0054670A"/>
    <w:rsid w:val="0054697D"/>
    <w:rsid w:val="00551E28"/>
    <w:rsid w:val="005534CA"/>
    <w:rsid w:val="00553597"/>
    <w:rsid w:val="005552DD"/>
    <w:rsid w:val="00555A70"/>
    <w:rsid w:val="005577FE"/>
    <w:rsid w:val="00560C63"/>
    <w:rsid w:val="0056226C"/>
    <w:rsid w:val="00564EE6"/>
    <w:rsid w:val="00567528"/>
    <w:rsid w:val="005701C0"/>
    <w:rsid w:val="0057040B"/>
    <w:rsid w:val="00571A1A"/>
    <w:rsid w:val="00571AA4"/>
    <w:rsid w:val="005738A4"/>
    <w:rsid w:val="00573F9E"/>
    <w:rsid w:val="00574870"/>
    <w:rsid w:val="00574A24"/>
    <w:rsid w:val="00575303"/>
    <w:rsid w:val="0057725A"/>
    <w:rsid w:val="005773A1"/>
    <w:rsid w:val="00581471"/>
    <w:rsid w:val="00582308"/>
    <w:rsid w:val="005824E9"/>
    <w:rsid w:val="00582974"/>
    <w:rsid w:val="00583670"/>
    <w:rsid w:val="00583816"/>
    <w:rsid w:val="00585C77"/>
    <w:rsid w:val="0058654C"/>
    <w:rsid w:val="00586551"/>
    <w:rsid w:val="00586A6B"/>
    <w:rsid w:val="00586FD5"/>
    <w:rsid w:val="00590BF4"/>
    <w:rsid w:val="00592D57"/>
    <w:rsid w:val="00593245"/>
    <w:rsid w:val="00596911"/>
    <w:rsid w:val="005A0470"/>
    <w:rsid w:val="005A0C85"/>
    <w:rsid w:val="005A1811"/>
    <w:rsid w:val="005A1974"/>
    <w:rsid w:val="005A26D2"/>
    <w:rsid w:val="005A2B03"/>
    <w:rsid w:val="005A3518"/>
    <w:rsid w:val="005A4558"/>
    <w:rsid w:val="005A4C23"/>
    <w:rsid w:val="005A65FE"/>
    <w:rsid w:val="005A7252"/>
    <w:rsid w:val="005A7CD0"/>
    <w:rsid w:val="005A7E2A"/>
    <w:rsid w:val="005B10F8"/>
    <w:rsid w:val="005B1D16"/>
    <w:rsid w:val="005B2F6C"/>
    <w:rsid w:val="005B4B44"/>
    <w:rsid w:val="005B4C7E"/>
    <w:rsid w:val="005B64F5"/>
    <w:rsid w:val="005C0B82"/>
    <w:rsid w:val="005C1206"/>
    <w:rsid w:val="005C20F8"/>
    <w:rsid w:val="005C2354"/>
    <w:rsid w:val="005C2AD6"/>
    <w:rsid w:val="005C2DF4"/>
    <w:rsid w:val="005C3F9B"/>
    <w:rsid w:val="005C54AF"/>
    <w:rsid w:val="005C66FE"/>
    <w:rsid w:val="005C6FDF"/>
    <w:rsid w:val="005C7A77"/>
    <w:rsid w:val="005D0091"/>
    <w:rsid w:val="005D01C3"/>
    <w:rsid w:val="005D07A7"/>
    <w:rsid w:val="005D0C05"/>
    <w:rsid w:val="005D1F70"/>
    <w:rsid w:val="005D1F8F"/>
    <w:rsid w:val="005D1F9A"/>
    <w:rsid w:val="005D3EDC"/>
    <w:rsid w:val="005D6AEF"/>
    <w:rsid w:val="005D7E0B"/>
    <w:rsid w:val="005E0589"/>
    <w:rsid w:val="005E314E"/>
    <w:rsid w:val="005E374B"/>
    <w:rsid w:val="005E3913"/>
    <w:rsid w:val="005E513B"/>
    <w:rsid w:val="005E590C"/>
    <w:rsid w:val="005E5D0C"/>
    <w:rsid w:val="005E63DE"/>
    <w:rsid w:val="005E695A"/>
    <w:rsid w:val="005E6D3B"/>
    <w:rsid w:val="005E76B6"/>
    <w:rsid w:val="005F0B29"/>
    <w:rsid w:val="005F2227"/>
    <w:rsid w:val="005F2842"/>
    <w:rsid w:val="005F4343"/>
    <w:rsid w:val="005F4DB3"/>
    <w:rsid w:val="005F4FD6"/>
    <w:rsid w:val="005F7E6B"/>
    <w:rsid w:val="006000E0"/>
    <w:rsid w:val="00600309"/>
    <w:rsid w:val="00600CB1"/>
    <w:rsid w:val="00602D9D"/>
    <w:rsid w:val="00603500"/>
    <w:rsid w:val="0060356F"/>
    <w:rsid w:val="00603715"/>
    <w:rsid w:val="00604249"/>
    <w:rsid w:val="006076B5"/>
    <w:rsid w:val="00607BD8"/>
    <w:rsid w:val="00611D66"/>
    <w:rsid w:val="00612992"/>
    <w:rsid w:val="00612FF2"/>
    <w:rsid w:val="0061303B"/>
    <w:rsid w:val="0061324B"/>
    <w:rsid w:val="006144DB"/>
    <w:rsid w:val="006149CD"/>
    <w:rsid w:val="00615E63"/>
    <w:rsid w:val="00616369"/>
    <w:rsid w:val="00616D7A"/>
    <w:rsid w:val="00617046"/>
    <w:rsid w:val="00620B28"/>
    <w:rsid w:val="006217A2"/>
    <w:rsid w:val="00621D5F"/>
    <w:rsid w:val="00621F07"/>
    <w:rsid w:val="006229AB"/>
    <w:rsid w:val="006232E0"/>
    <w:rsid w:val="00623889"/>
    <w:rsid w:val="00623BD5"/>
    <w:rsid w:val="006244ED"/>
    <w:rsid w:val="00627C57"/>
    <w:rsid w:val="00631078"/>
    <w:rsid w:val="00632657"/>
    <w:rsid w:val="00633A14"/>
    <w:rsid w:val="00634406"/>
    <w:rsid w:val="00636A8F"/>
    <w:rsid w:val="006407C2"/>
    <w:rsid w:val="00640EA2"/>
    <w:rsid w:val="006419D5"/>
    <w:rsid w:val="006425EF"/>
    <w:rsid w:val="006427BF"/>
    <w:rsid w:val="00642B06"/>
    <w:rsid w:val="006432D7"/>
    <w:rsid w:val="00643AF9"/>
    <w:rsid w:val="006457AA"/>
    <w:rsid w:val="00645DCB"/>
    <w:rsid w:val="00647FED"/>
    <w:rsid w:val="006503BD"/>
    <w:rsid w:val="006506FC"/>
    <w:rsid w:val="0065247C"/>
    <w:rsid w:val="0065398E"/>
    <w:rsid w:val="00654D03"/>
    <w:rsid w:val="0065545C"/>
    <w:rsid w:val="00656B37"/>
    <w:rsid w:val="00657E09"/>
    <w:rsid w:val="00660437"/>
    <w:rsid w:val="00660568"/>
    <w:rsid w:val="006611E2"/>
    <w:rsid w:val="00661A8D"/>
    <w:rsid w:val="00664A52"/>
    <w:rsid w:val="006655AF"/>
    <w:rsid w:val="00665F3F"/>
    <w:rsid w:val="006668EA"/>
    <w:rsid w:val="00667DAD"/>
    <w:rsid w:val="00670197"/>
    <w:rsid w:val="0067242A"/>
    <w:rsid w:val="006726FC"/>
    <w:rsid w:val="0067280E"/>
    <w:rsid w:val="00673A9E"/>
    <w:rsid w:val="00674ADE"/>
    <w:rsid w:val="00674F8F"/>
    <w:rsid w:val="0067536A"/>
    <w:rsid w:val="006757C1"/>
    <w:rsid w:val="006765D3"/>
    <w:rsid w:val="006765F2"/>
    <w:rsid w:val="00677C66"/>
    <w:rsid w:val="006812F7"/>
    <w:rsid w:val="006822BE"/>
    <w:rsid w:val="006829EF"/>
    <w:rsid w:val="00683018"/>
    <w:rsid w:val="00683AFD"/>
    <w:rsid w:val="00683DD6"/>
    <w:rsid w:val="006843A2"/>
    <w:rsid w:val="00684AC0"/>
    <w:rsid w:val="00684D80"/>
    <w:rsid w:val="00685C49"/>
    <w:rsid w:val="006861D6"/>
    <w:rsid w:val="006862FD"/>
    <w:rsid w:val="00686DA6"/>
    <w:rsid w:val="00686FBE"/>
    <w:rsid w:val="006871A6"/>
    <w:rsid w:val="00687B79"/>
    <w:rsid w:val="00690790"/>
    <w:rsid w:val="00690926"/>
    <w:rsid w:val="00691EB7"/>
    <w:rsid w:val="006924C2"/>
    <w:rsid w:val="00692974"/>
    <w:rsid w:val="00692AC0"/>
    <w:rsid w:val="00693EC7"/>
    <w:rsid w:val="00694EDB"/>
    <w:rsid w:val="00695AA3"/>
    <w:rsid w:val="00696EA9"/>
    <w:rsid w:val="00696EEA"/>
    <w:rsid w:val="006A20C0"/>
    <w:rsid w:val="006A2E64"/>
    <w:rsid w:val="006A3CD6"/>
    <w:rsid w:val="006A46CB"/>
    <w:rsid w:val="006A4E4A"/>
    <w:rsid w:val="006A711C"/>
    <w:rsid w:val="006B02BC"/>
    <w:rsid w:val="006B07C1"/>
    <w:rsid w:val="006B0817"/>
    <w:rsid w:val="006B0AC6"/>
    <w:rsid w:val="006B16D3"/>
    <w:rsid w:val="006B3764"/>
    <w:rsid w:val="006B3D14"/>
    <w:rsid w:val="006B448A"/>
    <w:rsid w:val="006B457F"/>
    <w:rsid w:val="006B5328"/>
    <w:rsid w:val="006B5759"/>
    <w:rsid w:val="006B7047"/>
    <w:rsid w:val="006B7B93"/>
    <w:rsid w:val="006C1F6D"/>
    <w:rsid w:val="006C266B"/>
    <w:rsid w:val="006C2A14"/>
    <w:rsid w:val="006C2BBF"/>
    <w:rsid w:val="006C3327"/>
    <w:rsid w:val="006C3855"/>
    <w:rsid w:val="006C3D4B"/>
    <w:rsid w:val="006C401B"/>
    <w:rsid w:val="006C462F"/>
    <w:rsid w:val="006C5B22"/>
    <w:rsid w:val="006C770A"/>
    <w:rsid w:val="006D02BE"/>
    <w:rsid w:val="006D1592"/>
    <w:rsid w:val="006D1C5F"/>
    <w:rsid w:val="006D2B18"/>
    <w:rsid w:val="006D2F52"/>
    <w:rsid w:val="006D3D3F"/>
    <w:rsid w:val="006D59E1"/>
    <w:rsid w:val="006D5D16"/>
    <w:rsid w:val="006E1912"/>
    <w:rsid w:val="006E2B94"/>
    <w:rsid w:val="006E301F"/>
    <w:rsid w:val="006E339D"/>
    <w:rsid w:val="006E3A6E"/>
    <w:rsid w:val="006E4206"/>
    <w:rsid w:val="006E613C"/>
    <w:rsid w:val="006E6C60"/>
    <w:rsid w:val="006E6EA8"/>
    <w:rsid w:val="006E7DA7"/>
    <w:rsid w:val="006F1194"/>
    <w:rsid w:val="006F27B5"/>
    <w:rsid w:val="006F2873"/>
    <w:rsid w:val="006F28CF"/>
    <w:rsid w:val="006F364A"/>
    <w:rsid w:val="006F57E8"/>
    <w:rsid w:val="006F5A19"/>
    <w:rsid w:val="006F6731"/>
    <w:rsid w:val="0070057F"/>
    <w:rsid w:val="00701402"/>
    <w:rsid w:val="0070206C"/>
    <w:rsid w:val="007024C9"/>
    <w:rsid w:val="00702E8E"/>
    <w:rsid w:val="00703206"/>
    <w:rsid w:val="007037F9"/>
    <w:rsid w:val="0070736D"/>
    <w:rsid w:val="00707D6D"/>
    <w:rsid w:val="00710491"/>
    <w:rsid w:val="00710D62"/>
    <w:rsid w:val="00713104"/>
    <w:rsid w:val="00714EDE"/>
    <w:rsid w:val="00715DB5"/>
    <w:rsid w:val="00716137"/>
    <w:rsid w:val="00716704"/>
    <w:rsid w:val="00717B92"/>
    <w:rsid w:val="00720D2B"/>
    <w:rsid w:val="00721E4F"/>
    <w:rsid w:val="0072206C"/>
    <w:rsid w:val="007221C5"/>
    <w:rsid w:val="007223A9"/>
    <w:rsid w:val="00722D20"/>
    <w:rsid w:val="00722EA5"/>
    <w:rsid w:val="00722EAE"/>
    <w:rsid w:val="007230E1"/>
    <w:rsid w:val="0072314F"/>
    <w:rsid w:val="007233AF"/>
    <w:rsid w:val="007234B8"/>
    <w:rsid w:val="0072351D"/>
    <w:rsid w:val="00724BFA"/>
    <w:rsid w:val="00725BF4"/>
    <w:rsid w:val="00726105"/>
    <w:rsid w:val="00726568"/>
    <w:rsid w:val="0072697F"/>
    <w:rsid w:val="00727CED"/>
    <w:rsid w:val="00730A09"/>
    <w:rsid w:val="00731EAD"/>
    <w:rsid w:val="00732887"/>
    <w:rsid w:val="00734B6C"/>
    <w:rsid w:val="007362DF"/>
    <w:rsid w:val="00736D0C"/>
    <w:rsid w:val="00736DE3"/>
    <w:rsid w:val="00737544"/>
    <w:rsid w:val="00737C5A"/>
    <w:rsid w:val="007401AE"/>
    <w:rsid w:val="007404DB"/>
    <w:rsid w:val="00740EE2"/>
    <w:rsid w:val="007452E8"/>
    <w:rsid w:val="007457A4"/>
    <w:rsid w:val="00746BC5"/>
    <w:rsid w:val="0075045F"/>
    <w:rsid w:val="007509AD"/>
    <w:rsid w:val="007517B6"/>
    <w:rsid w:val="00751A41"/>
    <w:rsid w:val="00751FD1"/>
    <w:rsid w:val="0075229A"/>
    <w:rsid w:val="00752733"/>
    <w:rsid w:val="0075533B"/>
    <w:rsid w:val="0075598B"/>
    <w:rsid w:val="00755B8D"/>
    <w:rsid w:val="00757C6D"/>
    <w:rsid w:val="007600B6"/>
    <w:rsid w:val="007602D7"/>
    <w:rsid w:val="00760FEB"/>
    <w:rsid w:val="00761A01"/>
    <w:rsid w:val="00761B06"/>
    <w:rsid w:val="00762E9F"/>
    <w:rsid w:val="00763FDA"/>
    <w:rsid w:val="007642F4"/>
    <w:rsid w:val="00765B1A"/>
    <w:rsid w:val="00770092"/>
    <w:rsid w:val="00770A55"/>
    <w:rsid w:val="007726E5"/>
    <w:rsid w:val="00774596"/>
    <w:rsid w:val="00774616"/>
    <w:rsid w:val="007747B2"/>
    <w:rsid w:val="007747C3"/>
    <w:rsid w:val="0077494C"/>
    <w:rsid w:val="007779A9"/>
    <w:rsid w:val="00781773"/>
    <w:rsid w:val="00781FF3"/>
    <w:rsid w:val="007849DF"/>
    <w:rsid w:val="00784FB3"/>
    <w:rsid w:val="00785285"/>
    <w:rsid w:val="00785DB7"/>
    <w:rsid w:val="00786C89"/>
    <w:rsid w:val="007879EC"/>
    <w:rsid w:val="00791F34"/>
    <w:rsid w:val="00792958"/>
    <w:rsid w:val="007941E7"/>
    <w:rsid w:val="007949CF"/>
    <w:rsid w:val="00796A63"/>
    <w:rsid w:val="007A03FC"/>
    <w:rsid w:val="007A0C6A"/>
    <w:rsid w:val="007A2BF2"/>
    <w:rsid w:val="007A4524"/>
    <w:rsid w:val="007A63E1"/>
    <w:rsid w:val="007A67B7"/>
    <w:rsid w:val="007A789C"/>
    <w:rsid w:val="007B0981"/>
    <w:rsid w:val="007B2EB2"/>
    <w:rsid w:val="007B3DB8"/>
    <w:rsid w:val="007B4819"/>
    <w:rsid w:val="007B4838"/>
    <w:rsid w:val="007B4D32"/>
    <w:rsid w:val="007B5BE6"/>
    <w:rsid w:val="007B5D21"/>
    <w:rsid w:val="007B6433"/>
    <w:rsid w:val="007B778A"/>
    <w:rsid w:val="007C1B67"/>
    <w:rsid w:val="007C23F8"/>
    <w:rsid w:val="007C25EB"/>
    <w:rsid w:val="007C291D"/>
    <w:rsid w:val="007C2D98"/>
    <w:rsid w:val="007C3EA1"/>
    <w:rsid w:val="007C58EE"/>
    <w:rsid w:val="007C63E9"/>
    <w:rsid w:val="007C6F05"/>
    <w:rsid w:val="007C75B4"/>
    <w:rsid w:val="007D03B3"/>
    <w:rsid w:val="007D0B55"/>
    <w:rsid w:val="007D2E09"/>
    <w:rsid w:val="007D3953"/>
    <w:rsid w:val="007D45D4"/>
    <w:rsid w:val="007D69BF"/>
    <w:rsid w:val="007D7113"/>
    <w:rsid w:val="007E0EA5"/>
    <w:rsid w:val="007E100A"/>
    <w:rsid w:val="007E1941"/>
    <w:rsid w:val="007E3681"/>
    <w:rsid w:val="007E44C1"/>
    <w:rsid w:val="007E5B5B"/>
    <w:rsid w:val="007E64DA"/>
    <w:rsid w:val="007E660A"/>
    <w:rsid w:val="007E66E0"/>
    <w:rsid w:val="007E789C"/>
    <w:rsid w:val="007F1261"/>
    <w:rsid w:val="007F30A1"/>
    <w:rsid w:val="007F549C"/>
    <w:rsid w:val="007F6598"/>
    <w:rsid w:val="00800908"/>
    <w:rsid w:val="00800DE4"/>
    <w:rsid w:val="008021E7"/>
    <w:rsid w:val="008026FF"/>
    <w:rsid w:val="00803012"/>
    <w:rsid w:val="008033D1"/>
    <w:rsid w:val="008037F6"/>
    <w:rsid w:val="00803E07"/>
    <w:rsid w:val="00804E6F"/>
    <w:rsid w:val="008050FF"/>
    <w:rsid w:val="00805380"/>
    <w:rsid w:val="0081059A"/>
    <w:rsid w:val="008115EC"/>
    <w:rsid w:val="00811B0B"/>
    <w:rsid w:val="00811E10"/>
    <w:rsid w:val="00812133"/>
    <w:rsid w:val="00813889"/>
    <w:rsid w:val="00813E61"/>
    <w:rsid w:val="00816DF4"/>
    <w:rsid w:val="008176EB"/>
    <w:rsid w:val="00823874"/>
    <w:rsid w:val="008238C0"/>
    <w:rsid w:val="008265D9"/>
    <w:rsid w:val="0082763C"/>
    <w:rsid w:val="00827952"/>
    <w:rsid w:val="00827E75"/>
    <w:rsid w:val="0083196A"/>
    <w:rsid w:val="00831AB7"/>
    <w:rsid w:val="00832537"/>
    <w:rsid w:val="00832838"/>
    <w:rsid w:val="00835EB4"/>
    <w:rsid w:val="00837154"/>
    <w:rsid w:val="00837BB6"/>
    <w:rsid w:val="00837EA4"/>
    <w:rsid w:val="00837FAE"/>
    <w:rsid w:val="00841797"/>
    <w:rsid w:val="00841C3C"/>
    <w:rsid w:val="00842129"/>
    <w:rsid w:val="008430EF"/>
    <w:rsid w:val="0084320C"/>
    <w:rsid w:val="00843F66"/>
    <w:rsid w:val="00844D2F"/>
    <w:rsid w:val="00845242"/>
    <w:rsid w:val="0084584D"/>
    <w:rsid w:val="00846C6D"/>
    <w:rsid w:val="00846F90"/>
    <w:rsid w:val="00851619"/>
    <w:rsid w:val="00851F00"/>
    <w:rsid w:val="008538FE"/>
    <w:rsid w:val="00854840"/>
    <w:rsid w:val="00854BCE"/>
    <w:rsid w:val="00854C7C"/>
    <w:rsid w:val="00855E21"/>
    <w:rsid w:val="0085601B"/>
    <w:rsid w:val="0085650A"/>
    <w:rsid w:val="008600BD"/>
    <w:rsid w:val="008607AE"/>
    <w:rsid w:val="008607B7"/>
    <w:rsid w:val="0086336F"/>
    <w:rsid w:val="008648AD"/>
    <w:rsid w:val="00865776"/>
    <w:rsid w:val="00865E11"/>
    <w:rsid w:val="00866E28"/>
    <w:rsid w:val="00867462"/>
    <w:rsid w:val="008715E6"/>
    <w:rsid w:val="00872394"/>
    <w:rsid w:val="008729E5"/>
    <w:rsid w:val="00872B75"/>
    <w:rsid w:val="00872BA6"/>
    <w:rsid w:val="00872EEC"/>
    <w:rsid w:val="00873419"/>
    <w:rsid w:val="00874166"/>
    <w:rsid w:val="00874279"/>
    <w:rsid w:val="008742C9"/>
    <w:rsid w:val="0087644C"/>
    <w:rsid w:val="008778A8"/>
    <w:rsid w:val="00877B59"/>
    <w:rsid w:val="00881A20"/>
    <w:rsid w:val="0088225B"/>
    <w:rsid w:val="00885C6C"/>
    <w:rsid w:val="00887B5E"/>
    <w:rsid w:val="00890CFB"/>
    <w:rsid w:val="008921FC"/>
    <w:rsid w:val="0089403C"/>
    <w:rsid w:val="00894632"/>
    <w:rsid w:val="00894764"/>
    <w:rsid w:val="00894CF5"/>
    <w:rsid w:val="008951A9"/>
    <w:rsid w:val="008952F8"/>
    <w:rsid w:val="008959E8"/>
    <w:rsid w:val="00895BDD"/>
    <w:rsid w:val="008965F1"/>
    <w:rsid w:val="00897275"/>
    <w:rsid w:val="008979D2"/>
    <w:rsid w:val="008A05A0"/>
    <w:rsid w:val="008A13A0"/>
    <w:rsid w:val="008A1CF1"/>
    <w:rsid w:val="008A483F"/>
    <w:rsid w:val="008A5671"/>
    <w:rsid w:val="008A568E"/>
    <w:rsid w:val="008A737F"/>
    <w:rsid w:val="008A768D"/>
    <w:rsid w:val="008A7A50"/>
    <w:rsid w:val="008B0776"/>
    <w:rsid w:val="008B0E28"/>
    <w:rsid w:val="008B1B45"/>
    <w:rsid w:val="008B4201"/>
    <w:rsid w:val="008B4FCC"/>
    <w:rsid w:val="008B554C"/>
    <w:rsid w:val="008B5B73"/>
    <w:rsid w:val="008B5C02"/>
    <w:rsid w:val="008B662D"/>
    <w:rsid w:val="008B70B3"/>
    <w:rsid w:val="008C0E92"/>
    <w:rsid w:val="008C1448"/>
    <w:rsid w:val="008C1B11"/>
    <w:rsid w:val="008C22A1"/>
    <w:rsid w:val="008C3B09"/>
    <w:rsid w:val="008C63A4"/>
    <w:rsid w:val="008C681D"/>
    <w:rsid w:val="008C7E7F"/>
    <w:rsid w:val="008D04E7"/>
    <w:rsid w:val="008D0F28"/>
    <w:rsid w:val="008D2357"/>
    <w:rsid w:val="008D3093"/>
    <w:rsid w:val="008D34A7"/>
    <w:rsid w:val="008D3E82"/>
    <w:rsid w:val="008D3F42"/>
    <w:rsid w:val="008D51B7"/>
    <w:rsid w:val="008D62E0"/>
    <w:rsid w:val="008D714C"/>
    <w:rsid w:val="008D7554"/>
    <w:rsid w:val="008D7C75"/>
    <w:rsid w:val="008E0452"/>
    <w:rsid w:val="008E049B"/>
    <w:rsid w:val="008E2790"/>
    <w:rsid w:val="008E3417"/>
    <w:rsid w:val="008E404C"/>
    <w:rsid w:val="008E44FA"/>
    <w:rsid w:val="008E519F"/>
    <w:rsid w:val="008E5203"/>
    <w:rsid w:val="008E5B74"/>
    <w:rsid w:val="008E5BBE"/>
    <w:rsid w:val="008F0A08"/>
    <w:rsid w:val="008F1233"/>
    <w:rsid w:val="008F146D"/>
    <w:rsid w:val="008F34E8"/>
    <w:rsid w:val="008F412B"/>
    <w:rsid w:val="008F4232"/>
    <w:rsid w:val="008F4CEA"/>
    <w:rsid w:val="008F6439"/>
    <w:rsid w:val="008F74FC"/>
    <w:rsid w:val="008F794F"/>
    <w:rsid w:val="009012B7"/>
    <w:rsid w:val="00901A00"/>
    <w:rsid w:val="00901B34"/>
    <w:rsid w:val="00901E77"/>
    <w:rsid w:val="00905EFC"/>
    <w:rsid w:val="00906109"/>
    <w:rsid w:val="00906570"/>
    <w:rsid w:val="009077AC"/>
    <w:rsid w:val="00907A3C"/>
    <w:rsid w:val="00907C52"/>
    <w:rsid w:val="00910931"/>
    <w:rsid w:val="00911E52"/>
    <w:rsid w:val="0091231D"/>
    <w:rsid w:val="00914164"/>
    <w:rsid w:val="00914AED"/>
    <w:rsid w:val="0091558A"/>
    <w:rsid w:val="00915CCC"/>
    <w:rsid w:val="00916870"/>
    <w:rsid w:val="0091694A"/>
    <w:rsid w:val="00916D55"/>
    <w:rsid w:val="009170D1"/>
    <w:rsid w:val="009175D2"/>
    <w:rsid w:val="00922346"/>
    <w:rsid w:val="009227BD"/>
    <w:rsid w:val="00922E78"/>
    <w:rsid w:val="00923052"/>
    <w:rsid w:val="00923B77"/>
    <w:rsid w:val="00924ED4"/>
    <w:rsid w:val="0092516A"/>
    <w:rsid w:val="00925854"/>
    <w:rsid w:val="0092618C"/>
    <w:rsid w:val="009262E0"/>
    <w:rsid w:val="009302BF"/>
    <w:rsid w:val="00930BEB"/>
    <w:rsid w:val="0093111A"/>
    <w:rsid w:val="00931DB9"/>
    <w:rsid w:val="0093268A"/>
    <w:rsid w:val="0093284D"/>
    <w:rsid w:val="0093364F"/>
    <w:rsid w:val="00933A8E"/>
    <w:rsid w:val="00933E2E"/>
    <w:rsid w:val="00934612"/>
    <w:rsid w:val="0093473A"/>
    <w:rsid w:val="00936A94"/>
    <w:rsid w:val="00936EBD"/>
    <w:rsid w:val="0093786E"/>
    <w:rsid w:val="00937DE1"/>
    <w:rsid w:val="0094038E"/>
    <w:rsid w:val="00940BD8"/>
    <w:rsid w:val="009414E0"/>
    <w:rsid w:val="009417B6"/>
    <w:rsid w:val="0094209C"/>
    <w:rsid w:val="00942266"/>
    <w:rsid w:val="0094302D"/>
    <w:rsid w:val="00943247"/>
    <w:rsid w:val="00944B6A"/>
    <w:rsid w:val="00944B6C"/>
    <w:rsid w:val="00945BF8"/>
    <w:rsid w:val="009462E3"/>
    <w:rsid w:val="009464BA"/>
    <w:rsid w:val="00946865"/>
    <w:rsid w:val="00950952"/>
    <w:rsid w:val="00950B25"/>
    <w:rsid w:val="009517A1"/>
    <w:rsid w:val="0095358D"/>
    <w:rsid w:val="0095434B"/>
    <w:rsid w:val="0095471C"/>
    <w:rsid w:val="00954AEB"/>
    <w:rsid w:val="00954F74"/>
    <w:rsid w:val="0095563B"/>
    <w:rsid w:val="0095573B"/>
    <w:rsid w:val="00955797"/>
    <w:rsid w:val="0096373A"/>
    <w:rsid w:val="00964BD6"/>
    <w:rsid w:val="00964D46"/>
    <w:rsid w:val="009650F8"/>
    <w:rsid w:val="0096634A"/>
    <w:rsid w:val="00966EAB"/>
    <w:rsid w:val="00967438"/>
    <w:rsid w:val="00967C1B"/>
    <w:rsid w:val="00970817"/>
    <w:rsid w:val="00971170"/>
    <w:rsid w:val="00971A4D"/>
    <w:rsid w:val="0097229E"/>
    <w:rsid w:val="0097758A"/>
    <w:rsid w:val="00977823"/>
    <w:rsid w:val="00977FC0"/>
    <w:rsid w:val="0098161E"/>
    <w:rsid w:val="00981E16"/>
    <w:rsid w:val="009825E4"/>
    <w:rsid w:val="00983CD1"/>
    <w:rsid w:val="009857D6"/>
    <w:rsid w:val="009867AA"/>
    <w:rsid w:val="0098729E"/>
    <w:rsid w:val="00987654"/>
    <w:rsid w:val="00987B33"/>
    <w:rsid w:val="009922B9"/>
    <w:rsid w:val="00992309"/>
    <w:rsid w:val="00992350"/>
    <w:rsid w:val="0099298B"/>
    <w:rsid w:val="00993132"/>
    <w:rsid w:val="00993392"/>
    <w:rsid w:val="009941CB"/>
    <w:rsid w:val="00996365"/>
    <w:rsid w:val="009967C8"/>
    <w:rsid w:val="009979D7"/>
    <w:rsid w:val="00997B76"/>
    <w:rsid w:val="00997DE2"/>
    <w:rsid w:val="009A0658"/>
    <w:rsid w:val="009A0A2A"/>
    <w:rsid w:val="009A1675"/>
    <w:rsid w:val="009A188E"/>
    <w:rsid w:val="009A2FBA"/>
    <w:rsid w:val="009A4139"/>
    <w:rsid w:val="009A4421"/>
    <w:rsid w:val="009A6D4B"/>
    <w:rsid w:val="009B0410"/>
    <w:rsid w:val="009B0C0F"/>
    <w:rsid w:val="009B1416"/>
    <w:rsid w:val="009B25C4"/>
    <w:rsid w:val="009B4A10"/>
    <w:rsid w:val="009B55D7"/>
    <w:rsid w:val="009B587D"/>
    <w:rsid w:val="009B6B46"/>
    <w:rsid w:val="009C0899"/>
    <w:rsid w:val="009C0C1C"/>
    <w:rsid w:val="009C1680"/>
    <w:rsid w:val="009C2AC4"/>
    <w:rsid w:val="009C2B8E"/>
    <w:rsid w:val="009C389D"/>
    <w:rsid w:val="009C4D4B"/>
    <w:rsid w:val="009C4D76"/>
    <w:rsid w:val="009C518B"/>
    <w:rsid w:val="009C5EC8"/>
    <w:rsid w:val="009C7444"/>
    <w:rsid w:val="009C7511"/>
    <w:rsid w:val="009D0602"/>
    <w:rsid w:val="009D0D05"/>
    <w:rsid w:val="009D168E"/>
    <w:rsid w:val="009D1CD2"/>
    <w:rsid w:val="009D1E6C"/>
    <w:rsid w:val="009D25E8"/>
    <w:rsid w:val="009D2E90"/>
    <w:rsid w:val="009D5565"/>
    <w:rsid w:val="009D5927"/>
    <w:rsid w:val="009D5B83"/>
    <w:rsid w:val="009D6BA5"/>
    <w:rsid w:val="009D6EA3"/>
    <w:rsid w:val="009E04C3"/>
    <w:rsid w:val="009E1105"/>
    <w:rsid w:val="009E1FE2"/>
    <w:rsid w:val="009E3611"/>
    <w:rsid w:val="009E39C9"/>
    <w:rsid w:val="009E4439"/>
    <w:rsid w:val="009E448D"/>
    <w:rsid w:val="009E4532"/>
    <w:rsid w:val="009E4B42"/>
    <w:rsid w:val="009E4EB2"/>
    <w:rsid w:val="009F03AD"/>
    <w:rsid w:val="009F05C4"/>
    <w:rsid w:val="009F2C0C"/>
    <w:rsid w:val="009F2E49"/>
    <w:rsid w:val="009F5445"/>
    <w:rsid w:val="009F5781"/>
    <w:rsid w:val="009F5F3F"/>
    <w:rsid w:val="009F66DC"/>
    <w:rsid w:val="009F6B60"/>
    <w:rsid w:val="009F6BE8"/>
    <w:rsid w:val="00A00E73"/>
    <w:rsid w:val="00A02493"/>
    <w:rsid w:val="00A0249C"/>
    <w:rsid w:val="00A033BA"/>
    <w:rsid w:val="00A046A8"/>
    <w:rsid w:val="00A0500B"/>
    <w:rsid w:val="00A05D11"/>
    <w:rsid w:val="00A0612A"/>
    <w:rsid w:val="00A07949"/>
    <w:rsid w:val="00A105C4"/>
    <w:rsid w:val="00A10A77"/>
    <w:rsid w:val="00A10BD2"/>
    <w:rsid w:val="00A113AB"/>
    <w:rsid w:val="00A11652"/>
    <w:rsid w:val="00A12E3D"/>
    <w:rsid w:val="00A1421F"/>
    <w:rsid w:val="00A15D29"/>
    <w:rsid w:val="00A1647A"/>
    <w:rsid w:val="00A16744"/>
    <w:rsid w:val="00A16D52"/>
    <w:rsid w:val="00A20113"/>
    <w:rsid w:val="00A206C7"/>
    <w:rsid w:val="00A21B42"/>
    <w:rsid w:val="00A22121"/>
    <w:rsid w:val="00A2229B"/>
    <w:rsid w:val="00A227EB"/>
    <w:rsid w:val="00A22DC4"/>
    <w:rsid w:val="00A23498"/>
    <w:rsid w:val="00A2351E"/>
    <w:rsid w:val="00A237EF"/>
    <w:rsid w:val="00A2506F"/>
    <w:rsid w:val="00A25191"/>
    <w:rsid w:val="00A25B5E"/>
    <w:rsid w:val="00A25B90"/>
    <w:rsid w:val="00A2641C"/>
    <w:rsid w:val="00A27021"/>
    <w:rsid w:val="00A27283"/>
    <w:rsid w:val="00A312E6"/>
    <w:rsid w:val="00A31AFE"/>
    <w:rsid w:val="00A324DB"/>
    <w:rsid w:val="00A32B6E"/>
    <w:rsid w:val="00A331CE"/>
    <w:rsid w:val="00A332A7"/>
    <w:rsid w:val="00A3340F"/>
    <w:rsid w:val="00A335D5"/>
    <w:rsid w:val="00A358E7"/>
    <w:rsid w:val="00A35EBE"/>
    <w:rsid w:val="00A36C3E"/>
    <w:rsid w:val="00A37285"/>
    <w:rsid w:val="00A37E6A"/>
    <w:rsid w:val="00A417BD"/>
    <w:rsid w:val="00A41EE2"/>
    <w:rsid w:val="00A42098"/>
    <w:rsid w:val="00A426C3"/>
    <w:rsid w:val="00A46E30"/>
    <w:rsid w:val="00A474A5"/>
    <w:rsid w:val="00A47B12"/>
    <w:rsid w:val="00A47C68"/>
    <w:rsid w:val="00A50699"/>
    <w:rsid w:val="00A53122"/>
    <w:rsid w:val="00A53CA6"/>
    <w:rsid w:val="00A55A66"/>
    <w:rsid w:val="00A572A3"/>
    <w:rsid w:val="00A611E9"/>
    <w:rsid w:val="00A61369"/>
    <w:rsid w:val="00A6262D"/>
    <w:rsid w:val="00A62AFE"/>
    <w:rsid w:val="00A6311E"/>
    <w:rsid w:val="00A634EF"/>
    <w:rsid w:val="00A63A33"/>
    <w:rsid w:val="00A64472"/>
    <w:rsid w:val="00A67E19"/>
    <w:rsid w:val="00A70E8D"/>
    <w:rsid w:val="00A71C44"/>
    <w:rsid w:val="00A72575"/>
    <w:rsid w:val="00A725A2"/>
    <w:rsid w:val="00A7292F"/>
    <w:rsid w:val="00A72BC4"/>
    <w:rsid w:val="00A72FCF"/>
    <w:rsid w:val="00A80C26"/>
    <w:rsid w:val="00A80D41"/>
    <w:rsid w:val="00A82F21"/>
    <w:rsid w:val="00A83660"/>
    <w:rsid w:val="00A84A8C"/>
    <w:rsid w:val="00A84EC5"/>
    <w:rsid w:val="00A8544E"/>
    <w:rsid w:val="00A85BA7"/>
    <w:rsid w:val="00A85C54"/>
    <w:rsid w:val="00A8612C"/>
    <w:rsid w:val="00A86BFA"/>
    <w:rsid w:val="00A91664"/>
    <w:rsid w:val="00A91B1D"/>
    <w:rsid w:val="00A92350"/>
    <w:rsid w:val="00A93130"/>
    <w:rsid w:val="00A9320C"/>
    <w:rsid w:val="00A94284"/>
    <w:rsid w:val="00A942BF"/>
    <w:rsid w:val="00A94816"/>
    <w:rsid w:val="00A94AFA"/>
    <w:rsid w:val="00A94F61"/>
    <w:rsid w:val="00A952CB"/>
    <w:rsid w:val="00A959B5"/>
    <w:rsid w:val="00A96152"/>
    <w:rsid w:val="00A97306"/>
    <w:rsid w:val="00AA0FF3"/>
    <w:rsid w:val="00AA1156"/>
    <w:rsid w:val="00AA2299"/>
    <w:rsid w:val="00AA2E79"/>
    <w:rsid w:val="00AA3F58"/>
    <w:rsid w:val="00AA4B51"/>
    <w:rsid w:val="00AA5800"/>
    <w:rsid w:val="00AA5D9D"/>
    <w:rsid w:val="00AA6673"/>
    <w:rsid w:val="00AA68D5"/>
    <w:rsid w:val="00AA7CF1"/>
    <w:rsid w:val="00AA7E39"/>
    <w:rsid w:val="00AB1B04"/>
    <w:rsid w:val="00AB300E"/>
    <w:rsid w:val="00AB403F"/>
    <w:rsid w:val="00AB4600"/>
    <w:rsid w:val="00AB5B21"/>
    <w:rsid w:val="00AB62CB"/>
    <w:rsid w:val="00AB64E5"/>
    <w:rsid w:val="00AB7A42"/>
    <w:rsid w:val="00AB7F74"/>
    <w:rsid w:val="00AC02B9"/>
    <w:rsid w:val="00AC04AD"/>
    <w:rsid w:val="00AC30E8"/>
    <w:rsid w:val="00AC3325"/>
    <w:rsid w:val="00AC343A"/>
    <w:rsid w:val="00AC35CE"/>
    <w:rsid w:val="00AC3B1C"/>
    <w:rsid w:val="00AC443D"/>
    <w:rsid w:val="00AC4B16"/>
    <w:rsid w:val="00AC548D"/>
    <w:rsid w:val="00AC5A76"/>
    <w:rsid w:val="00AC751F"/>
    <w:rsid w:val="00AC7767"/>
    <w:rsid w:val="00AC794B"/>
    <w:rsid w:val="00AC7D52"/>
    <w:rsid w:val="00AC7F1C"/>
    <w:rsid w:val="00AC7FFE"/>
    <w:rsid w:val="00AD046E"/>
    <w:rsid w:val="00AD0A9E"/>
    <w:rsid w:val="00AD0C46"/>
    <w:rsid w:val="00AD268A"/>
    <w:rsid w:val="00AD305C"/>
    <w:rsid w:val="00AD4122"/>
    <w:rsid w:val="00AD48DA"/>
    <w:rsid w:val="00AD527B"/>
    <w:rsid w:val="00AD6319"/>
    <w:rsid w:val="00AD7134"/>
    <w:rsid w:val="00AE0205"/>
    <w:rsid w:val="00AE0A00"/>
    <w:rsid w:val="00AE277D"/>
    <w:rsid w:val="00AE3946"/>
    <w:rsid w:val="00AE3FFA"/>
    <w:rsid w:val="00AE450D"/>
    <w:rsid w:val="00AE4852"/>
    <w:rsid w:val="00AE699C"/>
    <w:rsid w:val="00AE6C6C"/>
    <w:rsid w:val="00AF0080"/>
    <w:rsid w:val="00AF1BEE"/>
    <w:rsid w:val="00AF2835"/>
    <w:rsid w:val="00AF4E36"/>
    <w:rsid w:val="00AF5FE0"/>
    <w:rsid w:val="00AF711E"/>
    <w:rsid w:val="00AF78DD"/>
    <w:rsid w:val="00AF7E24"/>
    <w:rsid w:val="00B0049F"/>
    <w:rsid w:val="00B00A35"/>
    <w:rsid w:val="00B00CD4"/>
    <w:rsid w:val="00B01874"/>
    <w:rsid w:val="00B0189E"/>
    <w:rsid w:val="00B03512"/>
    <w:rsid w:val="00B03545"/>
    <w:rsid w:val="00B03833"/>
    <w:rsid w:val="00B03BAD"/>
    <w:rsid w:val="00B03D5C"/>
    <w:rsid w:val="00B05588"/>
    <w:rsid w:val="00B05B5A"/>
    <w:rsid w:val="00B060A1"/>
    <w:rsid w:val="00B104BC"/>
    <w:rsid w:val="00B114AC"/>
    <w:rsid w:val="00B12E2A"/>
    <w:rsid w:val="00B133C3"/>
    <w:rsid w:val="00B166F9"/>
    <w:rsid w:val="00B16EBE"/>
    <w:rsid w:val="00B17B50"/>
    <w:rsid w:val="00B2062E"/>
    <w:rsid w:val="00B224A3"/>
    <w:rsid w:val="00B2296E"/>
    <w:rsid w:val="00B256F8"/>
    <w:rsid w:val="00B258A6"/>
    <w:rsid w:val="00B2704A"/>
    <w:rsid w:val="00B2750A"/>
    <w:rsid w:val="00B27AC0"/>
    <w:rsid w:val="00B31B89"/>
    <w:rsid w:val="00B31FDF"/>
    <w:rsid w:val="00B32523"/>
    <w:rsid w:val="00B32B79"/>
    <w:rsid w:val="00B34ADC"/>
    <w:rsid w:val="00B352F8"/>
    <w:rsid w:val="00B358E4"/>
    <w:rsid w:val="00B35915"/>
    <w:rsid w:val="00B3648A"/>
    <w:rsid w:val="00B37C52"/>
    <w:rsid w:val="00B37D86"/>
    <w:rsid w:val="00B4245A"/>
    <w:rsid w:val="00B43B3F"/>
    <w:rsid w:val="00B43F65"/>
    <w:rsid w:val="00B44882"/>
    <w:rsid w:val="00B5023B"/>
    <w:rsid w:val="00B502DB"/>
    <w:rsid w:val="00B504CE"/>
    <w:rsid w:val="00B5131A"/>
    <w:rsid w:val="00B51D45"/>
    <w:rsid w:val="00B521E7"/>
    <w:rsid w:val="00B533D4"/>
    <w:rsid w:val="00B53B5B"/>
    <w:rsid w:val="00B5479B"/>
    <w:rsid w:val="00B5581C"/>
    <w:rsid w:val="00B609ED"/>
    <w:rsid w:val="00B60BFB"/>
    <w:rsid w:val="00B612C5"/>
    <w:rsid w:val="00B619A2"/>
    <w:rsid w:val="00B619C5"/>
    <w:rsid w:val="00B62696"/>
    <w:rsid w:val="00B648DB"/>
    <w:rsid w:val="00B650FE"/>
    <w:rsid w:val="00B65BDF"/>
    <w:rsid w:val="00B65C8C"/>
    <w:rsid w:val="00B66EB1"/>
    <w:rsid w:val="00B70154"/>
    <w:rsid w:val="00B7120F"/>
    <w:rsid w:val="00B712E2"/>
    <w:rsid w:val="00B71922"/>
    <w:rsid w:val="00B727B0"/>
    <w:rsid w:val="00B73567"/>
    <w:rsid w:val="00B73671"/>
    <w:rsid w:val="00B7621C"/>
    <w:rsid w:val="00B764D8"/>
    <w:rsid w:val="00B82000"/>
    <w:rsid w:val="00B822F5"/>
    <w:rsid w:val="00B8242E"/>
    <w:rsid w:val="00B8331D"/>
    <w:rsid w:val="00B8448C"/>
    <w:rsid w:val="00B84CF8"/>
    <w:rsid w:val="00B85482"/>
    <w:rsid w:val="00B85620"/>
    <w:rsid w:val="00B87079"/>
    <w:rsid w:val="00B902E8"/>
    <w:rsid w:val="00B90582"/>
    <w:rsid w:val="00B906F4"/>
    <w:rsid w:val="00B912C0"/>
    <w:rsid w:val="00B92F77"/>
    <w:rsid w:val="00B93F6C"/>
    <w:rsid w:val="00B94116"/>
    <w:rsid w:val="00B944C3"/>
    <w:rsid w:val="00B954E0"/>
    <w:rsid w:val="00B96EB6"/>
    <w:rsid w:val="00B970ED"/>
    <w:rsid w:val="00B97100"/>
    <w:rsid w:val="00BA02FE"/>
    <w:rsid w:val="00BA1640"/>
    <w:rsid w:val="00BA19F3"/>
    <w:rsid w:val="00BA271B"/>
    <w:rsid w:val="00BA464D"/>
    <w:rsid w:val="00BA686A"/>
    <w:rsid w:val="00BB0D6E"/>
    <w:rsid w:val="00BB4119"/>
    <w:rsid w:val="00BB5F11"/>
    <w:rsid w:val="00BB638B"/>
    <w:rsid w:val="00BB774C"/>
    <w:rsid w:val="00BB7954"/>
    <w:rsid w:val="00BB7BB2"/>
    <w:rsid w:val="00BC0C30"/>
    <w:rsid w:val="00BC13E2"/>
    <w:rsid w:val="00BC289A"/>
    <w:rsid w:val="00BC5012"/>
    <w:rsid w:val="00BC533D"/>
    <w:rsid w:val="00BC5FC2"/>
    <w:rsid w:val="00BD0AC0"/>
    <w:rsid w:val="00BD2314"/>
    <w:rsid w:val="00BD2419"/>
    <w:rsid w:val="00BD285F"/>
    <w:rsid w:val="00BD3979"/>
    <w:rsid w:val="00BD3FBA"/>
    <w:rsid w:val="00BD4352"/>
    <w:rsid w:val="00BD5039"/>
    <w:rsid w:val="00BD7746"/>
    <w:rsid w:val="00BD7779"/>
    <w:rsid w:val="00BD7950"/>
    <w:rsid w:val="00BD7E12"/>
    <w:rsid w:val="00BE0076"/>
    <w:rsid w:val="00BE0311"/>
    <w:rsid w:val="00BE15FA"/>
    <w:rsid w:val="00BE18C3"/>
    <w:rsid w:val="00BE1ECA"/>
    <w:rsid w:val="00BE2026"/>
    <w:rsid w:val="00BE3A7C"/>
    <w:rsid w:val="00BE5EA8"/>
    <w:rsid w:val="00BE615B"/>
    <w:rsid w:val="00BE779A"/>
    <w:rsid w:val="00BE7D8D"/>
    <w:rsid w:val="00BE7DFA"/>
    <w:rsid w:val="00BF0635"/>
    <w:rsid w:val="00BF20DF"/>
    <w:rsid w:val="00BF3496"/>
    <w:rsid w:val="00BF3B03"/>
    <w:rsid w:val="00BF420B"/>
    <w:rsid w:val="00BF439F"/>
    <w:rsid w:val="00BF4A9A"/>
    <w:rsid w:val="00BF5F32"/>
    <w:rsid w:val="00BF70A3"/>
    <w:rsid w:val="00BF7146"/>
    <w:rsid w:val="00BF7624"/>
    <w:rsid w:val="00BF7996"/>
    <w:rsid w:val="00C0020C"/>
    <w:rsid w:val="00C01E88"/>
    <w:rsid w:val="00C037C1"/>
    <w:rsid w:val="00C04CD3"/>
    <w:rsid w:val="00C0508F"/>
    <w:rsid w:val="00C05322"/>
    <w:rsid w:val="00C05A0F"/>
    <w:rsid w:val="00C0714F"/>
    <w:rsid w:val="00C102ED"/>
    <w:rsid w:val="00C11E68"/>
    <w:rsid w:val="00C14706"/>
    <w:rsid w:val="00C147B7"/>
    <w:rsid w:val="00C1576B"/>
    <w:rsid w:val="00C161E6"/>
    <w:rsid w:val="00C162E6"/>
    <w:rsid w:val="00C168B5"/>
    <w:rsid w:val="00C16EFB"/>
    <w:rsid w:val="00C177D4"/>
    <w:rsid w:val="00C20A1D"/>
    <w:rsid w:val="00C21646"/>
    <w:rsid w:val="00C2195A"/>
    <w:rsid w:val="00C23ABF"/>
    <w:rsid w:val="00C23EE3"/>
    <w:rsid w:val="00C261AF"/>
    <w:rsid w:val="00C261C7"/>
    <w:rsid w:val="00C26454"/>
    <w:rsid w:val="00C26BBB"/>
    <w:rsid w:val="00C26D14"/>
    <w:rsid w:val="00C2764E"/>
    <w:rsid w:val="00C27D68"/>
    <w:rsid w:val="00C300B3"/>
    <w:rsid w:val="00C31191"/>
    <w:rsid w:val="00C3198D"/>
    <w:rsid w:val="00C319AA"/>
    <w:rsid w:val="00C321B5"/>
    <w:rsid w:val="00C325D2"/>
    <w:rsid w:val="00C32EBC"/>
    <w:rsid w:val="00C33824"/>
    <w:rsid w:val="00C34071"/>
    <w:rsid w:val="00C34C22"/>
    <w:rsid w:val="00C35102"/>
    <w:rsid w:val="00C37683"/>
    <w:rsid w:val="00C40DE3"/>
    <w:rsid w:val="00C428D8"/>
    <w:rsid w:val="00C42DB4"/>
    <w:rsid w:val="00C42F2A"/>
    <w:rsid w:val="00C44814"/>
    <w:rsid w:val="00C4714F"/>
    <w:rsid w:val="00C47423"/>
    <w:rsid w:val="00C47A71"/>
    <w:rsid w:val="00C50675"/>
    <w:rsid w:val="00C50AE3"/>
    <w:rsid w:val="00C5222B"/>
    <w:rsid w:val="00C52AD1"/>
    <w:rsid w:val="00C551C2"/>
    <w:rsid w:val="00C55637"/>
    <w:rsid w:val="00C56C25"/>
    <w:rsid w:val="00C575CB"/>
    <w:rsid w:val="00C576A7"/>
    <w:rsid w:val="00C57D06"/>
    <w:rsid w:val="00C57DD3"/>
    <w:rsid w:val="00C62488"/>
    <w:rsid w:val="00C62B6D"/>
    <w:rsid w:val="00C6432B"/>
    <w:rsid w:val="00C64B01"/>
    <w:rsid w:val="00C65D80"/>
    <w:rsid w:val="00C66DD3"/>
    <w:rsid w:val="00C66FD1"/>
    <w:rsid w:val="00C6736D"/>
    <w:rsid w:val="00C67C02"/>
    <w:rsid w:val="00C7178C"/>
    <w:rsid w:val="00C71CF6"/>
    <w:rsid w:val="00C71E21"/>
    <w:rsid w:val="00C72391"/>
    <w:rsid w:val="00C728C9"/>
    <w:rsid w:val="00C72902"/>
    <w:rsid w:val="00C75715"/>
    <w:rsid w:val="00C75B93"/>
    <w:rsid w:val="00C760D4"/>
    <w:rsid w:val="00C76B00"/>
    <w:rsid w:val="00C83507"/>
    <w:rsid w:val="00C83BC7"/>
    <w:rsid w:val="00C83D86"/>
    <w:rsid w:val="00C84B08"/>
    <w:rsid w:val="00C854DA"/>
    <w:rsid w:val="00C8583A"/>
    <w:rsid w:val="00C859FC"/>
    <w:rsid w:val="00C872DA"/>
    <w:rsid w:val="00C877DB"/>
    <w:rsid w:val="00C87C72"/>
    <w:rsid w:val="00C87D36"/>
    <w:rsid w:val="00C906A8"/>
    <w:rsid w:val="00C9490B"/>
    <w:rsid w:val="00C9770E"/>
    <w:rsid w:val="00C97ABE"/>
    <w:rsid w:val="00C97FBF"/>
    <w:rsid w:val="00C97FCC"/>
    <w:rsid w:val="00CA044E"/>
    <w:rsid w:val="00CA23D8"/>
    <w:rsid w:val="00CA2606"/>
    <w:rsid w:val="00CA28C7"/>
    <w:rsid w:val="00CA2D57"/>
    <w:rsid w:val="00CA6744"/>
    <w:rsid w:val="00CA7368"/>
    <w:rsid w:val="00CB0D8F"/>
    <w:rsid w:val="00CB2D90"/>
    <w:rsid w:val="00CB39EC"/>
    <w:rsid w:val="00CB41AD"/>
    <w:rsid w:val="00CB5E9E"/>
    <w:rsid w:val="00CB619F"/>
    <w:rsid w:val="00CB68CB"/>
    <w:rsid w:val="00CB74CE"/>
    <w:rsid w:val="00CC1CBA"/>
    <w:rsid w:val="00CC232F"/>
    <w:rsid w:val="00CC24E1"/>
    <w:rsid w:val="00CC257C"/>
    <w:rsid w:val="00CC2E06"/>
    <w:rsid w:val="00CC360B"/>
    <w:rsid w:val="00CC3DEE"/>
    <w:rsid w:val="00CC43CD"/>
    <w:rsid w:val="00CD1445"/>
    <w:rsid w:val="00CD149D"/>
    <w:rsid w:val="00CD1A60"/>
    <w:rsid w:val="00CD39F8"/>
    <w:rsid w:val="00CD3C25"/>
    <w:rsid w:val="00CD4786"/>
    <w:rsid w:val="00CD5E39"/>
    <w:rsid w:val="00CD6194"/>
    <w:rsid w:val="00CD7976"/>
    <w:rsid w:val="00CE0207"/>
    <w:rsid w:val="00CE1960"/>
    <w:rsid w:val="00CE1BEC"/>
    <w:rsid w:val="00CE2578"/>
    <w:rsid w:val="00CE27D7"/>
    <w:rsid w:val="00CE3589"/>
    <w:rsid w:val="00CE42FE"/>
    <w:rsid w:val="00CE48E8"/>
    <w:rsid w:val="00CE4AF6"/>
    <w:rsid w:val="00CE5669"/>
    <w:rsid w:val="00CE57E1"/>
    <w:rsid w:val="00CE5C21"/>
    <w:rsid w:val="00CE6FCC"/>
    <w:rsid w:val="00CE72D7"/>
    <w:rsid w:val="00CE7517"/>
    <w:rsid w:val="00CE7982"/>
    <w:rsid w:val="00CE7E26"/>
    <w:rsid w:val="00CF0B63"/>
    <w:rsid w:val="00CF2989"/>
    <w:rsid w:val="00CF34EE"/>
    <w:rsid w:val="00CF35DA"/>
    <w:rsid w:val="00CF3F75"/>
    <w:rsid w:val="00CF4476"/>
    <w:rsid w:val="00CF6818"/>
    <w:rsid w:val="00CF70F9"/>
    <w:rsid w:val="00D01CA6"/>
    <w:rsid w:val="00D01FE1"/>
    <w:rsid w:val="00D028C9"/>
    <w:rsid w:val="00D03766"/>
    <w:rsid w:val="00D03B54"/>
    <w:rsid w:val="00D04A21"/>
    <w:rsid w:val="00D0652C"/>
    <w:rsid w:val="00D077EA"/>
    <w:rsid w:val="00D078D1"/>
    <w:rsid w:val="00D07978"/>
    <w:rsid w:val="00D107C2"/>
    <w:rsid w:val="00D11D48"/>
    <w:rsid w:val="00D155E9"/>
    <w:rsid w:val="00D16E6B"/>
    <w:rsid w:val="00D17129"/>
    <w:rsid w:val="00D17BF6"/>
    <w:rsid w:val="00D20807"/>
    <w:rsid w:val="00D21841"/>
    <w:rsid w:val="00D21A75"/>
    <w:rsid w:val="00D2230E"/>
    <w:rsid w:val="00D23A80"/>
    <w:rsid w:val="00D240EF"/>
    <w:rsid w:val="00D25BFA"/>
    <w:rsid w:val="00D277A0"/>
    <w:rsid w:val="00D307DD"/>
    <w:rsid w:val="00D30AAA"/>
    <w:rsid w:val="00D31332"/>
    <w:rsid w:val="00D31383"/>
    <w:rsid w:val="00D322B4"/>
    <w:rsid w:val="00D3260A"/>
    <w:rsid w:val="00D32BC4"/>
    <w:rsid w:val="00D3480E"/>
    <w:rsid w:val="00D34A09"/>
    <w:rsid w:val="00D356F3"/>
    <w:rsid w:val="00D35947"/>
    <w:rsid w:val="00D35961"/>
    <w:rsid w:val="00D35AA7"/>
    <w:rsid w:val="00D36E0B"/>
    <w:rsid w:val="00D37CA3"/>
    <w:rsid w:val="00D40ED6"/>
    <w:rsid w:val="00D413E4"/>
    <w:rsid w:val="00D41509"/>
    <w:rsid w:val="00D41552"/>
    <w:rsid w:val="00D417E3"/>
    <w:rsid w:val="00D41CDD"/>
    <w:rsid w:val="00D42303"/>
    <w:rsid w:val="00D4291C"/>
    <w:rsid w:val="00D439F1"/>
    <w:rsid w:val="00D44BB7"/>
    <w:rsid w:val="00D44FA7"/>
    <w:rsid w:val="00D46745"/>
    <w:rsid w:val="00D46F51"/>
    <w:rsid w:val="00D50FE7"/>
    <w:rsid w:val="00D5398D"/>
    <w:rsid w:val="00D55C2E"/>
    <w:rsid w:val="00D55E2C"/>
    <w:rsid w:val="00D5638E"/>
    <w:rsid w:val="00D56CB9"/>
    <w:rsid w:val="00D57185"/>
    <w:rsid w:val="00D60211"/>
    <w:rsid w:val="00D609F1"/>
    <w:rsid w:val="00D6135C"/>
    <w:rsid w:val="00D61D00"/>
    <w:rsid w:val="00D6237A"/>
    <w:rsid w:val="00D628A5"/>
    <w:rsid w:val="00D62EEE"/>
    <w:rsid w:val="00D62F16"/>
    <w:rsid w:val="00D6311D"/>
    <w:rsid w:val="00D644E9"/>
    <w:rsid w:val="00D649B9"/>
    <w:rsid w:val="00D64C2B"/>
    <w:rsid w:val="00D6737A"/>
    <w:rsid w:val="00D6752F"/>
    <w:rsid w:val="00D7073F"/>
    <w:rsid w:val="00D70961"/>
    <w:rsid w:val="00D70CC2"/>
    <w:rsid w:val="00D72135"/>
    <w:rsid w:val="00D72731"/>
    <w:rsid w:val="00D7300D"/>
    <w:rsid w:val="00D734C6"/>
    <w:rsid w:val="00D75821"/>
    <w:rsid w:val="00D76254"/>
    <w:rsid w:val="00D77622"/>
    <w:rsid w:val="00D808BA"/>
    <w:rsid w:val="00D80EFE"/>
    <w:rsid w:val="00D81876"/>
    <w:rsid w:val="00D83D77"/>
    <w:rsid w:val="00D85232"/>
    <w:rsid w:val="00D86AFB"/>
    <w:rsid w:val="00D87A9D"/>
    <w:rsid w:val="00D87C8A"/>
    <w:rsid w:val="00D90F2F"/>
    <w:rsid w:val="00D910C0"/>
    <w:rsid w:val="00D92CF5"/>
    <w:rsid w:val="00D93907"/>
    <w:rsid w:val="00D93AFF"/>
    <w:rsid w:val="00D949F5"/>
    <w:rsid w:val="00D94BBC"/>
    <w:rsid w:val="00D976F3"/>
    <w:rsid w:val="00DA0534"/>
    <w:rsid w:val="00DA18F7"/>
    <w:rsid w:val="00DA1D2F"/>
    <w:rsid w:val="00DA1D87"/>
    <w:rsid w:val="00DA2576"/>
    <w:rsid w:val="00DA481C"/>
    <w:rsid w:val="00DA765C"/>
    <w:rsid w:val="00DB05B9"/>
    <w:rsid w:val="00DB21CF"/>
    <w:rsid w:val="00DB24DA"/>
    <w:rsid w:val="00DB28F3"/>
    <w:rsid w:val="00DB2DED"/>
    <w:rsid w:val="00DB319B"/>
    <w:rsid w:val="00DB4453"/>
    <w:rsid w:val="00DB548D"/>
    <w:rsid w:val="00DB5A0D"/>
    <w:rsid w:val="00DB7687"/>
    <w:rsid w:val="00DB7EA1"/>
    <w:rsid w:val="00DC0133"/>
    <w:rsid w:val="00DC1DD8"/>
    <w:rsid w:val="00DC20BF"/>
    <w:rsid w:val="00DC4AE8"/>
    <w:rsid w:val="00DC67FD"/>
    <w:rsid w:val="00DC7884"/>
    <w:rsid w:val="00DD0F65"/>
    <w:rsid w:val="00DD1BEF"/>
    <w:rsid w:val="00DD1D83"/>
    <w:rsid w:val="00DD1F27"/>
    <w:rsid w:val="00DD52FF"/>
    <w:rsid w:val="00DD6E4D"/>
    <w:rsid w:val="00DD7066"/>
    <w:rsid w:val="00DD7831"/>
    <w:rsid w:val="00DD7C27"/>
    <w:rsid w:val="00DE1B0C"/>
    <w:rsid w:val="00DE2E96"/>
    <w:rsid w:val="00DE3425"/>
    <w:rsid w:val="00DE42A8"/>
    <w:rsid w:val="00DE4FC3"/>
    <w:rsid w:val="00DE5F80"/>
    <w:rsid w:val="00DE636D"/>
    <w:rsid w:val="00DE6470"/>
    <w:rsid w:val="00DE6665"/>
    <w:rsid w:val="00DE6C93"/>
    <w:rsid w:val="00DE7FF8"/>
    <w:rsid w:val="00DF0637"/>
    <w:rsid w:val="00DF1336"/>
    <w:rsid w:val="00DF1730"/>
    <w:rsid w:val="00DF1B0E"/>
    <w:rsid w:val="00DF381E"/>
    <w:rsid w:val="00DF3BC5"/>
    <w:rsid w:val="00DF3D62"/>
    <w:rsid w:val="00DF42D3"/>
    <w:rsid w:val="00DF64AC"/>
    <w:rsid w:val="00DF7150"/>
    <w:rsid w:val="00E00C5C"/>
    <w:rsid w:val="00E016A5"/>
    <w:rsid w:val="00E02B62"/>
    <w:rsid w:val="00E04896"/>
    <w:rsid w:val="00E04AE7"/>
    <w:rsid w:val="00E04C4A"/>
    <w:rsid w:val="00E05681"/>
    <w:rsid w:val="00E116F9"/>
    <w:rsid w:val="00E130E4"/>
    <w:rsid w:val="00E14081"/>
    <w:rsid w:val="00E14C4E"/>
    <w:rsid w:val="00E14E97"/>
    <w:rsid w:val="00E15988"/>
    <w:rsid w:val="00E16AA6"/>
    <w:rsid w:val="00E20E05"/>
    <w:rsid w:val="00E21037"/>
    <w:rsid w:val="00E2171A"/>
    <w:rsid w:val="00E22CF8"/>
    <w:rsid w:val="00E22E94"/>
    <w:rsid w:val="00E22FE0"/>
    <w:rsid w:val="00E238A0"/>
    <w:rsid w:val="00E26D9E"/>
    <w:rsid w:val="00E2706A"/>
    <w:rsid w:val="00E27F68"/>
    <w:rsid w:val="00E30809"/>
    <w:rsid w:val="00E31236"/>
    <w:rsid w:val="00E31A8A"/>
    <w:rsid w:val="00E32111"/>
    <w:rsid w:val="00E32125"/>
    <w:rsid w:val="00E3235A"/>
    <w:rsid w:val="00E328D8"/>
    <w:rsid w:val="00E33244"/>
    <w:rsid w:val="00E33701"/>
    <w:rsid w:val="00E344B8"/>
    <w:rsid w:val="00E34E91"/>
    <w:rsid w:val="00E352C1"/>
    <w:rsid w:val="00E3726F"/>
    <w:rsid w:val="00E3728A"/>
    <w:rsid w:val="00E372D9"/>
    <w:rsid w:val="00E37DCB"/>
    <w:rsid w:val="00E41FA0"/>
    <w:rsid w:val="00E42490"/>
    <w:rsid w:val="00E42861"/>
    <w:rsid w:val="00E42F66"/>
    <w:rsid w:val="00E437BA"/>
    <w:rsid w:val="00E43C79"/>
    <w:rsid w:val="00E474DB"/>
    <w:rsid w:val="00E47F3B"/>
    <w:rsid w:val="00E52E3B"/>
    <w:rsid w:val="00E52F91"/>
    <w:rsid w:val="00E5347F"/>
    <w:rsid w:val="00E534B3"/>
    <w:rsid w:val="00E562C8"/>
    <w:rsid w:val="00E56D51"/>
    <w:rsid w:val="00E57007"/>
    <w:rsid w:val="00E57719"/>
    <w:rsid w:val="00E608A3"/>
    <w:rsid w:val="00E61C91"/>
    <w:rsid w:val="00E62632"/>
    <w:rsid w:val="00E63F0F"/>
    <w:rsid w:val="00E64612"/>
    <w:rsid w:val="00E65E3C"/>
    <w:rsid w:val="00E65EBB"/>
    <w:rsid w:val="00E7067B"/>
    <w:rsid w:val="00E70FA6"/>
    <w:rsid w:val="00E71084"/>
    <w:rsid w:val="00E724A8"/>
    <w:rsid w:val="00E72ABE"/>
    <w:rsid w:val="00E72E99"/>
    <w:rsid w:val="00E72E9C"/>
    <w:rsid w:val="00E7314C"/>
    <w:rsid w:val="00E7321A"/>
    <w:rsid w:val="00E7542D"/>
    <w:rsid w:val="00E76600"/>
    <w:rsid w:val="00E770B5"/>
    <w:rsid w:val="00E80DD7"/>
    <w:rsid w:val="00E81187"/>
    <w:rsid w:val="00E81632"/>
    <w:rsid w:val="00E82D4E"/>
    <w:rsid w:val="00E84395"/>
    <w:rsid w:val="00E847C2"/>
    <w:rsid w:val="00E86F2D"/>
    <w:rsid w:val="00E87F41"/>
    <w:rsid w:val="00E91D7A"/>
    <w:rsid w:val="00E92A7E"/>
    <w:rsid w:val="00E92C2F"/>
    <w:rsid w:val="00E933BC"/>
    <w:rsid w:val="00E9365C"/>
    <w:rsid w:val="00E93D8F"/>
    <w:rsid w:val="00E9430E"/>
    <w:rsid w:val="00E95008"/>
    <w:rsid w:val="00E9542F"/>
    <w:rsid w:val="00E95B52"/>
    <w:rsid w:val="00E9731D"/>
    <w:rsid w:val="00E97DF5"/>
    <w:rsid w:val="00EA0874"/>
    <w:rsid w:val="00EA0D93"/>
    <w:rsid w:val="00EA0F6D"/>
    <w:rsid w:val="00EA1670"/>
    <w:rsid w:val="00EA2735"/>
    <w:rsid w:val="00EA2C5F"/>
    <w:rsid w:val="00EA71D9"/>
    <w:rsid w:val="00EA73C4"/>
    <w:rsid w:val="00EA77FA"/>
    <w:rsid w:val="00EB0358"/>
    <w:rsid w:val="00EB0F75"/>
    <w:rsid w:val="00EB2AE1"/>
    <w:rsid w:val="00EB3C3A"/>
    <w:rsid w:val="00EB4FAA"/>
    <w:rsid w:val="00EB5125"/>
    <w:rsid w:val="00EB55E5"/>
    <w:rsid w:val="00EB77C0"/>
    <w:rsid w:val="00EC0190"/>
    <w:rsid w:val="00EC0754"/>
    <w:rsid w:val="00EC0BE2"/>
    <w:rsid w:val="00EC0EAD"/>
    <w:rsid w:val="00EC14D5"/>
    <w:rsid w:val="00EC18BD"/>
    <w:rsid w:val="00EC46B2"/>
    <w:rsid w:val="00EC51DB"/>
    <w:rsid w:val="00EC58F7"/>
    <w:rsid w:val="00EC5929"/>
    <w:rsid w:val="00EC6149"/>
    <w:rsid w:val="00EC6D4F"/>
    <w:rsid w:val="00EC7883"/>
    <w:rsid w:val="00ED096D"/>
    <w:rsid w:val="00ED0BA4"/>
    <w:rsid w:val="00ED0F33"/>
    <w:rsid w:val="00ED1AE2"/>
    <w:rsid w:val="00ED1B87"/>
    <w:rsid w:val="00ED1C07"/>
    <w:rsid w:val="00ED2298"/>
    <w:rsid w:val="00ED2656"/>
    <w:rsid w:val="00ED32F0"/>
    <w:rsid w:val="00ED380B"/>
    <w:rsid w:val="00ED3C6A"/>
    <w:rsid w:val="00ED466F"/>
    <w:rsid w:val="00ED4871"/>
    <w:rsid w:val="00ED5AB6"/>
    <w:rsid w:val="00ED6CA5"/>
    <w:rsid w:val="00ED7736"/>
    <w:rsid w:val="00EE00F8"/>
    <w:rsid w:val="00EE0CF5"/>
    <w:rsid w:val="00EE1594"/>
    <w:rsid w:val="00EE1834"/>
    <w:rsid w:val="00EE2B14"/>
    <w:rsid w:val="00EE2B9E"/>
    <w:rsid w:val="00EE3BC1"/>
    <w:rsid w:val="00EE4EC5"/>
    <w:rsid w:val="00EE53D2"/>
    <w:rsid w:val="00EE59A4"/>
    <w:rsid w:val="00EE5C99"/>
    <w:rsid w:val="00EE5FCA"/>
    <w:rsid w:val="00EE63A5"/>
    <w:rsid w:val="00EF14E5"/>
    <w:rsid w:val="00EF19ED"/>
    <w:rsid w:val="00EF3141"/>
    <w:rsid w:val="00EF38FA"/>
    <w:rsid w:val="00EF3B99"/>
    <w:rsid w:val="00EF46FE"/>
    <w:rsid w:val="00EF4CF4"/>
    <w:rsid w:val="00EF5E50"/>
    <w:rsid w:val="00EF6725"/>
    <w:rsid w:val="00EF75F6"/>
    <w:rsid w:val="00F0122A"/>
    <w:rsid w:val="00F01645"/>
    <w:rsid w:val="00F01F02"/>
    <w:rsid w:val="00F02208"/>
    <w:rsid w:val="00F0471D"/>
    <w:rsid w:val="00F05DB1"/>
    <w:rsid w:val="00F06C38"/>
    <w:rsid w:val="00F06FAA"/>
    <w:rsid w:val="00F07F75"/>
    <w:rsid w:val="00F1067F"/>
    <w:rsid w:val="00F11C96"/>
    <w:rsid w:val="00F12D66"/>
    <w:rsid w:val="00F138C7"/>
    <w:rsid w:val="00F14974"/>
    <w:rsid w:val="00F166DA"/>
    <w:rsid w:val="00F16C52"/>
    <w:rsid w:val="00F17190"/>
    <w:rsid w:val="00F17B93"/>
    <w:rsid w:val="00F2077D"/>
    <w:rsid w:val="00F208EE"/>
    <w:rsid w:val="00F21B92"/>
    <w:rsid w:val="00F22C69"/>
    <w:rsid w:val="00F22DE4"/>
    <w:rsid w:val="00F22FAC"/>
    <w:rsid w:val="00F2371D"/>
    <w:rsid w:val="00F23954"/>
    <w:rsid w:val="00F2538F"/>
    <w:rsid w:val="00F30FA1"/>
    <w:rsid w:val="00F30FAE"/>
    <w:rsid w:val="00F310FA"/>
    <w:rsid w:val="00F3160F"/>
    <w:rsid w:val="00F3182C"/>
    <w:rsid w:val="00F32038"/>
    <w:rsid w:val="00F32E3A"/>
    <w:rsid w:val="00F33757"/>
    <w:rsid w:val="00F33F4D"/>
    <w:rsid w:val="00F34081"/>
    <w:rsid w:val="00F342A8"/>
    <w:rsid w:val="00F34B5A"/>
    <w:rsid w:val="00F353A8"/>
    <w:rsid w:val="00F35578"/>
    <w:rsid w:val="00F35C9C"/>
    <w:rsid w:val="00F36408"/>
    <w:rsid w:val="00F37196"/>
    <w:rsid w:val="00F374BF"/>
    <w:rsid w:val="00F377A1"/>
    <w:rsid w:val="00F40D0D"/>
    <w:rsid w:val="00F40F38"/>
    <w:rsid w:val="00F41828"/>
    <w:rsid w:val="00F4323D"/>
    <w:rsid w:val="00F43875"/>
    <w:rsid w:val="00F450C4"/>
    <w:rsid w:val="00F4540F"/>
    <w:rsid w:val="00F4644B"/>
    <w:rsid w:val="00F46EC5"/>
    <w:rsid w:val="00F473BB"/>
    <w:rsid w:val="00F479F6"/>
    <w:rsid w:val="00F47A11"/>
    <w:rsid w:val="00F50D94"/>
    <w:rsid w:val="00F50E45"/>
    <w:rsid w:val="00F50FD4"/>
    <w:rsid w:val="00F51029"/>
    <w:rsid w:val="00F5139B"/>
    <w:rsid w:val="00F518EF"/>
    <w:rsid w:val="00F52E39"/>
    <w:rsid w:val="00F5338D"/>
    <w:rsid w:val="00F546F5"/>
    <w:rsid w:val="00F54A3E"/>
    <w:rsid w:val="00F54AE3"/>
    <w:rsid w:val="00F54DDE"/>
    <w:rsid w:val="00F5561E"/>
    <w:rsid w:val="00F55FA7"/>
    <w:rsid w:val="00F569E1"/>
    <w:rsid w:val="00F61358"/>
    <w:rsid w:val="00F62B74"/>
    <w:rsid w:val="00F62CA5"/>
    <w:rsid w:val="00F645DD"/>
    <w:rsid w:val="00F65D61"/>
    <w:rsid w:val="00F67D94"/>
    <w:rsid w:val="00F70C50"/>
    <w:rsid w:val="00F71020"/>
    <w:rsid w:val="00F72BC8"/>
    <w:rsid w:val="00F73569"/>
    <w:rsid w:val="00F747EE"/>
    <w:rsid w:val="00F759BD"/>
    <w:rsid w:val="00F75E82"/>
    <w:rsid w:val="00F76426"/>
    <w:rsid w:val="00F808E1"/>
    <w:rsid w:val="00F809CB"/>
    <w:rsid w:val="00F823EF"/>
    <w:rsid w:val="00F83806"/>
    <w:rsid w:val="00F85F11"/>
    <w:rsid w:val="00F86944"/>
    <w:rsid w:val="00F86D6B"/>
    <w:rsid w:val="00F9009A"/>
    <w:rsid w:val="00F90A25"/>
    <w:rsid w:val="00F910C9"/>
    <w:rsid w:val="00F91BA6"/>
    <w:rsid w:val="00F92930"/>
    <w:rsid w:val="00F93994"/>
    <w:rsid w:val="00F95F88"/>
    <w:rsid w:val="00F95FF5"/>
    <w:rsid w:val="00F96011"/>
    <w:rsid w:val="00F962BB"/>
    <w:rsid w:val="00F970B0"/>
    <w:rsid w:val="00F97EB8"/>
    <w:rsid w:val="00F97FEC"/>
    <w:rsid w:val="00FA0D3C"/>
    <w:rsid w:val="00FA259F"/>
    <w:rsid w:val="00FA2833"/>
    <w:rsid w:val="00FA2D09"/>
    <w:rsid w:val="00FA6A74"/>
    <w:rsid w:val="00FA7A52"/>
    <w:rsid w:val="00FA7E81"/>
    <w:rsid w:val="00FB09E3"/>
    <w:rsid w:val="00FB0CDD"/>
    <w:rsid w:val="00FB29BA"/>
    <w:rsid w:val="00FB3090"/>
    <w:rsid w:val="00FB37E6"/>
    <w:rsid w:val="00FB3BBA"/>
    <w:rsid w:val="00FB6DC8"/>
    <w:rsid w:val="00FB7117"/>
    <w:rsid w:val="00FB75DB"/>
    <w:rsid w:val="00FB7BE7"/>
    <w:rsid w:val="00FC0128"/>
    <w:rsid w:val="00FC06E3"/>
    <w:rsid w:val="00FC1B28"/>
    <w:rsid w:val="00FC33EB"/>
    <w:rsid w:val="00FC3869"/>
    <w:rsid w:val="00FC7200"/>
    <w:rsid w:val="00FD0224"/>
    <w:rsid w:val="00FD1927"/>
    <w:rsid w:val="00FD1B03"/>
    <w:rsid w:val="00FD261C"/>
    <w:rsid w:val="00FD3432"/>
    <w:rsid w:val="00FD5901"/>
    <w:rsid w:val="00FD64A3"/>
    <w:rsid w:val="00FD6994"/>
    <w:rsid w:val="00FD70D4"/>
    <w:rsid w:val="00FD7126"/>
    <w:rsid w:val="00FD7334"/>
    <w:rsid w:val="00FD7F7B"/>
    <w:rsid w:val="00FE1207"/>
    <w:rsid w:val="00FE17B0"/>
    <w:rsid w:val="00FE1BDE"/>
    <w:rsid w:val="00FE1E19"/>
    <w:rsid w:val="00FE2DCA"/>
    <w:rsid w:val="00FF0894"/>
    <w:rsid w:val="00FF0F82"/>
    <w:rsid w:val="00FF3124"/>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261E3"/>
  <w14:defaultImageDpi w14:val="300"/>
  <w15:docId w15:val="{31268635-B7E7-C543-9647-D1582737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624"/>
    <w:rPr>
      <w:rFonts w:ascii="Times New Roman" w:eastAsia="Times New Roman" w:hAnsi="Times New Roman" w:cs="Times New Roman"/>
    </w:rPr>
  </w:style>
  <w:style w:type="paragraph" w:styleId="Heading1">
    <w:name w:val="heading 1"/>
    <w:basedOn w:val="Normal"/>
    <w:link w:val="Heading1Char"/>
    <w:uiPriority w:val="9"/>
    <w:qFormat/>
    <w:rsid w:val="0002057E"/>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link w:val="Heading2Char"/>
    <w:uiPriority w:val="9"/>
    <w:qFormat/>
    <w:rsid w:val="0002057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02057E"/>
    <w:pPr>
      <w:spacing w:before="100" w:beforeAutospacing="1" w:after="100" w:afterAutospacing="1"/>
      <w:outlineLvl w:val="2"/>
    </w:pPr>
    <w:rPr>
      <w:rFonts w:ascii="Times" w:hAnsi="Times" w:cstheme="minorBidi"/>
      <w:b/>
      <w:bCs/>
      <w:sz w:val="27"/>
      <w:szCs w:val="27"/>
    </w:rPr>
  </w:style>
  <w:style w:type="paragraph" w:styleId="Heading4">
    <w:name w:val="heading 4"/>
    <w:basedOn w:val="Normal"/>
    <w:link w:val="Heading4Char"/>
    <w:uiPriority w:val="9"/>
    <w:qFormat/>
    <w:rsid w:val="0002057E"/>
    <w:pPr>
      <w:spacing w:before="100" w:beforeAutospacing="1" w:after="100" w:afterAutospacing="1"/>
      <w:outlineLvl w:val="3"/>
    </w:pPr>
    <w:rPr>
      <w:rFonts w:ascii="Times" w:hAnsi="Times" w:cstheme="minorBidi"/>
      <w:b/>
      <w:bCs/>
    </w:rPr>
  </w:style>
  <w:style w:type="paragraph" w:styleId="Heading6">
    <w:name w:val="heading 6"/>
    <w:basedOn w:val="Normal"/>
    <w:next w:val="Normal"/>
    <w:link w:val="Heading6Char"/>
    <w:uiPriority w:val="9"/>
    <w:semiHidden/>
    <w:unhideWhenUsed/>
    <w:qFormat/>
    <w:rsid w:val="006149C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6B5"/>
    <w:rPr>
      <w:rFonts w:ascii="Lucida Grande" w:hAnsi="Lucida Grande" w:cs="Lucida Grande"/>
      <w:sz w:val="18"/>
      <w:szCs w:val="18"/>
    </w:rPr>
  </w:style>
  <w:style w:type="paragraph" w:styleId="FootnoteText">
    <w:name w:val="footnote text"/>
    <w:basedOn w:val="Normal"/>
    <w:link w:val="FootnoteTextChar"/>
    <w:uiPriority w:val="99"/>
    <w:unhideWhenUsed/>
    <w:rsid w:val="000D71B5"/>
    <w:rPr>
      <w:rFonts w:asciiTheme="minorHAnsi" w:hAnsiTheme="minorHAnsi" w:cstheme="minorBidi"/>
    </w:rPr>
  </w:style>
  <w:style w:type="character" w:customStyle="1" w:styleId="FootnoteTextChar">
    <w:name w:val="Footnote Text Char"/>
    <w:basedOn w:val="DefaultParagraphFont"/>
    <w:link w:val="FootnoteText"/>
    <w:uiPriority w:val="99"/>
    <w:rsid w:val="000D71B5"/>
  </w:style>
  <w:style w:type="character" w:styleId="FootnoteReference">
    <w:name w:val="footnote reference"/>
    <w:basedOn w:val="DefaultParagraphFont"/>
    <w:uiPriority w:val="99"/>
    <w:unhideWhenUsed/>
    <w:rsid w:val="000D71B5"/>
    <w:rPr>
      <w:vertAlign w:val="superscript"/>
    </w:rPr>
  </w:style>
  <w:style w:type="paragraph" w:styleId="Header">
    <w:name w:val="header"/>
    <w:basedOn w:val="Normal"/>
    <w:link w:val="HeaderChar"/>
    <w:unhideWhenUsed/>
    <w:rsid w:val="0045369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rsid w:val="0045369D"/>
  </w:style>
  <w:style w:type="paragraph" w:styleId="Footer">
    <w:name w:val="footer"/>
    <w:basedOn w:val="Normal"/>
    <w:link w:val="FooterChar"/>
    <w:uiPriority w:val="99"/>
    <w:unhideWhenUsed/>
    <w:rsid w:val="0045369D"/>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5369D"/>
  </w:style>
  <w:style w:type="character" w:customStyle="1" w:styleId="Heading1Char">
    <w:name w:val="Heading 1 Char"/>
    <w:basedOn w:val="DefaultParagraphFont"/>
    <w:link w:val="Heading1"/>
    <w:uiPriority w:val="9"/>
    <w:rsid w:val="0002057E"/>
    <w:rPr>
      <w:rFonts w:ascii="Times" w:hAnsi="Times"/>
      <w:b/>
      <w:bCs/>
      <w:kern w:val="36"/>
      <w:sz w:val="48"/>
      <w:szCs w:val="48"/>
    </w:rPr>
  </w:style>
  <w:style w:type="character" w:customStyle="1" w:styleId="Heading2Char">
    <w:name w:val="Heading 2 Char"/>
    <w:basedOn w:val="DefaultParagraphFont"/>
    <w:link w:val="Heading2"/>
    <w:uiPriority w:val="9"/>
    <w:rsid w:val="0002057E"/>
    <w:rPr>
      <w:rFonts w:ascii="Times" w:hAnsi="Times"/>
      <w:b/>
      <w:bCs/>
      <w:sz w:val="36"/>
      <w:szCs w:val="36"/>
    </w:rPr>
  </w:style>
  <w:style w:type="character" w:customStyle="1" w:styleId="Heading3Char">
    <w:name w:val="Heading 3 Char"/>
    <w:basedOn w:val="DefaultParagraphFont"/>
    <w:link w:val="Heading3"/>
    <w:uiPriority w:val="9"/>
    <w:rsid w:val="0002057E"/>
    <w:rPr>
      <w:rFonts w:ascii="Times" w:hAnsi="Times"/>
      <w:b/>
      <w:bCs/>
      <w:sz w:val="27"/>
      <w:szCs w:val="27"/>
    </w:rPr>
  </w:style>
  <w:style w:type="character" w:customStyle="1" w:styleId="Heading4Char">
    <w:name w:val="Heading 4 Char"/>
    <w:basedOn w:val="DefaultParagraphFont"/>
    <w:link w:val="Heading4"/>
    <w:uiPriority w:val="9"/>
    <w:rsid w:val="0002057E"/>
    <w:rPr>
      <w:rFonts w:ascii="Times" w:hAnsi="Times"/>
      <w:b/>
      <w:bCs/>
    </w:rPr>
  </w:style>
  <w:style w:type="paragraph" w:styleId="NormalWeb">
    <w:name w:val="Normal (Web)"/>
    <w:basedOn w:val="Normal"/>
    <w:uiPriority w:val="99"/>
    <w:unhideWhenUsed/>
    <w:rsid w:val="0002057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2057E"/>
  </w:style>
  <w:style w:type="character" w:styleId="Hyperlink">
    <w:name w:val="Hyperlink"/>
    <w:basedOn w:val="DefaultParagraphFont"/>
    <w:uiPriority w:val="99"/>
    <w:unhideWhenUsed/>
    <w:rsid w:val="0002057E"/>
    <w:rPr>
      <w:color w:val="0000FF"/>
      <w:u w:val="single"/>
    </w:rPr>
  </w:style>
  <w:style w:type="paragraph" w:customStyle="1" w:styleId="caff">
    <w:name w:val="caff"/>
    <w:basedOn w:val="Normal"/>
    <w:rsid w:val="0002057E"/>
    <w:pPr>
      <w:spacing w:before="100" w:beforeAutospacing="1" w:after="100" w:afterAutospacing="1"/>
    </w:pPr>
    <w:rPr>
      <w:rFonts w:ascii="Times" w:hAnsi="Times" w:cstheme="minorBidi"/>
      <w:sz w:val="20"/>
      <w:szCs w:val="20"/>
    </w:rPr>
  </w:style>
  <w:style w:type="paragraph" w:customStyle="1" w:styleId="prdates">
    <w:name w:val="prdates"/>
    <w:basedOn w:val="Normal"/>
    <w:rsid w:val="0002057E"/>
    <w:pPr>
      <w:spacing w:before="100" w:beforeAutospacing="1" w:after="100" w:afterAutospacing="1"/>
    </w:pPr>
    <w:rPr>
      <w:rFonts w:ascii="Times" w:hAnsi="Times" w:cstheme="minorBidi"/>
      <w:sz w:val="20"/>
      <w:szCs w:val="20"/>
    </w:rPr>
  </w:style>
  <w:style w:type="character" w:customStyle="1" w:styleId="hidden">
    <w:name w:val="hidden"/>
    <w:basedOn w:val="DefaultParagraphFont"/>
    <w:rsid w:val="0002057E"/>
  </w:style>
  <w:style w:type="paragraph" w:customStyle="1" w:styleId="abs">
    <w:name w:val="abs"/>
    <w:basedOn w:val="Normal"/>
    <w:rsid w:val="0002057E"/>
    <w:pPr>
      <w:spacing w:before="100" w:beforeAutospacing="1" w:after="100" w:afterAutospacing="1"/>
    </w:pPr>
    <w:rPr>
      <w:rFonts w:ascii="Times" w:hAnsi="Times" w:cstheme="minorBidi"/>
      <w:sz w:val="20"/>
      <w:szCs w:val="20"/>
    </w:rPr>
  </w:style>
  <w:style w:type="paragraph" w:customStyle="1" w:styleId="abbreviations">
    <w:name w:val="abbreviations"/>
    <w:basedOn w:val="Normal"/>
    <w:rsid w:val="0002057E"/>
    <w:pPr>
      <w:spacing w:before="100" w:beforeAutospacing="1" w:after="100" w:afterAutospacing="1"/>
    </w:pPr>
    <w:rPr>
      <w:rFonts w:ascii="Times" w:hAnsi="Times" w:cstheme="minorBidi"/>
      <w:sz w:val="20"/>
      <w:szCs w:val="20"/>
    </w:rPr>
  </w:style>
  <w:style w:type="character" w:styleId="CommentReference">
    <w:name w:val="annotation reference"/>
    <w:basedOn w:val="DefaultParagraphFont"/>
    <w:uiPriority w:val="99"/>
    <w:semiHidden/>
    <w:unhideWhenUsed/>
    <w:rsid w:val="00A27283"/>
    <w:rPr>
      <w:sz w:val="18"/>
      <w:szCs w:val="18"/>
    </w:rPr>
  </w:style>
  <w:style w:type="paragraph" w:styleId="CommentText">
    <w:name w:val="annotation text"/>
    <w:basedOn w:val="Normal"/>
    <w:link w:val="CommentTextChar"/>
    <w:uiPriority w:val="99"/>
    <w:semiHidden/>
    <w:unhideWhenUsed/>
    <w:rsid w:val="00A27283"/>
  </w:style>
  <w:style w:type="character" w:customStyle="1" w:styleId="CommentTextChar">
    <w:name w:val="Comment Text Char"/>
    <w:basedOn w:val="DefaultParagraphFont"/>
    <w:link w:val="CommentText"/>
    <w:uiPriority w:val="99"/>
    <w:semiHidden/>
    <w:rsid w:val="00A27283"/>
  </w:style>
  <w:style w:type="paragraph" w:styleId="CommentSubject">
    <w:name w:val="annotation subject"/>
    <w:basedOn w:val="CommentText"/>
    <w:next w:val="CommentText"/>
    <w:link w:val="CommentSubjectChar"/>
    <w:uiPriority w:val="99"/>
    <w:semiHidden/>
    <w:unhideWhenUsed/>
    <w:rsid w:val="00A27283"/>
    <w:rPr>
      <w:b/>
      <w:bCs/>
      <w:sz w:val="20"/>
      <w:szCs w:val="20"/>
    </w:rPr>
  </w:style>
  <w:style w:type="character" w:customStyle="1" w:styleId="CommentSubjectChar">
    <w:name w:val="Comment Subject Char"/>
    <w:basedOn w:val="CommentTextChar"/>
    <w:link w:val="CommentSubject"/>
    <w:uiPriority w:val="99"/>
    <w:semiHidden/>
    <w:rsid w:val="00A27283"/>
    <w:rPr>
      <w:b/>
      <w:bCs/>
      <w:sz w:val="20"/>
      <w:szCs w:val="20"/>
    </w:rPr>
  </w:style>
  <w:style w:type="paragraph" w:styleId="Revision">
    <w:name w:val="Revision"/>
    <w:hidden/>
    <w:uiPriority w:val="99"/>
    <w:semiHidden/>
    <w:rsid w:val="00A27283"/>
  </w:style>
  <w:style w:type="character" w:styleId="Strong">
    <w:name w:val="Strong"/>
    <w:basedOn w:val="DefaultParagraphFont"/>
    <w:uiPriority w:val="22"/>
    <w:qFormat/>
    <w:rsid w:val="00E84395"/>
    <w:rPr>
      <w:b/>
      <w:bCs/>
    </w:rPr>
  </w:style>
  <w:style w:type="paragraph" w:styleId="ListParagraph">
    <w:name w:val="List Paragraph"/>
    <w:basedOn w:val="Normal"/>
    <w:uiPriority w:val="34"/>
    <w:qFormat/>
    <w:rsid w:val="0047713A"/>
    <w:pPr>
      <w:ind w:left="720"/>
      <w:contextualSpacing/>
    </w:pPr>
    <w:rPr>
      <w:rFonts w:asciiTheme="minorHAnsi" w:hAnsiTheme="minorHAnsi" w:cstheme="minorBidi"/>
    </w:rPr>
  </w:style>
  <w:style w:type="table" w:styleId="TableGrid">
    <w:name w:val="Table Grid"/>
    <w:basedOn w:val="TableNormal"/>
    <w:uiPriority w:val="39"/>
    <w:rsid w:val="0070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149CD"/>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C0714F"/>
    <w:rPr>
      <w:rFonts w:ascii="Lucida Grande" w:hAnsi="Lucida Grande" w:cs="Lucida Grande"/>
    </w:rPr>
  </w:style>
  <w:style w:type="character" w:customStyle="1" w:styleId="DocumentMapChar">
    <w:name w:val="Document Map Char"/>
    <w:basedOn w:val="DefaultParagraphFont"/>
    <w:link w:val="DocumentMap"/>
    <w:uiPriority w:val="99"/>
    <w:semiHidden/>
    <w:rsid w:val="00C0714F"/>
    <w:rPr>
      <w:rFonts w:ascii="Lucida Grande" w:hAnsi="Lucida Grande" w:cs="Lucida Grande"/>
    </w:rPr>
  </w:style>
  <w:style w:type="character" w:styleId="FollowedHyperlink">
    <w:name w:val="FollowedHyperlink"/>
    <w:basedOn w:val="DefaultParagraphFont"/>
    <w:uiPriority w:val="99"/>
    <w:semiHidden/>
    <w:unhideWhenUsed/>
    <w:rsid w:val="0020587A"/>
    <w:rPr>
      <w:color w:val="800080" w:themeColor="followedHyperlink"/>
      <w:u w:val="single"/>
    </w:rPr>
  </w:style>
  <w:style w:type="character" w:customStyle="1" w:styleId="authorname">
    <w:name w:val="authorname"/>
    <w:basedOn w:val="DefaultParagraphFont"/>
    <w:rsid w:val="00BF70A3"/>
  </w:style>
  <w:style w:type="character" w:customStyle="1" w:styleId="contacticon">
    <w:name w:val="contacticon"/>
    <w:basedOn w:val="DefaultParagraphFont"/>
    <w:rsid w:val="00BF70A3"/>
  </w:style>
  <w:style w:type="character" w:styleId="PlaceholderText">
    <w:name w:val="Placeholder Text"/>
    <w:basedOn w:val="DefaultParagraphFont"/>
    <w:uiPriority w:val="99"/>
    <w:semiHidden/>
    <w:rsid w:val="00B2750A"/>
    <w:rPr>
      <w:color w:val="808080"/>
    </w:rPr>
  </w:style>
  <w:style w:type="character" w:customStyle="1" w:styleId="current-selection">
    <w:name w:val="current-selection"/>
    <w:basedOn w:val="DefaultParagraphFont"/>
    <w:rsid w:val="00A16744"/>
  </w:style>
  <w:style w:type="character" w:customStyle="1" w:styleId="a">
    <w:name w:val="_"/>
    <w:basedOn w:val="DefaultParagraphFont"/>
    <w:rsid w:val="00A16744"/>
  </w:style>
  <w:style w:type="character" w:customStyle="1" w:styleId="ff5">
    <w:name w:val="ff5"/>
    <w:basedOn w:val="DefaultParagraphFont"/>
    <w:rsid w:val="00A16744"/>
  </w:style>
  <w:style w:type="character" w:customStyle="1" w:styleId="epub-state">
    <w:name w:val="epub-state"/>
    <w:basedOn w:val="DefaultParagraphFont"/>
    <w:rsid w:val="00CE5669"/>
  </w:style>
  <w:style w:type="character" w:customStyle="1" w:styleId="epub-date">
    <w:name w:val="epub-date"/>
    <w:basedOn w:val="DefaultParagraphFont"/>
    <w:rsid w:val="00CE5669"/>
  </w:style>
  <w:style w:type="character" w:customStyle="1" w:styleId="UnresolvedMention1">
    <w:name w:val="Unresolved Mention1"/>
    <w:basedOn w:val="DefaultParagraphFont"/>
    <w:uiPriority w:val="99"/>
    <w:rsid w:val="00A20113"/>
    <w:rPr>
      <w:color w:val="808080"/>
      <w:shd w:val="clear" w:color="auto" w:fill="E6E6E6"/>
    </w:rPr>
  </w:style>
  <w:style w:type="character" w:customStyle="1" w:styleId="ref-journal">
    <w:name w:val="ref-journal"/>
    <w:basedOn w:val="DefaultParagraphFont"/>
    <w:rsid w:val="008B4FCC"/>
  </w:style>
  <w:style w:type="character" w:styleId="UnresolvedMention">
    <w:name w:val="Unresolved Mention"/>
    <w:basedOn w:val="DefaultParagraphFont"/>
    <w:uiPriority w:val="99"/>
    <w:semiHidden/>
    <w:unhideWhenUsed/>
    <w:rsid w:val="008951A9"/>
    <w:rPr>
      <w:color w:val="605E5C"/>
      <w:shd w:val="clear" w:color="auto" w:fill="E1DFDD"/>
    </w:rPr>
  </w:style>
  <w:style w:type="character" w:styleId="LineNumber">
    <w:name w:val="line number"/>
    <w:basedOn w:val="DefaultParagraphFont"/>
    <w:uiPriority w:val="99"/>
    <w:semiHidden/>
    <w:unhideWhenUsed/>
    <w:rsid w:val="0053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617">
      <w:bodyDiv w:val="1"/>
      <w:marLeft w:val="0"/>
      <w:marRight w:val="0"/>
      <w:marTop w:val="0"/>
      <w:marBottom w:val="0"/>
      <w:divBdr>
        <w:top w:val="none" w:sz="0" w:space="0" w:color="auto"/>
        <w:left w:val="none" w:sz="0" w:space="0" w:color="auto"/>
        <w:bottom w:val="none" w:sz="0" w:space="0" w:color="auto"/>
        <w:right w:val="none" w:sz="0" w:space="0" w:color="auto"/>
      </w:divBdr>
    </w:div>
    <w:div w:id="29692944">
      <w:bodyDiv w:val="1"/>
      <w:marLeft w:val="0"/>
      <w:marRight w:val="0"/>
      <w:marTop w:val="0"/>
      <w:marBottom w:val="0"/>
      <w:divBdr>
        <w:top w:val="none" w:sz="0" w:space="0" w:color="auto"/>
        <w:left w:val="none" w:sz="0" w:space="0" w:color="auto"/>
        <w:bottom w:val="none" w:sz="0" w:space="0" w:color="auto"/>
        <w:right w:val="none" w:sz="0" w:space="0" w:color="auto"/>
      </w:divBdr>
    </w:div>
    <w:div w:id="91977844">
      <w:bodyDiv w:val="1"/>
      <w:marLeft w:val="0"/>
      <w:marRight w:val="0"/>
      <w:marTop w:val="0"/>
      <w:marBottom w:val="0"/>
      <w:divBdr>
        <w:top w:val="none" w:sz="0" w:space="0" w:color="auto"/>
        <w:left w:val="none" w:sz="0" w:space="0" w:color="auto"/>
        <w:bottom w:val="none" w:sz="0" w:space="0" w:color="auto"/>
        <w:right w:val="none" w:sz="0" w:space="0" w:color="auto"/>
      </w:divBdr>
    </w:div>
    <w:div w:id="95903785">
      <w:bodyDiv w:val="1"/>
      <w:marLeft w:val="0"/>
      <w:marRight w:val="0"/>
      <w:marTop w:val="0"/>
      <w:marBottom w:val="0"/>
      <w:divBdr>
        <w:top w:val="none" w:sz="0" w:space="0" w:color="auto"/>
        <w:left w:val="none" w:sz="0" w:space="0" w:color="auto"/>
        <w:bottom w:val="none" w:sz="0" w:space="0" w:color="auto"/>
        <w:right w:val="none" w:sz="0" w:space="0" w:color="auto"/>
      </w:divBdr>
    </w:div>
    <w:div w:id="120224174">
      <w:bodyDiv w:val="1"/>
      <w:marLeft w:val="0"/>
      <w:marRight w:val="0"/>
      <w:marTop w:val="0"/>
      <w:marBottom w:val="0"/>
      <w:divBdr>
        <w:top w:val="none" w:sz="0" w:space="0" w:color="auto"/>
        <w:left w:val="none" w:sz="0" w:space="0" w:color="auto"/>
        <w:bottom w:val="none" w:sz="0" w:space="0" w:color="auto"/>
        <w:right w:val="none" w:sz="0" w:space="0" w:color="auto"/>
      </w:divBdr>
      <w:divsChild>
        <w:div w:id="680620547">
          <w:marLeft w:val="0"/>
          <w:marRight w:val="0"/>
          <w:marTop w:val="240"/>
          <w:marBottom w:val="0"/>
          <w:divBdr>
            <w:top w:val="none" w:sz="0" w:space="0" w:color="auto"/>
            <w:left w:val="none" w:sz="0" w:space="0" w:color="auto"/>
            <w:bottom w:val="none" w:sz="0" w:space="0" w:color="auto"/>
            <w:right w:val="none" w:sz="0" w:space="0" w:color="auto"/>
          </w:divBdr>
        </w:div>
      </w:divsChild>
    </w:div>
    <w:div w:id="166484409">
      <w:bodyDiv w:val="1"/>
      <w:marLeft w:val="0"/>
      <w:marRight w:val="0"/>
      <w:marTop w:val="0"/>
      <w:marBottom w:val="0"/>
      <w:divBdr>
        <w:top w:val="none" w:sz="0" w:space="0" w:color="auto"/>
        <w:left w:val="none" w:sz="0" w:space="0" w:color="auto"/>
        <w:bottom w:val="none" w:sz="0" w:space="0" w:color="auto"/>
        <w:right w:val="none" w:sz="0" w:space="0" w:color="auto"/>
      </w:divBdr>
    </w:div>
    <w:div w:id="193930702">
      <w:bodyDiv w:val="1"/>
      <w:marLeft w:val="0"/>
      <w:marRight w:val="0"/>
      <w:marTop w:val="0"/>
      <w:marBottom w:val="0"/>
      <w:divBdr>
        <w:top w:val="none" w:sz="0" w:space="0" w:color="auto"/>
        <w:left w:val="none" w:sz="0" w:space="0" w:color="auto"/>
        <w:bottom w:val="none" w:sz="0" w:space="0" w:color="auto"/>
        <w:right w:val="none" w:sz="0" w:space="0" w:color="auto"/>
      </w:divBdr>
    </w:div>
    <w:div w:id="196358154">
      <w:bodyDiv w:val="1"/>
      <w:marLeft w:val="0"/>
      <w:marRight w:val="0"/>
      <w:marTop w:val="0"/>
      <w:marBottom w:val="0"/>
      <w:divBdr>
        <w:top w:val="none" w:sz="0" w:space="0" w:color="auto"/>
        <w:left w:val="none" w:sz="0" w:space="0" w:color="auto"/>
        <w:bottom w:val="none" w:sz="0" w:space="0" w:color="auto"/>
        <w:right w:val="none" w:sz="0" w:space="0" w:color="auto"/>
      </w:divBdr>
    </w:div>
    <w:div w:id="229197159">
      <w:bodyDiv w:val="1"/>
      <w:marLeft w:val="0"/>
      <w:marRight w:val="0"/>
      <w:marTop w:val="0"/>
      <w:marBottom w:val="0"/>
      <w:divBdr>
        <w:top w:val="none" w:sz="0" w:space="0" w:color="auto"/>
        <w:left w:val="none" w:sz="0" w:space="0" w:color="auto"/>
        <w:bottom w:val="none" w:sz="0" w:space="0" w:color="auto"/>
        <w:right w:val="none" w:sz="0" w:space="0" w:color="auto"/>
      </w:divBdr>
    </w:div>
    <w:div w:id="234436878">
      <w:bodyDiv w:val="1"/>
      <w:marLeft w:val="0"/>
      <w:marRight w:val="0"/>
      <w:marTop w:val="0"/>
      <w:marBottom w:val="0"/>
      <w:divBdr>
        <w:top w:val="none" w:sz="0" w:space="0" w:color="auto"/>
        <w:left w:val="none" w:sz="0" w:space="0" w:color="auto"/>
        <w:bottom w:val="none" w:sz="0" w:space="0" w:color="auto"/>
        <w:right w:val="none" w:sz="0" w:space="0" w:color="auto"/>
      </w:divBdr>
      <w:divsChild>
        <w:div w:id="177818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1711">
              <w:marLeft w:val="0"/>
              <w:marRight w:val="0"/>
              <w:marTop w:val="0"/>
              <w:marBottom w:val="0"/>
              <w:divBdr>
                <w:top w:val="none" w:sz="0" w:space="0" w:color="auto"/>
                <w:left w:val="none" w:sz="0" w:space="0" w:color="auto"/>
                <w:bottom w:val="none" w:sz="0" w:space="0" w:color="auto"/>
                <w:right w:val="none" w:sz="0" w:space="0" w:color="auto"/>
              </w:divBdr>
              <w:divsChild>
                <w:div w:id="319777883">
                  <w:marLeft w:val="0"/>
                  <w:marRight w:val="0"/>
                  <w:marTop w:val="0"/>
                  <w:marBottom w:val="0"/>
                  <w:divBdr>
                    <w:top w:val="none" w:sz="0" w:space="0" w:color="auto"/>
                    <w:left w:val="none" w:sz="0" w:space="0" w:color="auto"/>
                    <w:bottom w:val="none" w:sz="0" w:space="0" w:color="auto"/>
                    <w:right w:val="none" w:sz="0" w:space="0" w:color="auto"/>
                  </w:divBdr>
                  <w:divsChild>
                    <w:div w:id="1051807977">
                      <w:marLeft w:val="0"/>
                      <w:marRight w:val="0"/>
                      <w:marTop w:val="0"/>
                      <w:marBottom w:val="0"/>
                      <w:divBdr>
                        <w:top w:val="none" w:sz="0" w:space="0" w:color="auto"/>
                        <w:left w:val="none" w:sz="0" w:space="0" w:color="auto"/>
                        <w:bottom w:val="none" w:sz="0" w:space="0" w:color="auto"/>
                        <w:right w:val="none" w:sz="0" w:space="0" w:color="auto"/>
                      </w:divBdr>
                      <w:divsChild>
                        <w:div w:id="8277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54315">
      <w:bodyDiv w:val="1"/>
      <w:marLeft w:val="0"/>
      <w:marRight w:val="0"/>
      <w:marTop w:val="0"/>
      <w:marBottom w:val="0"/>
      <w:divBdr>
        <w:top w:val="none" w:sz="0" w:space="0" w:color="auto"/>
        <w:left w:val="none" w:sz="0" w:space="0" w:color="auto"/>
        <w:bottom w:val="none" w:sz="0" w:space="0" w:color="auto"/>
        <w:right w:val="none" w:sz="0" w:space="0" w:color="auto"/>
      </w:divBdr>
    </w:div>
    <w:div w:id="324748653">
      <w:bodyDiv w:val="1"/>
      <w:marLeft w:val="0"/>
      <w:marRight w:val="0"/>
      <w:marTop w:val="0"/>
      <w:marBottom w:val="0"/>
      <w:divBdr>
        <w:top w:val="none" w:sz="0" w:space="0" w:color="auto"/>
        <w:left w:val="none" w:sz="0" w:space="0" w:color="auto"/>
        <w:bottom w:val="none" w:sz="0" w:space="0" w:color="auto"/>
        <w:right w:val="none" w:sz="0" w:space="0" w:color="auto"/>
      </w:divBdr>
    </w:div>
    <w:div w:id="417555010">
      <w:bodyDiv w:val="1"/>
      <w:marLeft w:val="0"/>
      <w:marRight w:val="0"/>
      <w:marTop w:val="0"/>
      <w:marBottom w:val="0"/>
      <w:divBdr>
        <w:top w:val="none" w:sz="0" w:space="0" w:color="auto"/>
        <w:left w:val="none" w:sz="0" w:space="0" w:color="auto"/>
        <w:bottom w:val="none" w:sz="0" w:space="0" w:color="auto"/>
        <w:right w:val="none" w:sz="0" w:space="0" w:color="auto"/>
      </w:divBdr>
    </w:div>
    <w:div w:id="437869988">
      <w:bodyDiv w:val="1"/>
      <w:marLeft w:val="0"/>
      <w:marRight w:val="0"/>
      <w:marTop w:val="0"/>
      <w:marBottom w:val="0"/>
      <w:divBdr>
        <w:top w:val="none" w:sz="0" w:space="0" w:color="auto"/>
        <w:left w:val="none" w:sz="0" w:space="0" w:color="auto"/>
        <w:bottom w:val="none" w:sz="0" w:space="0" w:color="auto"/>
        <w:right w:val="none" w:sz="0" w:space="0" w:color="auto"/>
      </w:divBdr>
    </w:div>
    <w:div w:id="451435227">
      <w:bodyDiv w:val="1"/>
      <w:marLeft w:val="0"/>
      <w:marRight w:val="0"/>
      <w:marTop w:val="0"/>
      <w:marBottom w:val="0"/>
      <w:divBdr>
        <w:top w:val="none" w:sz="0" w:space="0" w:color="auto"/>
        <w:left w:val="none" w:sz="0" w:space="0" w:color="auto"/>
        <w:bottom w:val="none" w:sz="0" w:space="0" w:color="auto"/>
        <w:right w:val="none" w:sz="0" w:space="0" w:color="auto"/>
      </w:divBdr>
    </w:div>
    <w:div w:id="461463042">
      <w:bodyDiv w:val="1"/>
      <w:marLeft w:val="0"/>
      <w:marRight w:val="0"/>
      <w:marTop w:val="0"/>
      <w:marBottom w:val="0"/>
      <w:divBdr>
        <w:top w:val="none" w:sz="0" w:space="0" w:color="auto"/>
        <w:left w:val="none" w:sz="0" w:space="0" w:color="auto"/>
        <w:bottom w:val="none" w:sz="0" w:space="0" w:color="auto"/>
        <w:right w:val="none" w:sz="0" w:space="0" w:color="auto"/>
      </w:divBdr>
    </w:div>
    <w:div w:id="462650009">
      <w:bodyDiv w:val="1"/>
      <w:marLeft w:val="0"/>
      <w:marRight w:val="0"/>
      <w:marTop w:val="0"/>
      <w:marBottom w:val="0"/>
      <w:divBdr>
        <w:top w:val="none" w:sz="0" w:space="0" w:color="auto"/>
        <w:left w:val="none" w:sz="0" w:space="0" w:color="auto"/>
        <w:bottom w:val="none" w:sz="0" w:space="0" w:color="auto"/>
        <w:right w:val="none" w:sz="0" w:space="0" w:color="auto"/>
      </w:divBdr>
    </w:div>
    <w:div w:id="468787545">
      <w:bodyDiv w:val="1"/>
      <w:marLeft w:val="0"/>
      <w:marRight w:val="0"/>
      <w:marTop w:val="0"/>
      <w:marBottom w:val="0"/>
      <w:divBdr>
        <w:top w:val="none" w:sz="0" w:space="0" w:color="auto"/>
        <w:left w:val="none" w:sz="0" w:space="0" w:color="auto"/>
        <w:bottom w:val="none" w:sz="0" w:space="0" w:color="auto"/>
        <w:right w:val="none" w:sz="0" w:space="0" w:color="auto"/>
      </w:divBdr>
    </w:div>
    <w:div w:id="470052919">
      <w:bodyDiv w:val="1"/>
      <w:marLeft w:val="0"/>
      <w:marRight w:val="0"/>
      <w:marTop w:val="0"/>
      <w:marBottom w:val="0"/>
      <w:divBdr>
        <w:top w:val="none" w:sz="0" w:space="0" w:color="auto"/>
        <w:left w:val="none" w:sz="0" w:space="0" w:color="auto"/>
        <w:bottom w:val="none" w:sz="0" w:space="0" w:color="auto"/>
        <w:right w:val="none" w:sz="0" w:space="0" w:color="auto"/>
      </w:divBdr>
    </w:div>
    <w:div w:id="490223414">
      <w:bodyDiv w:val="1"/>
      <w:marLeft w:val="0"/>
      <w:marRight w:val="0"/>
      <w:marTop w:val="0"/>
      <w:marBottom w:val="0"/>
      <w:divBdr>
        <w:top w:val="none" w:sz="0" w:space="0" w:color="auto"/>
        <w:left w:val="none" w:sz="0" w:space="0" w:color="auto"/>
        <w:bottom w:val="none" w:sz="0" w:space="0" w:color="auto"/>
        <w:right w:val="none" w:sz="0" w:space="0" w:color="auto"/>
      </w:divBdr>
    </w:div>
    <w:div w:id="505480559">
      <w:bodyDiv w:val="1"/>
      <w:marLeft w:val="0"/>
      <w:marRight w:val="0"/>
      <w:marTop w:val="0"/>
      <w:marBottom w:val="0"/>
      <w:divBdr>
        <w:top w:val="none" w:sz="0" w:space="0" w:color="auto"/>
        <w:left w:val="none" w:sz="0" w:space="0" w:color="auto"/>
        <w:bottom w:val="none" w:sz="0" w:space="0" w:color="auto"/>
        <w:right w:val="none" w:sz="0" w:space="0" w:color="auto"/>
      </w:divBdr>
    </w:div>
    <w:div w:id="534541340">
      <w:bodyDiv w:val="1"/>
      <w:marLeft w:val="0"/>
      <w:marRight w:val="0"/>
      <w:marTop w:val="0"/>
      <w:marBottom w:val="0"/>
      <w:divBdr>
        <w:top w:val="none" w:sz="0" w:space="0" w:color="auto"/>
        <w:left w:val="none" w:sz="0" w:space="0" w:color="auto"/>
        <w:bottom w:val="none" w:sz="0" w:space="0" w:color="auto"/>
        <w:right w:val="none" w:sz="0" w:space="0" w:color="auto"/>
      </w:divBdr>
    </w:div>
    <w:div w:id="550269913">
      <w:bodyDiv w:val="1"/>
      <w:marLeft w:val="0"/>
      <w:marRight w:val="0"/>
      <w:marTop w:val="0"/>
      <w:marBottom w:val="0"/>
      <w:divBdr>
        <w:top w:val="none" w:sz="0" w:space="0" w:color="auto"/>
        <w:left w:val="none" w:sz="0" w:space="0" w:color="auto"/>
        <w:bottom w:val="none" w:sz="0" w:space="0" w:color="auto"/>
        <w:right w:val="none" w:sz="0" w:space="0" w:color="auto"/>
      </w:divBdr>
    </w:div>
    <w:div w:id="586810862">
      <w:bodyDiv w:val="1"/>
      <w:marLeft w:val="0"/>
      <w:marRight w:val="0"/>
      <w:marTop w:val="0"/>
      <w:marBottom w:val="0"/>
      <w:divBdr>
        <w:top w:val="none" w:sz="0" w:space="0" w:color="auto"/>
        <w:left w:val="none" w:sz="0" w:space="0" w:color="auto"/>
        <w:bottom w:val="none" w:sz="0" w:space="0" w:color="auto"/>
        <w:right w:val="none" w:sz="0" w:space="0" w:color="auto"/>
      </w:divBdr>
    </w:div>
    <w:div w:id="611547233">
      <w:bodyDiv w:val="1"/>
      <w:marLeft w:val="0"/>
      <w:marRight w:val="0"/>
      <w:marTop w:val="0"/>
      <w:marBottom w:val="0"/>
      <w:divBdr>
        <w:top w:val="none" w:sz="0" w:space="0" w:color="auto"/>
        <w:left w:val="none" w:sz="0" w:space="0" w:color="auto"/>
        <w:bottom w:val="none" w:sz="0" w:space="0" w:color="auto"/>
        <w:right w:val="none" w:sz="0" w:space="0" w:color="auto"/>
      </w:divBdr>
    </w:div>
    <w:div w:id="626425593">
      <w:bodyDiv w:val="1"/>
      <w:marLeft w:val="0"/>
      <w:marRight w:val="0"/>
      <w:marTop w:val="0"/>
      <w:marBottom w:val="0"/>
      <w:divBdr>
        <w:top w:val="none" w:sz="0" w:space="0" w:color="auto"/>
        <w:left w:val="none" w:sz="0" w:space="0" w:color="auto"/>
        <w:bottom w:val="none" w:sz="0" w:space="0" w:color="auto"/>
        <w:right w:val="none" w:sz="0" w:space="0" w:color="auto"/>
      </w:divBdr>
    </w:div>
    <w:div w:id="640772317">
      <w:bodyDiv w:val="1"/>
      <w:marLeft w:val="0"/>
      <w:marRight w:val="0"/>
      <w:marTop w:val="0"/>
      <w:marBottom w:val="0"/>
      <w:divBdr>
        <w:top w:val="none" w:sz="0" w:space="0" w:color="auto"/>
        <w:left w:val="none" w:sz="0" w:space="0" w:color="auto"/>
        <w:bottom w:val="none" w:sz="0" w:space="0" w:color="auto"/>
        <w:right w:val="none" w:sz="0" w:space="0" w:color="auto"/>
      </w:divBdr>
    </w:div>
    <w:div w:id="659578335">
      <w:bodyDiv w:val="1"/>
      <w:marLeft w:val="0"/>
      <w:marRight w:val="0"/>
      <w:marTop w:val="0"/>
      <w:marBottom w:val="0"/>
      <w:divBdr>
        <w:top w:val="none" w:sz="0" w:space="0" w:color="auto"/>
        <w:left w:val="none" w:sz="0" w:space="0" w:color="auto"/>
        <w:bottom w:val="none" w:sz="0" w:space="0" w:color="auto"/>
        <w:right w:val="none" w:sz="0" w:space="0" w:color="auto"/>
      </w:divBdr>
      <w:divsChild>
        <w:div w:id="1941645043">
          <w:marLeft w:val="0"/>
          <w:marRight w:val="0"/>
          <w:marTop w:val="0"/>
          <w:marBottom w:val="0"/>
          <w:divBdr>
            <w:top w:val="none" w:sz="0" w:space="0" w:color="auto"/>
            <w:left w:val="none" w:sz="0" w:space="0" w:color="auto"/>
            <w:bottom w:val="none" w:sz="0" w:space="0" w:color="auto"/>
            <w:right w:val="none" w:sz="0" w:space="0" w:color="auto"/>
          </w:divBdr>
        </w:div>
        <w:div w:id="1255893128">
          <w:marLeft w:val="0"/>
          <w:marRight w:val="0"/>
          <w:marTop w:val="0"/>
          <w:marBottom w:val="0"/>
          <w:divBdr>
            <w:top w:val="none" w:sz="0" w:space="0" w:color="auto"/>
            <w:left w:val="none" w:sz="0" w:space="0" w:color="auto"/>
            <w:bottom w:val="none" w:sz="0" w:space="0" w:color="auto"/>
            <w:right w:val="none" w:sz="0" w:space="0" w:color="auto"/>
          </w:divBdr>
        </w:div>
        <w:div w:id="1554192517">
          <w:marLeft w:val="0"/>
          <w:marRight w:val="0"/>
          <w:marTop w:val="0"/>
          <w:marBottom w:val="0"/>
          <w:divBdr>
            <w:top w:val="none" w:sz="0" w:space="0" w:color="auto"/>
            <w:left w:val="none" w:sz="0" w:space="0" w:color="auto"/>
            <w:bottom w:val="none" w:sz="0" w:space="0" w:color="auto"/>
            <w:right w:val="none" w:sz="0" w:space="0" w:color="auto"/>
          </w:divBdr>
        </w:div>
      </w:divsChild>
    </w:div>
    <w:div w:id="681205992">
      <w:bodyDiv w:val="1"/>
      <w:marLeft w:val="0"/>
      <w:marRight w:val="0"/>
      <w:marTop w:val="0"/>
      <w:marBottom w:val="0"/>
      <w:divBdr>
        <w:top w:val="none" w:sz="0" w:space="0" w:color="auto"/>
        <w:left w:val="none" w:sz="0" w:space="0" w:color="auto"/>
        <w:bottom w:val="none" w:sz="0" w:space="0" w:color="auto"/>
        <w:right w:val="none" w:sz="0" w:space="0" w:color="auto"/>
      </w:divBdr>
    </w:div>
    <w:div w:id="720203974">
      <w:bodyDiv w:val="1"/>
      <w:marLeft w:val="0"/>
      <w:marRight w:val="0"/>
      <w:marTop w:val="0"/>
      <w:marBottom w:val="0"/>
      <w:divBdr>
        <w:top w:val="none" w:sz="0" w:space="0" w:color="auto"/>
        <w:left w:val="none" w:sz="0" w:space="0" w:color="auto"/>
        <w:bottom w:val="none" w:sz="0" w:space="0" w:color="auto"/>
        <w:right w:val="none" w:sz="0" w:space="0" w:color="auto"/>
      </w:divBdr>
      <w:divsChild>
        <w:div w:id="2115128283">
          <w:marLeft w:val="0"/>
          <w:marRight w:val="0"/>
          <w:marTop w:val="240"/>
          <w:marBottom w:val="0"/>
          <w:divBdr>
            <w:top w:val="none" w:sz="0" w:space="0" w:color="auto"/>
            <w:left w:val="none" w:sz="0" w:space="0" w:color="auto"/>
            <w:bottom w:val="none" w:sz="0" w:space="0" w:color="auto"/>
            <w:right w:val="none" w:sz="0" w:space="0" w:color="auto"/>
          </w:divBdr>
        </w:div>
      </w:divsChild>
    </w:div>
    <w:div w:id="722676325">
      <w:bodyDiv w:val="1"/>
      <w:marLeft w:val="0"/>
      <w:marRight w:val="0"/>
      <w:marTop w:val="0"/>
      <w:marBottom w:val="0"/>
      <w:divBdr>
        <w:top w:val="none" w:sz="0" w:space="0" w:color="auto"/>
        <w:left w:val="none" w:sz="0" w:space="0" w:color="auto"/>
        <w:bottom w:val="none" w:sz="0" w:space="0" w:color="auto"/>
        <w:right w:val="none" w:sz="0" w:space="0" w:color="auto"/>
      </w:divBdr>
    </w:div>
    <w:div w:id="759062294">
      <w:bodyDiv w:val="1"/>
      <w:marLeft w:val="0"/>
      <w:marRight w:val="0"/>
      <w:marTop w:val="0"/>
      <w:marBottom w:val="0"/>
      <w:divBdr>
        <w:top w:val="none" w:sz="0" w:space="0" w:color="auto"/>
        <w:left w:val="none" w:sz="0" w:space="0" w:color="auto"/>
        <w:bottom w:val="none" w:sz="0" w:space="0" w:color="auto"/>
        <w:right w:val="none" w:sz="0" w:space="0" w:color="auto"/>
      </w:divBdr>
    </w:div>
    <w:div w:id="771053525">
      <w:bodyDiv w:val="1"/>
      <w:marLeft w:val="0"/>
      <w:marRight w:val="0"/>
      <w:marTop w:val="0"/>
      <w:marBottom w:val="0"/>
      <w:divBdr>
        <w:top w:val="none" w:sz="0" w:space="0" w:color="auto"/>
        <w:left w:val="none" w:sz="0" w:space="0" w:color="auto"/>
        <w:bottom w:val="none" w:sz="0" w:space="0" w:color="auto"/>
        <w:right w:val="none" w:sz="0" w:space="0" w:color="auto"/>
      </w:divBdr>
    </w:div>
    <w:div w:id="848174775">
      <w:bodyDiv w:val="1"/>
      <w:marLeft w:val="0"/>
      <w:marRight w:val="0"/>
      <w:marTop w:val="0"/>
      <w:marBottom w:val="0"/>
      <w:divBdr>
        <w:top w:val="none" w:sz="0" w:space="0" w:color="auto"/>
        <w:left w:val="none" w:sz="0" w:space="0" w:color="auto"/>
        <w:bottom w:val="none" w:sz="0" w:space="0" w:color="auto"/>
        <w:right w:val="none" w:sz="0" w:space="0" w:color="auto"/>
      </w:divBdr>
    </w:div>
    <w:div w:id="883370994">
      <w:bodyDiv w:val="1"/>
      <w:marLeft w:val="0"/>
      <w:marRight w:val="0"/>
      <w:marTop w:val="0"/>
      <w:marBottom w:val="0"/>
      <w:divBdr>
        <w:top w:val="none" w:sz="0" w:space="0" w:color="auto"/>
        <w:left w:val="none" w:sz="0" w:space="0" w:color="auto"/>
        <w:bottom w:val="none" w:sz="0" w:space="0" w:color="auto"/>
        <w:right w:val="none" w:sz="0" w:space="0" w:color="auto"/>
      </w:divBdr>
    </w:div>
    <w:div w:id="921570300">
      <w:bodyDiv w:val="1"/>
      <w:marLeft w:val="0"/>
      <w:marRight w:val="0"/>
      <w:marTop w:val="0"/>
      <w:marBottom w:val="0"/>
      <w:divBdr>
        <w:top w:val="none" w:sz="0" w:space="0" w:color="auto"/>
        <w:left w:val="none" w:sz="0" w:space="0" w:color="auto"/>
        <w:bottom w:val="none" w:sz="0" w:space="0" w:color="auto"/>
        <w:right w:val="none" w:sz="0" w:space="0" w:color="auto"/>
      </w:divBdr>
    </w:div>
    <w:div w:id="1024097114">
      <w:bodyDiv w:val="1"/>
      <w:marLeft w:val="0"/>
      <w:marRight w:val="0"/>
      <w:marTop w:val="0"/>
      <w:marBottom w:val="0"/>
      <w:divBdr>
        <w:top w:val="none" w:sz="0" w:space="0" w:color="auto"/>
        <w:left w:val="none" w:sz="0" w:space="0" w:color="auto"/>
        <w:bottom w:val="none" w:sz="0" w:space="0" w:color="auto"/>
        <w:right w:val="none" w:sz="0" w:space="0" w:color="auto"/>
      </w:divBdr>
    </w:div>
    <w:div w:id="1024987468">
      <w:bodyDiv w:val="1"/>
      <w:marLeft w:val="0"/>
      <w:marRight w:val="0"/>
      <w:marTop w:val="0"/>
      <w:marBottom w:val="0"/>
      <w:divBdr>
        <w:top w:val="none" w:sz="0" w:space="0" w:color="auto"/>
        <w:left w:val="none" w:sz="0" w:space="0" w:color="auto"/>
        <w:bottom w:val="none" w:sz="0" w:space="0" w:color="auto"/>
        <w:right w:val="none" w:sz="0" w:space="0" w:color="auto"/>
      </w:divBdr>
    </w:div>
    <w:div w:id="1030184664">
      <w:bodyDiv w:val="1"/>
      <w:marLeft w:val="0"/>
      <w:marRight w:val="0"/>
      <w:marTop w:val="0"/>
      <w:marBottom w:val="0"/>
      <w:divBdr>
        <w:top w:val="none" w:sz="0" w:space="0" w:color="auto"/>
        <w:left w:val="none" w:sz="0" w:space="0" w:color="auto"/>
        <w:bottom w:val="none" w:sz="0" w:space="0" w:color="auto"/>
        <w:right w:val="none" w:sz="0" w:space="0" w:color="auto"/>
      </w:divBdr>
    </w:div>
    <w:div w:id="1037007706">
      <w:bodyDiv w:val="1"/>
      <w:marLeft w:val="0"/>
      <w:marRight w:val="0"/>
      <w:marTop w:val="0"/>
      <w:marBottom w:val="0"/>
      <w:divBdr>
        <w:top w:val="none" w:sz="0" w:space="0" w:color="auto"/>
        <w:left w:val="none" w:sz="0" w:space="0" w:color="auto"/>
        <w:bottom w:val="none" w:sz="0" w:space="0" w:color="auto"/>
        <w:right w:val="none" w:sz="0" w:space="0" w:color="auto"/>
      </w:divBdr>
      <w:divsChild>
        <w:div w:id="1989673672">
          <w:marLeft w:val="0"/>
          <w:marRight w:val="0"/>
          <w:marTop w:val="120"/>
          <w:marBottom w:val="360"/>
          <w:divBdr>
            <w:top w:val="none" w:sz="0" w:space="0" w:color="auto"/>
            <w:left w:val="none" w:sz="0" w:space="0" w:color="auto"/>
            <w:bottom w:val="none" w:sz="0" w:space="0" w:color="auto"/>
            <w:right w:val="none" w:sz="0" w:space="0" w:color="auto"/>
          </w:divBdr>
          <w:divsChild>
            <w:div w:id="3147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305">
      <w:bodyDiv w:val="1"/>
      <w:marLeft w:val="0"/>
      <w:marRight w:val="0"/>
      <w:marTop w:val="0"/>
      <w:marBottom w:val="0"/>
      <w:divBdr>
        <w:top w:val="none" w:sz="0" w:space="0" w:color="auto"/>
        <w:left w:val="none" w:sz="0" w:space="0" w:color="auto"/>
        <w:bottom w:val="none" w:sz="0" w:space="0" w:color="auto"/>
        <w:right w:val="none" w:sz="0" w:space="0" w:color="auto"/>
      </w:divBdr>
    </w:div>
    <w:div w:id="1083067729">
      <w:bodyDiv w:val="1"/>
      <w:marLeft w:val="0"/>
      <w:marRight w:val="0"/>
      <w:marTop w:val="0"/>
      <w:marBottom w:val="0"/>
      <w:divBdr>
        <w:top w:val="none" w:sz="0" w:space="0" w:color="auto"/>
        <w:left w:val="none" w:sz="0" w:space="0" w:color="auto"/>
        <w:bottom w:val="none" w:sz="0" w:space="0" w:color="auto"/>
        <w:right w:val="none" w:sz="0" w:space="0" w:color="auto"/>
      </w:divBdr>
      <w:divsChild>
        <w:div w:id="287858432">
          <w:marLeft w:val="0"/>
          <w:marRight w:val="0"/>
          <w:marTop w:val="0"/>
          <w:marBottom w:val="0"/>
          <w:divBdr>
            <w:top w:val="none" w:sz="0" w:space="0" w:color="auto"/>
            <w:left w:val="none" w:sz="0" w:space="0" w:color="auto"/>
            <w:bottom w:val="none" w:sz="0" w:space="0" w:color="auto"/>
            <w:right w:val="none" w:sz="0" w:space="0" w:color="auto"/>
          </w:divBdr>
        </w:div>
        <w:div w:id="724910421">
          <w:marLeft w:val="0"/>
          <w:marRight w:val="0"/>
          <w:marTop w:val="0"/>
          <w:marBottom w:val="0"/>
          <w:divBdr>
            <w:top w:val="none" w:sz="0" w:space="0" w:color="auto"/>
            <w:left w:val="none" w:sz="0" w:space="0" w:color="auto"/>
            <w:bottom w:val="none" w:sz="0" w:space="0" w:color="auto"/>
            <w:right w:val="none" w:sz="0" w:space="0" w:color="auto"/>
          </w:divBdr>
        </w:div>
        <w:div w:id="1861701139">
          <w:marLeft w:val="0"/>
          <w:marRight w:val="0"/>
          <w:marTop w:val="0"/>
          <w:marBottom w:val="0"/>
          <w:divBdr>
            <w:top w:val="none" w:sz="0" w:space="0" w:color="auto"/>
            <w:left w:val="none" w:sz="0" w:space="0" w:color="auto"/>
            <w:bottom w:val="none" w:sz="0" w:space="0" w:color="auto"/>
            <w:right w:val="none" w:sz="0" w:space="0" w:color="auto"/>
          </w:divBdr>
        </w:div>
      </w:divsChild>
    </w:div>
    <w:div w:id="1087727441">
      <w:bodyDiv w:val="1"/>
      <w:marLeft w:val="0"/>
      <w:marRight w:val="0"/>
      <w:marTop w:val="0"/>
      <w:marBottom w:val="0"/>
      <w:divBdr>
        <w:top w:val="none" w:sz="0" w:space="0" w:color="auto"/>
        <w:left w:val="none" w:sz="0" w:space="0" w:color="auto"/>
        <w:bottom w:val="none" w:sz="0" w:space="0" w:color="auto"/>
        <w:right w:val="none" w:sz="0" w:space="0" w:color="auto"/>
      </w:divBdr>
    </w:div>
    <w:div w:id="1095246121">
      <w:bodyDiv w:val="1"/>
      <w:marLeft w:val="0"/>
      <w:marRight w:val="0"/>
      <w:marTop w:val="0"/>
      <w:marBottom w:val="0"/>
      <w:divBdr>
        <w:top w:val="none" w:sz="0" w:space="0" w:color="auto"/>
        <w:left w:val="none" w:sz="0" w:space="0" w:color="auto"/>
        <w:bottom w:val="none" w:sz="0" w:space="0" w:color="auto"/>
        <w:right w:val="none" w:sz="0" w:space="0" w:color="auto"/>
      </w:divBdr>
    </w:div>
    <w:div w:id="1095593093">
      <w:bodyDiv w:val="1"/>
      <w:marLeft w:val="0"/>
      <w:marRight w:val="0"/>
      <w:marTop w:val="0"/>
      <w:marBottom w:val="0"/>
      <w:divBdr>
        <w:top w:val="none" w:sz="0" w:space="0" w:color="auto"/>
        <w:left w:val="none" w:sz="0" w:space="0" w:color="auto"/>
        <w:bottom w:val="none" w:sz="0" w:space="0" w:color="auto"/>
        <w:right w:val="none" w:sz="0" w:space="0" w:color="auto"/>
      </w:divBdr>
    </w:div>
    <w:div w:id="1109550499">
      <w:bodyDiv w:val="1"/>
      <w:marLeft w:val="0"/>
      <w:marRight w:val="0"/>
      <w:marTop w:val="0"/>
      <w:marBottom w:val="0"/>
      <w:divBdr>
        <w:top w:val="none" w:sz="0" w:space="0" w:color="auto"/>
        <w:left w:val="none" w:sz="0" w:space="0" w:color="auto"/>
        <w:bottom w:val="none" w:sz="0" w:space="0" w:color="auto"/>
        <w:right w:val="none" w:sz="0" w:space="0" w:color="auto"/>
      </w:divBdr>
      <w:divsChild>
        <w:div w:id="1709648436">
          <w:marLeft w:val="0"/>
          <w:marRight w:val="0"/>
          <w:marTop w:val="0"/>
          <w:marBottom w:val="0"/>
          <w:divBdr>
            <w:top w:val="none" w:sz="0" w:space="0" w:color="auto"/>
            <w:left w:val="none" w:sz="0" w:space="0" w:color="auto"/>
            <w:bottom w:val="none" w:sz="0" w:space="0" w:color="auto"/>
            <w:right w:val="none" w:sz="0" w:space="0" w:color="auto"/>
          </w:divBdr>
        </w:div>
        <w:div w:id="481971209">
          <w:marLeft w:val="0"/>
          <w:marRight w:val="0"/>
          <w:marTop w:val="0"/>
          <w:marBottom w:val="0"/>
          <w:divBdr>
            <w:top w:val="none" w:sz="0" w:space="0" w:color="auto"/>
            <w:left w:val="none" w:sz="0" w:space="0" w:color="auto"/>
            <w:bottom w:val="none" w:sz="0" w:space="0" w:color="auto"/>
            <w:right w:val="none" w:sz="0" w:space="0" w:color="auto"/>
          </w:divBdr>
        </w:div>
        <w:div w:id="603346581">
          <w:marLeft w:val="0"/>
          <w:marRight w:val="0"/>
          <w:marTop w:val="0"/>
          <w:marBottom w:val="0"/>
          <w:divBdr>
            <w:top w:val="none" w:sz="0" w:space="0" w:color="auto"/>
            <w:left w:val="none" w:sz="0" w:space="0" w:color="auto"/>
            <w:bottom w:val="none" w:sz="0" w:space="0" w:color="auto"/>
            <w:right w:val="none" w:sz="0" w:space="0" w:color="auto"/>
          </w:divBdr>
        </w:div>
      </w:divsChild>
    </w:div>
    <w:div w:id="1120342131">
      <w:bodyDiv w:val="1"/>
      <w:marLeft w:val="0"/>
      <w:marRight w:val="0"/>
      <w:marTop w:val="0"/>
      <w:marBottom w:val="0"/>
      <w:divBdr>
        <w:top w:val="none" w:sz="0" w:space="0" w:color="auto"/>
        <w:left w:val="none" w:sz="0" w:space="0" w:color="auto"/>
        <w:bottom w:val="none" w:sz="0" w:space="0" w:color="auto"/>
        <w:right w:val="none" w:sz="0" w:space="0" w:color="auto"/>
      </w:divBdr>
    </w:div>
    <w:div w:id="1120879185">
      <w:bodyDiv w:val="1"/>
      <w:marLeft w:val="0"/>
      <w:marRight w:val="0"/>
      <w:marTop w:val="0"/>
      <w:marBottom w:val="0"/>
      <w:divBdr>
        <w:top w:val="none" w:sz="0" w:space="0" w:color="auto"/>
        <w:left w:val="none" w:sz="0" w:space="0" w:color="auto"/>
        <w:bottom w:val="none" w:sz="0" w:space="0" w:color="auto"/>
        <w:right w:val="none" w:sz="0" w:space="0" w:color="auto"/>
      </w:divBdr>
    </w:div>
    <w:div w:id="1121535304">
      <w:bodyDiv w:val="1"/>
      <w:marLeft w:val="0"/>
      <w:marRight w:val="0"/>
      <w:marTop w:val="0"/>
      <w:marBottom w:val="0"/>
      <w:divBdr>
        <w:top w:val="none" w:sz="0" w:space="0" w:color="auto"/>
        <w:left w:val="none" w:sz="0" w:space="0" w:color="auto"/>
        <w:bottom w:val="none" w:sz="0" w:space="0" w:color="auto"/>
        <w:right w:val="none" w:sz="0" w:space="0" w:color="auto"/>
      </w:divBdr>
    </w:div>
    <w:div w:id="1125467503">
      <w:bodyDiv w:val="1"/>
      <w:marLeft w:val="0"/>
      <w:marRight w:val="0"/>
      <w:marTop w:val="0"/>
      <w:marBottom w:val="0"/>
      <w:divBdr>
        <w:top w:val="none" w:sz="0" w:space="0" w:color="auto"/>
        <w:left w:val="none" w:sz="0" w:space="0" w:color="auto"/>
        <w:bottom w:val="none" w:sz="0" w:space="0" w:color="auto"/>
        <w:right w:val="none" w:sz="0" w:space="0" w:color="auto"/>
      </w:divBdr>
    </w:div>
    <w:div w:id="1126509635">
      <w:bodyDiv w:val="1"/>
      <w:marLeft w:val="0"/>
      <w:marRight w:val="0"/>
      <w:marTop w:val="0"/>
      <w:marBottom w:val="0"/>
      <w:divBdr>
        <w:top w:val="none" w:sz="0" w:space="0" w:color="auto"/>
        <w:left w:val="none" w:sz="0" w:space="0" w:color="auto"/>
        <w:bottom w:val="none" w:sz="0" w:space="0" w:color="auto"/>
        <w:right w:val="none" w:sz="0" w:space="0" w:color="auto"/>
      </w:divBdr>
    </w:div>
    <w:div w:id="1145976196">
      <w:bodyDiv w:val="1"/>
      <w:marLeft w:val="0"/>
      <w:marRight w:val="0"/>
      <w:marTop w:val="0"/>
      <w:marBottom w:val="0"/>
      <w:divBdr>
        <w:top w:val="none" w:sz="0" w:space="0" w:color="auto"/>
        <w:left w:val="none" w:sz="0" w:space="0" w:color="auto"/>
        <w:bottom w:val="none" w:sz="0" w:space="0" w:color="auto"/>
        <w:right w:val="none" w:sz="0" w:space="0" w:color="auto"/>
      </w:divBdr>
      <w:divsChild>
        <w:div w:id="1447237362">
          <w:marLeft w:val="0"/>
          <w:marRight w:val="0"/>
          <w:marTop w:val="240"/>
          <w:marBottom w:val="0"/>
          <w:divBdr>
            <w:top w:val="none" w:sz="0" w:space="0" w:color="auto"/>
            <w:left w:val="none" w:sz="0" w:space="0" w:color="auto"/>
            <w:bottom w:val="none" w:sz="0" w:space="0" w:color="auto"/>
            <w:right w:val="none" w:sz="0" w:space="0" w:color="auto"/>
          </w:divBdr>
        </w:div>
      </w:divsChild>
    </w:div>
    <w:div w:id="1178423151">
      <w:bodyDiv w:val="1"/>
      <w:marLeft w:val="0"/>
      <w:marRight w:val="0"/>
      <w:marTop w:val="0"/>
      <w:marBottom w:val="0"/>
      <w:divBdr>
        <w:top w:val="none" w:sz="0" w:space="0" w:color="auto"/>
        <w:left w:val="none" w:sz="0" w:space="0" w:color="auto"/>
        <w:bottom w:val="none" w:sz="0" w:space="0" w:color="auto"/>
        <w:right w:val="none" w:sz="0" w:space="0" w:color="auto"/>
      </w:divBdr>
    </w:div>
    <w:div w:id="1187404859">
      <w:bodyDiv w:val="1"/>
      <w:marLeft w:val="0"/>
      <w:marRight w:val="0"/>
      <w:marTop w:val="0"/>
      <w:marBottom w:val="0"/>
      <w:divBdr>
        <w:top w:val="none" w:sz="0" w:space="0" w:color="auto"/>
        <w:left w:val="none" w:sz="0" w:space="0" w:color="auto"/>
        <w:bottom w:val="none" w:sz="0" w:space="0" w:color="auto"/>
        <w:right w:val="none" w:sz="0" w:space="0" w:color="auto"/>
      </w:divBdr>
    </w:div>
    <w:div w:id="1200699681">
      <w:bodyDiv w:val="1"/>
      <w:marLeft w:val="0"/>
      <w:marRight w:val="0"/>
      <w:marTop w:val="0"/>
      <w:marBottom w:val="0"/>
      <w:divBdr>
        <w:top w:val="none" w:sz="0" w:space="0" w:color="auto"/>
        <w:left w:val="none" w:sz="0" w:space="0" w:color="auto"/>
        <w:bottom w:val="none" w:sz="0" w:space="0" w:color="auto"/>
        <w:right w:val="none" w:sz="0" w:space="0" w:color="auto"/>
      </w:divBdr>
    </w:div>
    <w:div w:id="1210416106">
      <w:bodyDiv w:val="1"/>
      <w:marLeft w:val="0"/>
      <w:marRight w:val="0"/>
      <w:marTop w:val="0"/>
      <w:marBottom w:val="0"/>
      <w:divBdr>
        <w:top w:val="none" w:sz="0" w:space="0" w:color="auto"/>
        <w:left w:val="none" w:sz="0" w:space="0" w:color="auto"/>
        <w:bottom w:val="none" w:sz="0" w:space="0" w:color="auto"/>
        <w:right w:val="none" w:sz="0" w:space="0" w:color="auto"/>
      </w:divBdr>
    </w:div>
    <w:div w:id="1225599796">
      <w:bodyDiv w:val="1"/>
      <w:marLeft w:val="0"/>
      <w:marRight w:val="0"/>
      <w:marTop w:val="0"/>
      <w:marBottom w:val="0"/>
      <w:divBdr>
        <w:top w:val="none" w:sz="0" w:space="0" w:color="auto"/>
        <w:left w:val="none" w:sz="0" w:space="0" w:color="auto"/>
        <w:bottom w:val="none" w:sz="0" w:space="0" w:color="auto"/>
        <w:right w:val="none" w:sz="0" w:space="0" w:color="auto"/>
      </w:divBdr>
      <w:divsChild>
        <w:div w:id="2095545484">
          <w:marLeft w:val="0"/>
          <w:marRight w:val="0"/>
          <w:marTop w:val="225"/>
          <w:marBottom w:val="225"/>
          <w:divBdr>
            <w:top w:val="none" w:sz="0" w:space="0" w:color="auto"/>
            <w:left w:val="none" w:sz="0" w:space="0" w:color="auto"/>
            <w:bottom w:val="none" w:sz="0" w:space="0" w:color="auto"/>
            <w:right w:val="none" w:sz="0" w:space="0" w:color="auto"/>
          </w:divBdr>
          <w:divsChild>
            <w:div w:id="520557199">
              <w:marLeft w:val="0"/>
              <w:marRight w:val="0"/>
              <w:marTop w:val="0"/>
              <w:marBottom w:val="0"/>
              <w:divBdr>
                <w:top w:val="none" w:sz="0" w:space="0" w:color="auto"/>
                <w:left w:val="none" w:sz="0" w:space="0" w:color="auto"/>
                <w:bottom w:val="none" w:sz="0" w:space="0" w:color="auto"/>
                <w:right w:val="none" w:sz="0" w:space="0" w:color="auto"/>
              </w:divBdr>
              <w:divsChild>
                <w:div w:id="1396469979">
                  <w:marLeft w:val="0"/>
                  <w:marRight w:val="0"/>
                  <w:marTop w:val="0"/>
                  <w:marBottom w:val="0"/>
                  <w:divBdr>
                    <w:top w:val="none" w:sz="0" w:space="0" w:color="auto"/>
                    <w:left w:val="none" w:sz="0" w:space="0" w:color="auto"/>
                    <w:bottom w:val="none" w:sz="0" w:space="0" w:color="auto"/>
                    <w:right w:val="none" w:sz="0" w:space="0" w:color="auto"/>
                  </w:divBdr>
                  <w:divsChild>
                    <w:div w:id="1086806693">
                      <w:marLeft w:val="0"/>
                      <w:marRight w:val="0"/>
                      <w:marTop w:val="0"/>
                      <w:marBottom w:val="0"/>
                      <w:divBdr>
                        <w:top w:val="none" w:sz="0" w:space="0" w:color="auto"/>
                        <w:left w:val="none" w:sz="0" w:space="0" w:color="auto"/>
                        <w:bottom w:val="none" w:sz="0" w:space="0" w:color="auto"/>
                        <w:right w:val="none" w:sz="0" w:space="0" w:color="auto"/>
                      </w:divBdr>
                    </w:div>
                    <w:div w:id="476994601">
                      <w:marLeft w:val="0"/>
                      <w:marRight w:val="0"/>
                      <w:marTop w:val="0"/>
                      <w:marBottom w:val="0"/>
                      <w:divBdr>
                        <w:top w:val="none" w:sz="0" w:space="0" w:color="auto"/>
                        <w:left w:val="none" w:sz="0" w:space="0" w:color="auto"/>
                        <w:bottom w:val="none" w:sz="0" w:space="0" w:color="auto"/>
                        <w:right w:val="none" w:sz="0" w:space="0" w:color="auto"/>
                      </w:divBdr>
                    </w:div>
                    <w:div w:id="1199977926">
                      <w:marLeft w:val="0"/>
                      <w:marRight w:val="0"/>
                      <w:marTop w:val="0"/>
                      <w:marBottom w:val="0"/>
                      <w:divBdr>
                        <w:top w:val="none" w:sz="0" w:space="0" w:color="auto"/>
                        <w:left w:val="none" w:sz="0" w:space="0" w:color="auto"/>
                        <w:bottom w:val="none" w:sz="0" w:space="0" w:color="auto"/>
                        <w:right w:val="none" w:sz="0" w:space="0" w:color="auto"/>
                      </w:divBdr>
                    </w:div>
                    <w:div w:id="2075083222">
                      <w:marLeft w:val="0"/>
                      <w:marRight w:val="0"/>
                      <w:marTop w:val="0"/>
                      <w:marBottom w:val="0"/>
                      <w:divBdr>
                        <w:top w:val="none" w:sz="0" w:space="0" w:color="auto"/>
                        <w:left w:val="none" w:sz="0" w:space="0" w:color="auto"/>
                        <w:bottom w:val="none" w:sz="0" w:space="0" w:color="auto"/>
                        <w:right w:val="none" w:sz="0" w:space="0" w:color="auto"/>
                      </w:divBdr>
                    </w:div>
                    <w:div w:id="13970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1406">
          <w:marLeft w:val="0"/>
          <w:marRight w:val="0"/>
          <w:marTop w:val="225"/>
          <w:marBottom w:val="225"/>
          <w:divBdr>
            <w:top w:val="none" w:sz="0" w:space="0" w:color="auto"/>
            <w:left w:val="none" w:sz="0" w:space="0" w:color="auto"/>
            <w:bottom w:val="none" w:sz="0" w:space="0" w:color="auto"/>
            <w:right w:val="none" w:sz="0" w:space="0" w:color="auto"/>
          </w:divBdr>
          <w:divsChild>
            <w:div w:id="693000549">
              <w:marLeft w:val="0"/>
              <w:marRight w:val="0"/>
              <w:marTop w:val="0"/>
              <w:marBottom w:val="0"/>
              <w:divBdr>
                <w:top w:val="none" w:sz="0" w:space="0" w:color="auto"/>
                <w:left w:val="none" w:sz="0" w:space="0" w:color="auto"/>
                <w:bottom w:val="none" w:sz="0" w:space="0" w:color="auto"/>
                <w:right w:val="none" w:sz="0" w:space="0" w:color="auto"/>
              </w:divBdr>
            </w:div>
            <w:div w:id="448939524">
              <w:marLeft w:val="0"/>
              <w:marRight w:val="0"/>
              <w:marTop w:val="0"/>
              <w:marBottom w:val="0"/>
              <w:divBdr>
                <w:top w:val="none" w:sz="0" w:space="0" w:color="auto"/>
                <w:left w:val="none" w:sz="0" w:space="0" w:color="auto"/>
                <w:bottom w:val="none" w:sz="0" w:space="0" w:color="auto"/>
                <w:right w:val="none" w:sz="0" w:space="0" w:color="auto"/>
              </w:divBdr>
            </w:div>
            <w:div w:id="587806981">
              <w:marLeft w:val="0"/>
              <w:marRight w:val="0"/>
              <w:marTop w:val="0"/>
              <w:marBottom w:val="0"/>
              <w:divBdr>
                <w:top w:val="none" w:sz="0" w:space="0" w:color="auto"/>
                <w:left w:val="none" w:sz="0" w:space="0" w:color="auto"/>
                <w:bottom w:val="none" w:sz="0" w:space="0" w:color="auto"/>
                <w:right w:val="none" w:sz="0" w:space="0" w:color="auto"/>
              </w:divBdr>
            </w:div>
          </w:divsChild>
        </w:div>
        <w:div w:id="68692983">
          <w:marLeft w:val="0"/>
          <w:marRight w:val="0"/>
          <w:marTop w:val="225"/>
          <w:marBottom w:val="225"/>
          <w:divBdr>
            <w:top w:val="none" w:sz="0" w:space="0" w:color="auto"/>
            <w:left w:val="none" w:sz="0" w:space="0" w:color="auto"/>
            <w:bottom w:val="none" w:sz="0" w:space="0" w:color="auto"/>
            <w:right w:val="none" w:sz="0" w:space="0" w:color="auto"/>
          </w:divBdr>
        </w:div>
      </w:divsChild>
    </w:div>
    <w:div w:id="1253393621">
      <w:bodyDiv w:val="1"/>
      <w:marLeft w:val="0"/>
      <w:marRight w:val="0"/>
      <w:marTop w:val="0"/>
      <w:marBottom w:val="0"/>
      <w:divBdr>
        <w:top w:val="none" w:sz="0" w:space="0" w:color="auto"/>
        <w:left w:val="none" w:sz="0" w:space="0" w:color="auto"/>
        <w:bottom w:val="none" w:sz="0" w:space="0" w:color="auto"/>
        <w:right w:val="none" w:sz="0" w:space="0" w:color="auto"/>
      </w:divBdr>
    </w:div>
    <w:div w:id="1270241571">
      <w:bodyDiv w:val="1"/>
      <w:marLeft w:val="0"/>
      <w:marRight w:val="0"/>
      <w:marTop w:val="0"/>
      <w:marBottom w:val="0"/>
      <w:divBdr>
        <w:top w:val="none" w:sz="0" w:space="0" w:color="auto"/>
        <w:left w:val="none" w:sz="0" w:space="0" w:color="auto"/>
        <w:bottom w:val="none" w:sz="0" w:space="0" w:color="auto"/>
        <w:right w:val="none" w:sz="0" w:space="0" w:color="auto"/>
      </w:divBdr>
    </w:div>
    <w:div w:id="1277716271">
      <w:bodyDiv w:val="1"/>
      <w:marLeft w:val="0"/>
      <w:marRight w:val="0"/>
      <w:marTop w:val="0"/>
      <w:marBottom w:val="0"/>
      <w:divBdr>
        <w:top w:val="none" w:sz="0" w:space="0" w:color="auto"/>
        <w:left w:val="none" w:sz="0" w:space="0" w:color="auto"/>
        <w:bottom w:val="none" w:sz="0" w:space="0" w:color="auto"/>
        <w:right w:val="none" w:sz="0" w:space="0" w:color="auto"/>
      </w:divBdr>
    </w:div>
    <w:div w:id="1289124503">
      <w:bodyDiv w:val="1"/>
      <w:marLeft w:val="0"/>
      <w:marRight w:val="0"/>
      <w:marTop w:val="0"/>
      <w:marBottom w:val="0"/>
      <w:divBdr>
        <w:top w:val="none" w:sz="0" w:space="0" w:color="auto"/>
        <w:left w:val="none" w:sz="0" w:space="0" w:color="auto"/>
        <w:bottom w:val="none" w:sz="0" w:space="0" w:color="auto"/>
        <w:right w:val="none" w:sz="0" w:space="0" w:color="auto"/>
      </w:divBdr>
    </w:div>
    <w:div w:id="1309171145">
      <w:bodyDiv w:val="1"/>
      <w:marLeft w:val="0"/>
      <w:marRight w:val="0"/>
      <w:marTop w:val="0"/>
      <w:marBottom w:val="0"/>
      <w:divBdr>
        <w:top w:val="none" w:sz="0" w:space="0" w:color="auto"/>
        <w:left w:val="none" w:sz="0" w:space="0" w:color="auto"/>
        <w:bottom w:val="none" w:sz="0" w:space="0" w:color="auto"/>
        <w:right w:val="none" w:sz="0" w:space="0" w:color="auto"/>
      </w:divBdr>
    </w:div>
    <w:div w:id="1323702785">
      <w:bodyDiv w:val="1"/>
      <w:marLeft w:val="0"/>
      <w:marRight w:val="0"/>
      <w:marTop w:val="0"/>
      <w:marBottom w:val="0"/>
      <w:divBdr>
        <w:top w:val="none" w:sz="0" w:space="0" w:color="auto"/>
        <w:left w:val="none" w:sz="0" w:space="0" w:color="auto"/>
        <w:bottom w:val="none" w:sz="0" w:space="0" w:color="auto"/>
        <w:right w:val="none" w:sz="0" w:space="0" w:color="auto"/>
      </w:divBdr>
    </w:div>
    <w:div w:id="1358238743">
      <w:bodyDiv w:val="1"/>
      <w:marLeft w:val="0"/>
      <w:marRight w:val="0"/>
      <w:marTop w:val="0"/>
      <w:marBottom w:val="0"/>
      <w:divBdr>
        <w:top w:val="none" w:sz="0" w:space="0" w:color="auto"/>
        <w:left w:val="none" w:sz="0" w:space="0" w:color="auto"/>
        <w:bottom w:val="none" w:sz="0" w:space="0" w:color="auto"/>
        <w:right w:val="none" w:sz="0" w:space="0" w:color="auto"/>
      </w:divBdr>
    </w:div>
    <w:div w:id="1364476902">
      <w:bodyDiv w:val="1"/>
      <w:marLeft w:val="0"/>
      <w:marRight w:val="0"/>
      <w:marTop w:val="0"/>
      <w:marBottom w:val="0"/>
      <w:divBdr>
        <w:top w:val="none" w:sz="0" w:space="0" w:color="auto"/>
        <w:left w:val="none" w:sz="0" w:space="0" w:color="auto"/>
        <w:bottom w:val="none" w:sz="0" w:space="0" w:color="auto"/>
        <w:right w:val="none" w:sz="0" w:space="0" w:color="auto"/>
      </w:divBdr>
    </w:div>
    <w:div w:id="1378117688">
      <w:bodyDiv w:val="1"/>
      <w:marLeft w:val="0"/>
      <w:marRight w:val="0"/>
      <w:marTop w:val="0"/>
      <w:marBottom w:val="0"/>
      <w:divBdr>
        <w:top w:val="none" w:sz="0" w:space="0" w:color="auto"/>
        <w:left w:val="none" w:sz="0" w:space="0" w:color="auto"/>
        <w:bottom w:val="none" w:sz="0" w:space="0" w:color="auto"/>
        <w:right w:val="none" w:sz="0" w:space="0" w:color="auto"/>
      </w:divBdr>
    </w:div>
    <w:div w:id="1400782089">
      <w:bodyDiv w:val="1"/>
      <w:marLeft w:val="0"/>
      <w:marRight w:val="0"/>
      <w:marTop w:val="0"/>
      <w:marBottom w:val="0"/>
      <w:divBdr>
        <w:top w:val="none" w:sz="0" w:space="0" w:color="auto"/>
        <w:left w:val="none" w:sz="0" w:space="0" w:color="auto"/>
        <w:bottom w:val="none" w:sz="0" w:space="0" w:color="auto"/>
        <w:right w:val="none" w:sz="0" w:space="0" w:color="auto"/>
      </w:divBdr>
    </w:div>
    <w:div w:id="1407872458">
      <w:bodyDiv w:val="1"/>
      <w:marLeft w:val="0"/>
      <w:marRight w:val="0"/>
      <w:marTop w:val="0"/>
      <w:marBottom w:val="0"/>
      <w:divBdr>
        <w:top w:val="none" w:sz="0" w:space="0" w:color="auto"/>
        <w:left w:val="none" w:sz="0" w:space="0" w:color="auto"/>
        <w:bottom w:val="none" w:sz="0" w:space="0" w:color="auto"/>
        <w:right w:val="none" w:sz="0" w:space="0" w:color="auto"/>
      </w:divBdr>
    </w:div>
    <w:div w:id="1444375404">
      <w:bodyDiv w:val="1"/>
      <w:marLeft w:val="0"/>
      <w:marRight w:val="0"/>
      <w:marTop w:val="0"/>
      <w:marBottom w:val="0"/>
      <w:divBdr>
        <w:top w:val="none" w:sz="0" w:space="0" w:color="auto"/>
        <w:left w:val="none" w:sz="0" w:space="0" w:color="auto"/>
        <w:bottom w:val="none" w:sz="0" w:space="0" w:color="auto"/>
        <w:right w:val="none" w:sz="0" w:space="0" w:color="auto"/>
      </w:divBdr>
    </w:div>
    <w:div w:id="1470973528">
      <w:bodyDiv w:val="1"/>
      <w:marLeft w:val="0"/>
      <w:marRight w:val="0"/>
      <w:marTop w:val="0"/>
      <w:marBottom w:val="0"/>
      <w:divBdr>
        <w:top w:val="none" w:sz="0" w:space="0" w:color="auto"/>
        <w:left w:val="none" w:sz="0" w:space="0" w:color="auto"/>
        <w:bottom w:val="none" w:sz="0" w:space="0" w:color="auto"/>
        <w:right w:val="none" w:sz="0" w:space="0" w:color="auto"/>
      </w:divBdr>
    </w:div>
    <w:div w:id="1484349000">
      <w:bodyDiv w:val="1"/>
      <w:marLeft w:val="0"/>
      <w:marRight w:val="0"/>
      <w:marTop w:val="0"/>
      <w:marBottom w:val="0"/>
      <w:divBdr>
        <w:top w:val="none" w:sz="0" w:space="0" w:color="auto"/>
        <w:left w:val="none" w:sz="0" w:space="0" w:color="auto"/>
        <w:bottom w:val="none" w:sz="0" w:space="0" w:color="auto"/>
        <w:right w:val="none" w:sz="0" w:space="0" w:color="auto"/>
      </w:divBdr>
    </w:div>
    <w:div w:id="1534029406">
      <w:bodyDiv w:val="1"/>
      <w:marLeft w:val="0"/>
      <w:marRight w:val="0"/>
      <w:marTop w:val="0"/>
      <w:marBottom w:val="0"/>
      <w:divBdr>
        <w:top w:val="none" w:sz="0" w:space="0" w:color="auto"/>
        <w:left w:val="none" w:sz="0" w:space="0" w:color="auto"/>
        <w:bottom w:val="none" w:sz="0" w:space="0" w:color="auto"/>
        <w:right w:val="none" w:sz="0" w:space="0" w:color="auto"/>
      </w:divBdr>
    </w:div>
    <w:div w:id="1558466034">
      <w:bodyDiv w:val="1"/>
      <w:marLeft w:val="0"/>
      <w:marRight w:val="0"/>
      <w:marTop w:val="0"/>
      <w:marBottom w:val="0"/>
      <w:divBdr>
        <w:top w:val="none" w:sz="0" w:space="0" w:color="auto"/>
        <w:left w:val="none" w:sz="0" w:space="0" w:color="auto"/>
        <w:bottom w:val="none" w:sz="0" w:space="0" w:color="auto"/>
        <w:right w:val="none" w:sz="0" w:space="0" w:color="auto"/>
      </w:divBdr>
    </w:div>
    <w:div w:id="1563710308">
      <w:bodyDiv w:val="1"/>
      <w:marLeft w:val="0"/>
      <w:marRight w:val="0"/>
      <w:marTop w:val="0"/>
      <w:marBottom w:val="0"/>
      <w:divBdr>
        <w:top w:val="none" w:sz="0" w:space="0" w:color="auto"/>
        <w:left w:val="none" w:sz="0" w:space="0" w:color="auto"/>
        <w:bottom w:val="none" w:sz="0" w:space="0" w:color="auto"/>
        <w:right w:val="none" w:sz="0" w:space="0" w:color="auto"/>
      </w:divBdr>
    </w:div>
    <w:div w:id="1573613475">
      <w:bodyDiv w:val="1"/>
      <w:marLeft w:val="0"/>
      <w:marRight w:val="0"/>
      <w:marTop w:val="0"/>
      <w:marBottom w:val="0"/>
      <w:divBdr>
        <w:top w:val="none" w:sz="0" w:space="0" w:color="auto"/>
        <w:left w:val="none" w:sz="0" w:space="0" w:color="auto"/>
        <w:bottom w:val="none" w:sz="0" w:space="0" w:color="auto"/>
        <w:right w:val="none" w:sz="0" w:space="0" w:color="auto"/>
      </w:divBdr>
    </w:div>
    <w:div w:id="1590695586">
      <w:bodyDiv w:val="1"/>
      <w:marLeft w:val="0"/>
      <w:marRight w:val="0"/>
      <w:marTop w:val="0"/>
      <w:marBottom w:val="0"/>
      <w:divBdr>
        <w:top w:val="none" w:sz="0" w:space="0" w:color="auto"/>
        <w:left w:val="none" w:sz="0" w:space="0" w:color="auto"/>
        <w:bottom w:val="none" w:sz="0" w:space="0" w:color="auto"/>
        <w:right w:val="none" w:sz="0" w:space="0" w:color="auto"/>
      </w:divBdr>
    </w:div>
    <w:div w:id="1591621293">
      <w:bodyDiv w:val="1"/>
      <w:marLeft w:val="0"/>
      <w:marRight w:val="0"/>
      <w:marTop w:val="0"/>
      <w:marBottom w:val="0"/>
      <w:divBdr>
        <w:top w:val="none" w:sz="0" w:space="0" w:color="auto"/>
        <w:left w:val="none" w:sz="0" w:space="0" w:color="auto"/>
        <w:bottom w:val="none" w:sz="0" w:space="0" w:color="auto"/>
        <w:right w:val="none" w:sz="0" w:space="0" w:color="auto"/>
      </w:divBdr>
    </w:div>
    <w:div w:id="1613440236">
      <w:bodyDiv w:val="1"/>
      <w:marLeft w:val="0"/>
      <w:marRight w:val="0"/>
      <w:marTop w:val="0"/>
      <w:marBottom w:val="0"/>
      <w:divBdr>
        <w:top w:val="none" w:sz="0" w:space="0" w:color="auto"/>
        <w:left w:val="none" w:sz="0" w:space="0" w:color="auto"/>
        <w:bottom w:val="none" w:sz="0" w:space="0" w:color="auto"/>
        <w:right w:val="none" w:sz="0" w:space="0" w:color="auto"/>
      </w:divBdr>
    </w:div>
    <w:div w:id="1644844870">
      <w:bodyDiv w:val="1"/>
      <w:marLeft w:val="0"/>
      <w:marRight w:val="0"/>
      <w:marTop w:val="0"/>
      <w:marBottom w:val="0"/>
      <w:divBdr>
        <w:top w:val="none" w:sz="0" w:space="0" w:color="auto"/>
        <w:left w:val="none" w:sz="0" w:space="0" w:color="auto"/>
        <w:bottom w:val="none" w:sz="0" w:space="0" w:color="auto"/>
        <w:right w:val="none" w:sz="0" w:space="0" w:color="auto"/>
      </w:divBdr>
      <w:divsChild>
        <w:div w:id="1701783069">
          <w:marLeft w:val="0"/>
          <w:marRight w:val="0"/>
          <w:marTop w:val="0"/>
          <w:marBottom w:val="0"/>
          <w:divBdr>
            <w:top w:val="none" w:sz="0" w:space="0" w:color="auto"/>
            <w:left w:val="none" w:sz="0" w:space="0" w:color="auto"/>
            <w:bottom w:val="none" w:sz="0" w:space="0" w:color="auto"/>
            <w:right w:val="none" w:sz="0" w:space="0" w:color="auto"/>
          </w:divBdr>
        </w:div>
        <w:div w:id="978877723">
          <w:marLeft w:val="0"/>
          <w:marRight w:val="0"/>
          <w:marTop w:val="0"/>
          <w:marBottom w:val="0"/>
          <w:divBdr>
            <w:top w:val="none" w:sz="0" w:space="0" w:color="auto"/>
            <w:left w:val="none" w:sz="0" w:space="0" w:color="auto"/>
            <w:bottom w:val="none" w:sz="0" w:space="0" w:color="auto"/>
            <w:right w:val="none" w:sz="0" w:space="0" w:color="auto"/>
          </w:divBdr>
        </w:div>
        <w:div w:id="532883465">
          <w:marLeft w:val="0"/>
          <w:marRight w:val="0"/>
          <w:marTop w:val="0"/>
          <w:marBottom w:val="0"/>
          <w:divBdr>
            <w:top w:val="none" w:sz="0" w:space="0" w:color="auto"/>
            <w:left w:val="none" w:sz="0" w:space="0" w:color="auto"/>
            <w:bottom w:val="none" w:sz="0" w:space="0" w:color="auto"/>
            <w:right w:val="none" w:sz="0" w:space="0" w:color="auto"/>
          </w:divBdr>
        </w:div>
      </w:divsChild>
    </w:div>
    <w:div w:id="1660158844">
      <w:bodyDiv w:val="1"/>
      <w:marLeft w:val="0"/>
      <w:marRight w:val="0"/>
      <w:marTop w:val="0"/>
      <w:marBottom w:val="0"/>
      <w:divBdr>
        <w:top w:val="none" w:sz="0" w:space="0" w:color="auto"/>
        <w:left w:val="none" w:sz="0" w:space="0" w:color="auto"/>
        <w:bottom w:val="none" w:sz="0" w:space="0" w:color="auto"/>
        <w:right w:val="none" w:sz="0" w:space="0" w:color="auto"/>
      </w:divBdr>
    </w:div>
    <w:div w:id="1704792727">
      <w:bodyDiv w:val="1"/>
      <w:marLeft w:val="0"/>
      <w:marRight w:val="0"/>
      <w:marTop w:val="0"/>
      <w:marBottom w:val="0"/>
      <w:divBdr>
        <w:top w:val="none" w:sz="0" w:space="0" w:color="auto"/>
        <w:left w:val="none" w:sz="0" w:space="0" w:color="auto"/>
        <w:bottom w:val="none" w:sz="0" w:space="0" w:color="auto"/>
        <w:right w:val="none" w:sz="0" w:space="0" w:color="auto"/>
      </w:divBdr>
    </w:div>
    <w:div w:id="1766539648">
      <w:bodyDiv w:val="1"/>
      <w:marLeft w:val="0"/>
      <w:marRight w:val="0"/>
      <w:marTop w:val="0"/>
      <w:marBottom w:val="0"/>
      <w:divBdr>
        <w:top w:val="none" w:sz="0" w:space="0" w:color="auto"/>
        <w:left w:val="none" w:sz="0" w:space="0" w:color="auto"/>
        <w:bottom w:val="none" w:sz="0" w:space="0" w:color="auto"/>
        <w:right w:val="none" w:sz="0" w:space="0" w:color="auto"/>
      </w:divBdr>
    </w:div>
    <w:div w:id="1822042165">
      <w:bodyDiv w:val="1"/>
      <w:marLeft w:val="0"/>
      <w:marRight w:val="0"/>
      <w:marTop w:val="0"/>
      <w:marBottom w:val="0"/>
      <w:divBdr>
        <w:top w:val="none" w:sz="0" w:space="0" w:color="auto"/>
        <w:left w:val="none" w:sz="0" w:space="0" w:color="auto"/>
        <w:bottom w:val="none" w:sz="0" w:space="0" w:color="auto"/>
        <w:right w:val="none" w:sz="0" w:space="0" w:color="auto"/>
      </w:divBdr>
    </w:div>
    <w:div w:id="1822648165">
      <w:bodyDiv w:val="1"/>
      <w:marLeft w:val="0"/>
      <w:marRight w:val="0"/>
      <w:marTop w:val="0"/>
      <w:marBottom w:val="0"/>
      <w:divBdr>
        <w:top w:val="none" w:sz="0" w:space="0" w:color="auto"/>
        <w:left w:val="none" w:sz="0" w:space="0" w:color="auto"/>
        <w:bottom w:val="none" w:sz="0" w:space="0" w:color="auto"/>
        <w:right w:val="none" w:sz="0" w:space="0" w:color="auto"/>
      </w:divBdr>
    </w:div>
    <w:div w:id="1829516980">
      <w:bodyDiv w:val="1"/>
      <w:marLeft w:val="0"/>
      <w:marRight w:val="0"/>
      <w:marTop w:val="0"/>
      <w:marBottom w:val="0"/>
      <w:divBdr>
        <w:top w:val="none" w:sz="0" w:space="0" w:color="auto"/>
        <w:left w:val="none" w:sz="0" w:space="0" w:color="auto"/>
        <w:bottom w:val="none" w:sz="0" w:space="0" w:color="auto"/>
        <w:right w:val="none" w:sz="0" w:space="0" w:color="auto"/>
      </w:divBdr>
    </w:div>
    <w:div w:id="1878078765">
      <w:bodyDiv w:val="1"/>
      <w:marLeft w:val="0"/>
      <w:marRight w:val="0"/>
      <w:marTop w:val="0"/>
      <w:marBottom w:val="0"/>
      <w:divBdr>
        <w:top w:val="none" w:sz="0" w:space="0" w:color="auto"/>
        <w:left w:val="none" w:sz="0" w:space="0" w:color="auto"/>
        <w:bottom w:val="none" w:sz="0" w:space="0" w:color="auto"/>
        <w:right w:val="none" w:sz="0" w:space="0" w:color="auto"/>
      </w:divBdr>
      <w:divsChild>
        <w:div w:id="1973705534">
          <w:marLeft w:val="0"/>
          <w:marRight w:val="0"/>
          <w:marTop w:val="120"/>
          <w:marBottom w:val="360"/>
          <w:divBdr>
            <w:top w:val="none" w:sz="0" w:space="0" w:color="auto"/>
            <w:left w:val="none" w:sz="0" w:space="0" w:color="auto"/>
            <w:bottom w:val="none" w:sz="0" w:space="0" w:color="auto"/>
            <w:right w:val="none" w:sz="0" w:space="0" w:color="auto"/>
          </w:divBdr>
          <w:divsChild>
            <w:div w:id="786855803">
              <w:marLeft w:val="0"/>
              <w:marRight w:val="0"/>
              <w:marTop w:val="0"/>
              <w:marBottom w:val="0"/>
              <w:divBdr>
                <w:top w:val="none" w:sz="0" w:space="0" w:color="auto"/>
                <w:left w:val="none" w:sz="0" w:space="0" w:color="auto"/>
                <w:bottom w:val="none" w:sz="0" w:space="0" w:color="auto"/>
                <w:right w:val="none" w:sz="0" w:space="0" w:color="auto"/>
              </w:divBdr>
            </w:div>
            <w:div w:id="12212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777">
      <w:bodyDiv w:val="1"/>
      <w:marLeft w:val="0"/>
      <w:marRight w:val="0"/>
      <w:marTop w:val="0"/>
      <w:marBottom w:val="0"/>
      <w:divBdr>
        <w:top w:val="none" w:sz="0" w:space="0" w:color="auto"/>
        <w:left w:val="none" w:sz="0" w:space="0" w:color="auto"/>
        <w:bottom w:val="none" w:sz="0" w:space="0" w:color="auto"/>
        <w:right w:val="none" w:sz="0" w:space="0" w:color="auto"/>
      </w:divBdr>
    </w:div>
    <w:div w:id="1912688325">
      <w:bodyDiv w:val="1"/>
      <w:marLeft w:val="0"/>
      <w:marRight w:val="0"/>
      <w:marTop w:val="0"/>
      <w:marBottom w:val="0"/>
      <w:divBdr>
        <w:top w:val="none" w:sz="0" w:space="0" w:color="auto"/>
        <w:left w:val="none" w:sz="0" w:space="0" w:color="auto"/>
        <w:bottom w:val="none" w:sz="0" w:space="0" w:color="auto"/>
        <w:right w:val="none" w:sz="0" w:space="0" w:color="auto"/>
      </w:divBdr>
    </w:div>
    <w:div w:id="1917011021">
      <w:bodyDiv w:val="1"/>
      <w:marLeft w:val="0"/>
      <w:marRight w:val="0"/>
      <w:marTop w:val="0"/>
      <w:marBottom w:val="0"/>
      <w:divBdr>
        <w:top w:val="none" w:sz="0" w:space="0" w:color="auto"/>
        <w:left w:val="none" w:sz="0" w:space="0" w:color="auto"/>
        <w:bottom w:val="none" w:sz="0" w:space="0" w:color="auto"/>
        <w:right w:val="none" w:sz="0" w:space="0" w:color="auto"/>
      </w:divBdr>
    </w:div>
    <w:div w:id="1941451421">
      <w:bodyDiv w:val="1"/>
      <w:marLeft w:val="0"/>
      <w:marRight w:val="0"/>
      <w:marTop w:val="0"/>
      <w:marBottom w:val="0"/>
      <w:divBdr>
        <w:top w:val="none" w:sz="0" w:space="0" w:color="auto"/>
        <w:left w:val="none" w:sz="0" w:space="0" w:color="auto"/>
        <w:bottom w:val="none" w:sz="0" w:space="0" w:color="auto"/>
        <w:right w:val="none" w:sz="0" w:space="0" w:color="auto"/>
      </w:divBdr>
    </w:div>
    <w:div w:id="1947761371">
      <w:bodyDiv w:val="1"/>
      <w:marLeft w:val="0"/>
      <w:marRight w:val="0"/>
      <w:marTop w:val="0"/>
      <w:marBottom w:val="0"/>
      <w:divBdr>
        <w:top w:val="none" w:sz="0" w:space="0" w:color="auto"/>
        <w:left w:val="none" w:sz="0" w:space="0" w:color="auto"/>
        <w:bottom w:val="none" w:sz="0" w:space="0" w:color="auto"/>
        <w:right w:val="none" w:sz="0" w:space="0" w:color="auto"/>
      </w:divBdr>
    </w:div>
    <w:div w:id="1992903148">
      <w:bodyDiv w:val="1"/>
      <w:marLeft w:val="0"/>
      <w:marRight w:val="0"/>
      <w:marTop w:val="0"/>
      <w:marBottom w:val="0"/>
      <w:divBdr>
        <w:top w:val="none" w:sz="0" w:space="0" w:color="auto"/>
        <w:left w:val="none" w:sz="0" w:space="0" w:color="auto"/>
        <w:bottom w:val="none" w:sz="0" w:space="0" w:color="auto"/>
        <w:right w:val="none" w:sz="0" w:space="0" w:color="auto"/>
      </w:divBdr>
    </w:div>
    <w:div w:id="1997100322">
      <w:bodyDiv w:val="1"/>
      <w:marLeft w:val="0"/>
      <w:marRight w:val="0"/>
      <w:marTop w:val="0"/>
      <w:marBottom w:val="0"/>
      <w:divBdr>
        <w:top w:val="none" w:sz="0" w:space="0" w:color="auto"/>
        <w:left w:val="none" w:sz="0" w:space="0" w:color="auto"/>
        <w:bottom w:val="none" w:sz="0" w:space="0" w:color="auto"/>
        <w:right w:val="none" w:sz="0" w:space="0" w:color="auto"/>
      </w:divBdr>
    </w:div>
    <w:div w:id="1997144728">
      <w:bodyDiv w:val="1"/>
      <w:marLeft w:val="0"/>
      <w:marRight w:val="0"/>
      <w:marTop w:val="0"/>
      <w:marBottom w:val="0"/>
      <w:divBdr>
        <w:top w:val="none" w:sz="0" w:space="0" w:color="auto"/>
        <w:left w:val="none" w:sz="0" w:space="0" w:color="auto"/>
        <w:bottom w:val="none" w:sz="0" w:space="0" w:color="auto"/>
        <w:right w:val="none" w:sz="0" w:space="0" w:color="auto"/>
      </w:divBdr>
    </w:div>
    <w:div w:id="1998415246">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1">
          <w:marLeft w:val="0"/>
          <w:marRight w:val="0"/>
          <w:marTop w:val="0"/>
          <w:marBottom w:val="0"/>
          <w:divBdr>
            <w:top w:val="none" w:sz="0" w:space="0" w:color="auto"/>
            <w:left w:val="none" w:sz="0" w:space="0" w:color="auto"/>
            <w:bottom w:val="none" w:sz="0" w:space="0" w:color="auto"/>
            <w:right w:val="none" w:sz="0" w:space="0" w:color="auto"/>
          </w:divBdr>
          <w:divsChild>
            <w:div w:id="1779442576">
              <w:marLeft w:val="0"/>
              <w:marRight w:val="0"/>
              <w:marTop w:val="210"/>
              <w:marBottom w:val="105"/>
              <w:divBdr>
                <w:top w:val="none" w:sz="0" w:space="0" w:color="auto"/>
                <w:left w:val="none" w:sz="0" w:space="0" w:color="auto"/>
                <w:bottom w:val="none" w:sz="0" w:space="0" w:color="auto"/>
                <w:right w:val="none" w:sz="0" w:space="0" w:color="auto"/>
              </w:divBdr>
            </w:div>
          </w:divsChild>
        </w:div>
        <w:div w:id="1271354574">
          <w:marLeft w:val="0"/>
          <w:marRight w:val="0"/>
          <w:marTop w:val="720"/>
          <w:marBottom w:val="720"/>
          <w:divBdr>
            <w:top w:val="single" w:sz="6" w:space="0" w:color="D7D6D6"/>
            <w:left w:val="single" w:sz="6" w:space="0" w:color="D7D6D6"/>
            <w:bottom w:val="single" w:sz="6" w:space="0" w:color="D7D6D6"/>
            <w:right w:val="single" w:sz="6" w:space="0" w:color="D7D6D6"/>
          </w:divBdr>
          <w:divsChild>
            <w:div w:id="2063479470">
              <w:marLeft w:val="300"/>
              <w:marRight w:val="300"/>
              <w:marTop w:val="180"/>
              <w:marBottom w:val="0"/>
              <w:divBdr>
                <w:top w:val="none" w:sz="0" w:space="0" w:color="auto"/>
                <w:left w:val="none" w:sz="0" w:space="0" w:color="auto"/>
                <w:bottom w:val="single" w:sz="6" w:space="11" w:color="DCDCDC"/>
                <w:right w:val="none" w:sz="0" w:space="0" w:color="auto"/>
              </w:divBdr>
              <w:divsChild>
                <w:div w:id="161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47831">
      <w:bodyDiv w:val="1"/>
      <w:marLeft w:val="0"/>
      <w:marRight w:val="0"/>
      <w:marTop w:val="0"/>
      <w:marBottom w:val="0"/>
      <w:divBdr>
        <w:top w:val="none" w:sz="0" w:space="0" w:color="auto"/>
        <w:left w:val="none" w:sz="0" w:space="0" w:color="auto"/>
        <w:bottom w:val="none" w:sz="0" w:space="0" w:color="auto"/>
        <w:right w:val="none" w:sz="0" w:space="0" w:color="auto"/>
      </w:divBdr>
    </w:div>
    <w:div w:id="2013292391">
      <w:bodyDiv w:val="1"/>
      <w:marLeft w:val="0"/>
      <w:marRight w:val="0"/>
      <w:marTop w:val="0"/>
      <w:marBottom w:val="0"/>
      <w:divBdr>
        <w:top w:val="none" w:sz="0" w:space="0" w:color="auto"/>
        <w:left w:val="none" w:sz="0" w:space="0" w:color="auto"/>
        <w:bottom w:val="none" w:sz="0" w:space="0" w:color="auto"/>
        <w:right w:val="none" w:sz="0" w:space="0" w:color="auto"/>
      </w:divBdr>
      <w:divsChild>
        <w:div w:id="1536849360">
          <w:marLeft w:val="0"/>
          <w:marRight w:val="0"/>
          <w:marTop w:val="0"/>
          <w:marBottom w:val="0"/>
          <w:divBdr>
            <w:top w:val="none" w:sz="0" w:space="0" w:color="auto"/>
            <w:left w:val="none" w:sz="0" w:space="0" w:color="auto"/>
            <w:bottom w:val="none" w:sz="0" w:space="0" w:color="auto"/>
            <w:right w:val="none" w:sz="0" w:space="0" w:color="auto"/>
          </w:divBdr>
          <w:divsChild>
            <w:div w:id="836502193">
              <w:marLeft w:val="0"/>
              <w:marRight w:val="0"/>
              <w:marTop w:val="0"/>
              <w:marBottom w:val="0"/>
              <w:divBdr>
                <w:top w:val="none" w:sz="0" w:space="0" w:color="auto"/>
                <w:left w:val="none" w:sz="0" w:space="0" w:color="auto"/>
                <w:bottom w:val="none" w:sz="0" w:space="0" w:color="auto"/>
                <w:right w:val="none" w:sz="0" w:space="0" w:color="auto"/>
              </w:divBdr>
            </w:div>
          </w:divsChild>
        </w:div>
        <w:div w:id="273296110">
          <w:marLeft w:val="0"/>
          <w:marRight w:val="0"/>
          <w:marTop w:val="0"/>
          <w:marBottom w:val="150"/>
          <w:divBdr>
            <w:top w:val="none" w:sz="0" w:space="0" w:color="auto"/>
            <w:left w:val="none" w:sz="0" w:space="0" w:color="auto"/>
            <w:bottom w:val="none" w:sz="0" w:space="0" w:color="auto"/>
            <w:right w:val="none" w:sz="0" w:space="0" w:color="auto"/>
          </w:divBdr>
          <w:divsChild>
            <w:div w:id="2041973087">
              <w:marLeft w:val="0"/>
              <w:marRight w:val="0"/>
              <w:marTop w:val="0"/>
              <w:marBottom w:val="0"/>
              <w:divBdr>
                <w:top w:val="none" w:sz="0" w:space="0" w:color="auto"/>
                <w:left w:val="none" w:sz="0" w:space="0" w:color="auto"/>
                <w:bottom w:val="none" w:sz="0" w:space="0" w:color="auto"/>
                <w:right w:val="none" w:sz="0" w:space="0" w:color="auto"/>
              </w:divBdr>
              <w:divsChild>
                <w:div w:id="1020741657">
                  <w:marLeft w:val="0"/>
                  <w:marRight w:val="0"/>
                  <w:marTop w:val="0"/>
                  <w:marBottom w:val="0"/>
                  <w:divBdr>
                    <w:top w:val="none" w:sz="0" w:space="0" w:color="auto"/>
                    <w:left w:val="none" w:sz="0" w:space="0" w:color="auto"/>
                    <w:bottom w:val="none" w:sz="0" w:space="0" w:color="auto"/>
                    <w:right w:val="none" w:sz="0" w:space="0" w:color="auto"/>
                  </w:divBdr>
                  <w:divsChild>
                    <w:div w:id="1545563455">
                      <w:marLeft w:val="0"/>
                      <w:marRight w:val="0"/>
                      <w:marTop w:val="0"/>
                      <w:marBottom w:val="0"/>
                      <w:divBdr>
                        <w:top w:val="none" w:sz="0" w:space="0" w:color="auto"/>
                        <w:left w:val="none" w:sz="0" w:space="0" w:color="auto"/>
                        <w:bottom w:val="none" w:sz="0" w:space="0" w:color="auto"/>
                        <w:right w:val="none" w:sz="0" w:space="0" w:color="auto"/>
                      </w:divBdr>
                      <w:divsChild>
                        <w:div w:id="16924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861108">
      <w:bodyDiv w:val="1"/>
      <w:marLeft w:val="0"/>
      <w:marRight w:val="0"/>
      <w:marTop w:val="0"/>
      <w:marBottom w:val="0"/>
      <w:divBdr>
        <w:top w:val="none" w:sz="0" w:space="0" w:color="auto"/>
        <w:left w:val="none" w:sz="0" w:space="0" w:color="auto"/>
        <w:bottom w:val="none" w:sz="0" w:space="0" w:color="auto"/>
        <w:right w:val="none" w:sz="0" w:space="0" w:color="auto"/>
      </w:divBdr>
      <w:divsChild>
        <w:div w:id="1171019992">
          <w:marLeft w:val="0"/>
          <w:marRight w:val="0"/>
          <w:marTop w:val="720"/>
          <w:marBottom w:val="720"/>
          <w:divBdr>
            <w:top w:val="single" w:sz="6" w:space="0" w:color="D7D6D6"/>
            <w:left w:val="single" w:sz="6" w:space="0" w:color="D7D6D6"/>
            <w:bottom w:val="single" w:sz="6" w:space="0" w:color="D7D6D6"/>
            <w:right w:val="single" w:sz="6" w:space="0" w:color="D7D6D6"/>
          </w:divBdr>
          <w:divsChild>
            <w:div w:id="697857588">
              <w:marLeft w:val="300"/>
              <w:marRight w:val="300"/>
              <w:marTop w:val="180"/>
              <w:marBottom w:val="0"/>
              <w:divBdr>
                <w:top w:val="none" w:sz="0" w:space="0" w:color="auto"/>
                <w:left w:val="none" w:sz="0" w:space="0" w:color="auto"/>
                <w:bottom w:val="single" w:sz="6" w:space="11" w:color="DCDCDC"/>
                <w:right w:val="none" w:sz="0" w:space="0" w:color="auto"/>
              </w:divBdr>
              <w:divsChild>
                <w:div w:id="6426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682">
          <w:marLeft w:val="0"/>
          <w:marRight w:val="0"/>
          <w:marTop w:val="0"/>
          <w:marBottom w:val="0"/>
          <w:divBdr>
            <w:top w:val="none" w:sz="0" w:space="0" w:color="auto"/>
            <w:left w:val="none" w:sz="0" w:space="0" w:color="auto"/>
            <w:bottom w:val="none" w:sz="0" w:space="0" w:color="auto"/>
            <w:right w:val="none" w:sz="0" w:space="0" w:color="auto"/>
          </w:divBdr>
          <w:divsChild>
            <w:div w:id="1064066249">
              <w:marLeft w:val="0"/>
              <w:marRight w:val="0"/>
              <w:marTop w:val="210"/>
              <w:marBottom w:val="105"/>
              <w:divBdr>
                <w:top w:val="none" w:sz="0" w:space="0" w:color="auto"/>
                <w:left w:val="none" w:sz="0" w:space="0" w:color="auto"/>
                <w:bottom w:val="none" w:sz="0" w:space="0" w:color="auto"/>
                <w:right w:val="none" w:sz="0" w:space="0" w:color="auto"/>
              </w:divBdr>
            </w:div>
          </w:divsChild>
        </w:div>
      </w:divsChild>
    </w:div>
    <w:div w:id="2042047590">
      <w:bodyDiv w:val="1"/>
      <w:marLeft w:val="0"/>
      <w:marRight w:val="0"/>
      <w:marTop w:val="0"/>
      <w:marBottom w:val="0"/>
      <w:divBdr>
        <w:top w:val="none" w:sz="0" w:space="0" w:color="auto"/>
        <w:left w:val="none" w:sz="0" w:space="0" w:color="auto"/>
        <w:bottom w:val="none" w:sz="0" w:space="0" w:color="auto"/>
        <w:right w:val="none" w:sz="0" w:space="0" w:color="auto"/>
      </w:divBdr>
      <w:divsChild>
        <w:div w:id="1900047992">
          <w:marLeft w:val="0"/>
          <w:marRight w:val="0"/>
          <w:marTop w:val="225"/>
          <w:marBottom w:val="225"/>
          <w:divBdr>
            <w:top w:val="none" w:sz="0" w:space="0" w:color="auto"/>
            <w:left w:val="none" w:sz="0" w:space="0" w:color="auto"/>
            <w:bottom w:val="none" w:sz="0" w:space="0" w:color="auto"/>
            <w:right w:val="none" w:sz="0" w:space="0" w:color="auto"/>
          </w:divBdr>
          <w:divsChild>
            <w:div w:id="455759007">
              <w:marLeft w:val="0"/>
              <w:marRight w:val="0"/>
              <w:marTop w:val="0"/>
              <w:marBottom w:val="0"/>
              <w:divBdr>
                <w:top w:val="none" w:sz="0" w:space="0" w:color="auto"/>
                <w:left w:val="none" w:sz="0" w:space="0" w:color="auto"/>
                <w:bottom w:val="none" w:sz="0" w:space="0" w:color="auto"/>
                <w:right w:val="none" w:sz="0" w:space="0" w:color="auto"/>
              </w:divBdr>
              <w:divsChild>
                <w:div w:id="1435442612">
                  <w:marLeft w:val="0"/>
                  <w:marRight w:val="0"/>
                  <w:marTop w:val="0"/>
                  <w:marBottom w:val="0"/>
                  <w:divBdr>
                    <w:top w:val="none" w:sz="0" w:space="0" w:color="auto"/>
                    <w:left w:val="none" w:sz="0" w:space="0" w:color="auto"/>
                    <w:bottom w:val="none" w:sz="0" w:space="0" w:color="auto"/>
                    <w:right w:val="none" w:sz="0" w:space="0" w:color="auto"/>
                  </w:divBdr>
                  <w:divsChild>
                    <w:div w:id="355160349">
                      <w:marLeft w:val="0"/>
                      <w:marRight w:val="0"/>
                      <w:marTop w:val="0"/>
                      <w:marBottom w:val="0"/>
                      <w:divBdr>
                        <w:top w:val="none" w:sz="0" w:space="0" w:color="auto"/>
                        <w:left w:val="none" w:sz="0" w:space="0" w:color="auto"/>
                        <w:bottom w:val="none" w:sz="0" w:space="0" w:color="auto"/>
                        <w:right w:val="none" w:sz="0" w:space="0" w:color="auto"/>
                      </w:divBdr>
                    </w:div>
                    <w:div w:id="1411583978">
                      <w:marLeft w:val="0"/>
                      <w:marRight w:val="0"/>
                      <w:marTop w:val="0"/>
                      <w:marBottom w:val="0"/>
                      <w:divBdr>
                        <w:top w:val="none" w:sz="0" w:space="0" w:color="auto"/>
                        <w:left w:val="none" w:sz="0" w:space="0" w:color="auto"/>
                        <w:bottom w:val="none" w:sz="0" w:space="0" w:color="auto"/>
                        <w:right w:val="none" w:sz="0" w:space="0" w:color="auto"/>
                      </w:divBdr>
                    </w:div>
                    <w:div w:id="1051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50158">
          <w:marLeft w:val="0"/>
          <w:marRight w:val="0"/>
          <w:marTop w:val="225"/>
          <w:marBottom w:val="225"/>
          <w:divBdr>
            <w:top w:val="none" w:sz="0" w:space="0" w:color="auto"/>
            <w:left w:val="none" w:sz="0" w:space="0" w:color="auto"/>
            <w:bottom w:val="none" w:sz="0" w:space="0" w:color="auto"/>
            <w:right w:val="none" w:sz="0" w:space="0" w:color="auto"/>
          </w:divBdr>
          <w:divsChild>
            <w:div w:id="301470448">
              <w:marLeft w:val="0"/>
              <w:marRight w:val="0"/>
              <w:marTop w:val="0"/>
              <w:marBottom w:val="0"/>
              <w:divBdr>
                <w:top w:val="none" w:sz="0" w:space="0" w:color="auto"/>
                <w:left w:val="none" w:sz="0" w:space="0" w:color="auto"/>
                <w:bottom w:val="none" w:sz="0" w:space="0" w:color="auto"/>
                <w:right w:val="none" w:sz="0" w:space="0" w:color="auto"/>
              </w:divBdr>
            </w:div>
            <w:div w:id="220294854">
              <w:marLeft w:val="0"/>
              <w:marRight w:val="0"/>
              <w:marTop w:val="0"/>
              <w:marBottom w:val="0"/>
              <w:divBdr>
                <w:top w:val="none" w:sz="0" w:space="0" w:color="auto"/>
                <w:left w:val="none" w:sz="0" w:space="0" w:color="auto"/>
                <w:bottom w:val="none" w:sz="0" w:space="0" w:color="auto"/>
                <w:right w:val="none" w:sz="0" w:space="0" w:color="auto"/>
              </w:divBdr>
            </w:div>
            <w:div w:id="10584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8365">
      <w:bodyDiv w:val="1"/>
      <w:marLeft w:val="0"/>
      <w:marRight w:val="0"/>
      <w:marTop w:val="0"/>
      <w:marBottom w:val="0"/>
      <w:divBdr>
        <w:top w:val="none" w:sz="0" w:space="0" w:color="auto"/>
        <w:left w:val="none" w:sz="0" w:space="0" w:color="auto"/>
        <w:bottom w:val="none" w:sz="0" w:space="0" w:color="auto"/>
        <w:right w:val="none" w:sz="0" w:space="0" w:color="auto"/>
      </w:divBdr>
      <w:divsChild>
        <w:div w:id="26296607">
          <w:marLeft w:val="0"/>
          <w:marRight w:val="0"/>
          <w:marTop w:val="0"/>
          <w:marBottom w:val="0"/>
          <w:divBdr>
            <w:top w:val="none" w:sz="0" w:space="0" w:color="auto"/>
            <w:left w:val="none" w:sz="0" w:space="0" w:color="auto"/>
            <w:bottom w:val="none" w:sz="0" w:space="0" w:color="auto"/>
            <w:right w:val="none" w:sz="0" w:space="0" w:color="auto"/>
          </w:divBdr>
        </w:div>
        <w:div w:id="1440224576">
          <w:marLeft w:val="0"/>
          <w:marRight w:val="0"/>
          <w:marTop w:val="0"/>
          <w:marBottom w:val="0"/>
          <w:divBdr>
            <w:top w:val="none" w:sz="0" w:space="0" w:color="auto"/>
            <w:left w:val="none" w:sz="0" w:space="0" w:color="auto"/>
            <w:bottom w:val="none" w:sz="0" w:space="0" w:color="auto"/>
            <w:right w:val="none" w:sz="0" w:space="0" w:color="auto"/>
          </w:divBdr>
        </w:div>
        <w:div w:id="1473643517">
          <w:marLeft w:val="0"/>
          <w:marRight w:val="0"/>
          <w:marTop w:val="0"/>
          <w:marBottom w:val="0"/>
          <w:divBdr>
            <w:top w:val="none" w:sz="0" w:space="0" w:color="auto"/>
            <w:left w:val="none" w:sz="0" w:space="0" w:color="auto"/>
            <w:bottom w:val="none" w:sz="0" w:space="0" w:color="auto"/>
            <w:right w:val="none" w:sz="0" w:space="0" w:color="auto"/>
          </w:divBdr>
        </w:div>
      </w:divsChild>
    </w:div>
    <w:div w:id="2096514866">
      <w:bodyDiv w:val="1"/>
      <w:marLeft w:val="0"/>
      <w:marRight w:val="0"/>
      <w:marTop w:val="0"/>
      <w:marBottom w:val="0"/>
      <w:divBdr>
        <w:top w:val="none" w:sz="0" w:space="0" w:color="auto"/>
        <w:left w:val="none" w:sz="0" w:space="0" w:color="auto"/>
        <w:bottom w:val="none" w:sz="0" w:space="0" w:color="auto"/>
        <w:right w:val="none" w:sz="0" w:space="0" w:color="auto"/>
      </w:divBdr>
    </w:div>
    <w:div w:id="2111468152">
      <w:bodyDiv w:val="1"/>
      <w:marLeft w:val="0"/>
      <w:marRight w:val="0"/>
      <w:marTop w:val="0"/>
      <w:marBottom w:val="0"/>
      <w:divBdr>
        <w:top w:val="none" w:sz="0" w:space="0" w:color="auto"/>
        <w:left w:val="none" w:sz="0" w:space="0" w:color="auto"/>
        <w:bottom w:val="none" w:sz="0" w:space="0" w:color="auto"/>
        <w:right w:val="none" w:sz="0" w:space="0" w:color="auto"/>
      </w:divBdr>
      <w:divsChild>
        <w:div w:id="1050498869">
          <w:marLeft w:val="0"/>
          <w:marRight w:val="0"/>
          <w:marTop w:val="0"/>
          <w:marBottom w:val="0"/>
          <w:divBdr>
            <w:top w:val="none" w:sz="0" w:space="0" w:color="auto"/>
            <w:left w:val="none" w:sz="0" w:space="0" w:color="auto"/>
            <w:bottom w:val="none" w:sz="0" w:space="0" w:color="auto"/>
            <w:right w:val="none" w:sz="0" w:space="0" w:color="auto"/>
          </w:divBdr>
        </w:div>
        <w:div w:id="826819767">
          <w:marLeft w:val="0"/>
          <w:marRight w:val="0"/>
          <w:marTop w:val="0"/>
          <w:marBottom w:val="0"/>
          <w:divBdr>
            <w:top w:val="none" w:sz="0" w:space="0" w:color="auto"/>
            <w:left w:val="none" w:sz="0" w:space="0" w:color="auto"/>
            <w:bottom w:val="none" w:sz="0" w:space="0" w:color="auto"/>
            <w:right w:val="none" w:sz="0" w:space="0" w:color="auto"/>
          </w:divBdr>
        </w:div>
        <w:div w:id="1135876761">
          <w:marLeft w:val="0"/>
          <w:marRight w:val="0"/>
          <w:marTop w:val="0"/>
          <w:marBottom w:val="0"/>
          <w:divBdr>
            <w:top w:val="none" w:sz="0" w:space="0" w:color="auto"/>
            <w:left w:val="none" w:sz="0" w:space="0" w:color="auto"/>
            <w:bottom w:val="none" w:sz="0" w:space="0" w:color="auto"/>
            <w:right w:val="none" w:sz="0" w:space="0" w:color="auto"/>
          </w:divBdr>
        </w:div>
      </w:divsChild>
    </w:div>
    <w:div w:id="2122142307">
      <w:bodyDiv w:val="1"/>
      <w:marLeft w:val="0"/>
      <w:marRight w:val="0"/>
      <w:marTop w:val="0"/>
      <w:marBottom w:val="0"/>
      <w:divBdr>
        <w:top w:val="none" w:sz="0" w:space="0" w:color="auto"/>
        <w:left w:val="none" w:sz="0" w:space="0" w:color="auto"/>
        <w:bottom w:val="none" w:sz="0" w:space="0" w:color="auto"/>
        <w:right w:val="none" w:sz="0" w:space="0" w:color="auto"/>
      </w:divBdr>
      <w:divsChild>
        <w:div w:id="355890050">
          <w:marLeft w:val="0"/>
          <w:marRight w:val="0"/>
          <w:marTop w:val="0"/>
          <w:marBottom w:val="0"/>
          <w:divBdr>
            <w:top w:val="none" w:sz="0" w:space="0" w:color="auto"/>
            <w:left w:val="none" w:sz="0" w:space="0" w:color="auto"/>
            <w:bottom w:val="none" w:sz="0" w:space="0" w:color="auto"/>
            <w:right w:val="none" w:sz="0" w:space="0" w:color="auto"/>
          </w:divBdr>
          <w:divsChild>
            <w:div w:id="2089887460">
              <w:marLeft w:val="0"/>
              <w:marRight w:val="0"/>
              <w:marTop w:val="0"/>
              <w:marBottom w:val="0"/>
              <w:divBdr>
                <w:top w:val="none" w:sz="0" w:space="0" w:color="auto"/>
                <w:left w:val="none" w:sz="0" w:space="0" w:color="auto"/>
                <w:bottom w:val="none" w:sz="0" w:space="0" w:color="auto"/>
                <w:right w:val="none" w:sz="0" w:space="0" w:color="auto"/>
              </w:divBdr>
              <w:divsChild>
                <w:div w:id="1212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3148">
      <w:bodyDiv w:val="1"/>
      <w:marLeft w:val="0"/>
      <w:marRight w:val="0"/>
      <w:marTop w:val="0"/>
      <w:marBottom w:val="0"/>
      <w:divBdr>
        <w:top w:val="none" w:sz="0" w:space="0" w:color="auto"/>
        <w:left w:val="none" w:sz="0" w:space="0" w:color="auto"/>
        <w:bottom w:val="none" w:sz="0" w:space="0" w:color="auto"/>
        <w:right w:val="none" w:sz="0" w:space="0" w:color="auto"/>
      </w:divBdr>
    </w:div>
    <w:div w:id="213826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FFA6-4F3F-6A45-9D51-339AD6EC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Kendall School</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Howard</dc:creator>
  <cp:lastModifiedBy>Harold Stanislaw</cp:lastModifiedBy>
  <cp:revision>112</cp:revision>
  <cp:lastPrinted>2019-05-25T01:06:00Z</cp:lastPrinted>
  <dcterms:created xsi:type="dcterms:W3CDTF">2018-12-11T03:15:00Z</dcterms:created>
  <dcterms:modified xsi:type="dcterms:W3CDTF">2019-06-10T23:39:00Z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