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4CE57" w14:textId="0B731971" w:rsidR="008531CB" w:rsidRDefault="003D3E11" w:rsidP="00023DBB">
      <w:pPr>
        <w:spacing w:after="120"/>
        <w:rPr>
          <w:color w:val="000000" w:themeColor="text1"/>
        </w:rPr>
      </w:pPr>
      <w:r w:rsidRPr="008454ED">
        <w:rPr>
          <w:b/>
          <w:color w:val="000000" w:themeColor="text1"/>
        </w:rPr>
        <w:t>Table 1.</w:t>
      </w:r>
      <w:r w:rsidRPr="008454ED">
        <w:rPr>
          <w:color w:val="000000" w:themeColor="text1"/>
        </w:rPr>
        <w:t xml:space="preserve"> </w:t>
      </w:r>
      <w:r w:rsidR="00023DBB" w:rsidRPr="008454ED">
        <w:rPr>
          <w:color w:val="000000" w:themeColor="text1"/>
        </w:rPr>
        <w:t>Reporting</w:t>
      </w:r>
      <w:r w:rsidR="00B334F6" w:rsidRPr="008454ED">
        <w:rPr>
          <w:color w:val="000000" w:themeColor="text1"/>
        </w:rPr>
        <w:t xml:space="preserve"> C</w:t>
      </w:r>
      <w:r w:rsidR="00023DBB" w:rsidRPr="008454ED">
        <w:rPr>
          <w:color w:val="000000" w:themeColor="text1"/>
        </w:rPr>
        <w:t>hecklist for the Delphi Technique</w:t>
      </w:r>
    </w:p>
    <w:p w14:paraId="6AB76B71" w14:textId="77777777" w:rsidR="00764A9B" w:rsidRDefault="00764A9B" w:rsidP="00023DBB">
      <w:pPr>
        <w:spacing w:after="120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0C52C4" w:rsidRPr="00DF50F3" w14:paraId="2AF540D9" w14:textId="77777777" w:rsidTr="00DF50F3">
        <w:tc>
          <w:tcPr>
            <w:tcW w:w="2785" w:type="dxa"/>
            <w:shd w:val="clear" w:color="auto" w:fill="D9D9D9" w:themeFill="background1" w:themeFillShade="D9"/>
          </w:tcPr>
          <w:p w14:paraId="610D0523" w14:textId="5E3219E4" w:rsidR="00764A9B" w:rsidRPr="00DF50F3" w:rsidRDefault="00764A9B" w:rsidP="00023DBB">
            <w:pPr>
              <w:spacing w:after="120"/>
              <w:rPr>
                <w:b/>
                <w:color w:val="000000" w:themeColor="text1"/>
              </w:rPr>
            </w:pPr>
            <w:r w:rsidRPr="00DF50F3">
              <w:rPr>
                <w:b/>
                <w:color w:val="000000" w:themeColor="text1"/>
              </w:rPr>
              <w:t>Checklist Item</w:t>
            </w:r>
          </w:p>
        </w:tc>
        <w:tc>
          <w:tcPr>
            <w:tcW w:w="6565" w:type="dxa"/>
            <w:shd w:val="clear" w:color="auto" w:fill="D9D9D9" w:themeFill="background1" w:themeFillShade="D9"/>
          </w:tcPr>
          <w:p w14:paraId="4B8AE80E" w14:textId="16144DF4" w:rsidR="00764A9B" w:rsidRPr="00DF50F3" w:rsidRDefault="00764A9B" w:rsidP="00023DBB">
            <w:pPr>
              <w:spacing w:after="120"/>
              <w:rPr>
                <w:b/>
                <w:color w:val="000000" w:themeColor="text1"/>
              </w:rPr>
            </w:pPr>
            <w:r w:rsidRPr="00DF50F3">
              <w:rPr>
                <w:b/>
                <w:color w:val="000000" w:themeColor="text1"/>
              </w:rPr>
              <w:t>Description</w:t>
            </w:r>
          </w:p>
        </w:tc>
      </w:tr>
      <w:tr w:rsidR="00764A9B" w14:paraId="74E44A3F" w14:textId="77777777" w:rsidTr="00764A9B">
        <w:tc>
          <w:tcPr>
            <w:tcW w:w="2785" w:type="dxa"/>
          </w:tcPr>
          <w:p w14:paraId="1DC57D8E" w14:textId="431822E2" w:rsidR="00764A9B" w:rsidRPr="000C52C4" w:rsidRDefault="00764A9B" w:rsidP="000C52C4">
            <w:pPr>
              <w:pStyle w:val="ListParagraph"/>
              <w:numPr>
                <w:ilvl w:val="0"/>
                <w:numId w:val="36"/>
              </w:numPr>
              <w:spacing w:after="120"/>
              <w:ind w:left="249" w:hanging="270"/>
              <w:rPr>
                <w:rFonts w:ascii="Times New Roman" w:hAnsi="Times New Roman" w:cs="Times New Roman"/>
                <w:color w:val="000000" w:themeColor="text1"/>
              </w:rPr>
            </w:pPr>
            <w:r w:rsidRPr="000C52C4">
              <w:rPr>
                <w:rFonts w:ascii="Times New Roman" w:hAnsi="Times New Roman" w:cs="Times New Roman"/>
                <w:color w:val="000000" w:themeColor="text1"/>
              </w:rPr>
              <w:t>Research Problem</w:t>
            </w:r>
          </w:p>
        </w:tc>
        <w:tc>
          <w:tcPr>
            <w:tcW w:w="6565" w:type="dxa"/>
          </w:tcPr>
          <w:p w14:paraId="3C6E7752" w14:textId="6BDEDE5A" w:rsidR="00764A9B" w:rsidRPr="00BD3E76" w:rsidRDefault="00DF50F3" w:rsidP="00DF50F3">
            <w:pPr>
              <w:spacing w:after="120"/>
              <w:rPr>
                <w:color w:val="000000" w:themeColor="text1"/>
              </w:rPr>
            </w:pPr>
            <w:r w:rsidRPr="00BD3E76">
              <w:rPr>
                <w:color w:val="000000" w:themeColor="text1"/>
              </w:rPr>
              <w:t xml:space="preserve">Pre-, intra-, and postoperative management following hip arthroscopy for </w:t>
            </w:r>
            <w:proofErr w:type="spellStart"/>
            <w:r w:rsidRPr="00BD3E76">
              <w:rPr>
                <w:color w:val="000000" w:themeColor="text1"/>
              </w:rPr>
              <w:t>Femoroacetabular</w:t>
            </w:r>
            <w:proofErr w:type="spellEnd"/>
            <w:r w:rsidRPr="00BD3E76">
              <w:rPr>
                <w:color w:val="000000" w:themeColor="text1"/>
              </w:rPr>
              <w:t xml:space="preserve"> Impingement Syndrome (FAI)</w:t>
            </w:r>
          </w:p>
        </w:tc>
      </w:tr>
      <w:tr w:rsidR="00764A9B" w14:paraId="12346569" w14:textId="77777777" w:rsidTr="00764A9B">
        <w:tc>
          <w:tcPr>
            <w:tcW w:w="2785" w:type="dxa"/>
          </w:tcPr>
          <w:p w14:paraId="75013B55" w14:textId="0FFF16E4" w:rsidR="00764A9B" w:rsidRPr="000C52C4" w:rsidRDefault="00764A9B" w:rsidP="000C52C4">
            <w:pPr>
              <w:pStyle w:val="ListParagraph"/>
              <w:numPr>
                <w:ilvl w:val="0"/>
                <w:numId w:val="36"/>
              </w:numPr>
              <w:spacing w:after="120"/>
              <w:ind w:left="249" w:hanging="270"/>
              <w:rPr>
                <w:rFonts w:ascii="Times New Roman" w:hAnsi="Times New Roman" w:cs="Times New Roman"/>
                <w:color w:val="000000" w:themeColor="text1"/>
              </w:rPr>
            </w:pPr>
            <w:r w:rsidRPr="000C52C4">
              <w:rPr>
                <w:rFonts w:ascii="Times New Roman" w:hAnsi="Times New Roman" w:cs="Times New Roman"/>
                <w:color w:val="000000" w:themeColor="text1"/>
              </w:rPr>
              <w:t>Research Rationale</w:t>
            </w:r>
          </w:p>
        </w:tc>
        <w:tc>
          <w:tcPr>
            <w:tcW w:w="6565" w:type="dxa"/>
          </w:tcPr>
          <w:p w14:paraId="4B4E342C" w14:textId="3436423C" w:rsidR="00764A9B" w:rsidRPr="00BD3E76" w:rsidRDefault="00DF50F3" w:rsidP="00DF50F3">
            <w:pPr>
              <w:spacing w:after="120"/>
              <w:rPr>
                <w:color w:val="000000" w:themeColor="text1"/>
              </w:rPr>
            </w:pPr>
            <w:r w:rsidRPr="00BD3E76">
              <w:rPr>
                <w:color w:val="000000" w:themeColor="text1"/>
              </w:rPr>
              <w:t>Standardize treatment at a national level using evidence-based guidelines and group consensus where published literature is currently lacking</w:t>
            </w:r>
          </w:p>
        </w:tc>
      </w:tr>
      <w:tr w:rsidR="00764A9B" w14:paraId="6329EAF8" w14:textId="77777777" w:rsidTr="00764A9B">
        <w:tc>
          <w:tcPr>
            <w:tcW w:w="2785" w:type="dxa"/>
          </w:tcPr>
          <w:p w14:paraId="7F23366C" w14:textId="481DD3B0" w:rsidR="00764A9B" w:rsidRPr="000C52C4" w:rsidRDefault="00764A9B" w:rsidP="000C52C4">
            <w:pPr>
              <w:pStyle w:val="ListParagraph"/>
              <w:numPr>
                <w:ilvl w:val="0"/>
                <w:numId w:val="36"/>
              </w:numPr>
              <w:spacing w:after="120"/>
              <w:ind w:left="249" w:hanging="270"/>
              <w:rPr>
                <w:rFonts w:ascii="Times New Roman" w:hAnsi="Times New Roman" w:cs="Times New Roman"/>
                <w:color w:val="000000" w:themeColor="text1"/>
              </w:rPr>
            </w:pPr>
            <w:r w:rsidRPr="000C52C4">
              <w:rPr>
                <w:rFonts w:ascii="Times New Roman" w:hAnsi="Times New Roman" w:cs="Times New Roman"/>
                <w:color w:val="000000" w:themeColor="text1"/>
              </w:rPr>
              <w:t>Literature Review</w:t>
            </w:r>
          </w:p>
        </w:tc>
        <w:tc>
          <w:tcPr>
            <w:tcW w:w="6565" w:type="dxa"/>
          </w:tcPr>
          <w:p w14:paraId="04EBBFCE" w14:textId="2C7472E7" w:rsidR="00764A9B" w:rsidRPr="00BD3E76" w:rsidRDefault="00BD3E76" w:rsidP="00BD3E76">
            <w:pPr>
              <w:spacing w:after="120"/>
              <w:rPr>
                <w:color w:val="000000" w:themeColor="text1"/>
              </w:rPr>
            </w:pPr>
            <w:r w:rsidRPr="00BD3E76">
              <w:rPr>
                <w:color w:val="000000" w:themeColor="text1"/>
              </w:rPr>
              <w:t>Peer-reviewed s</w:t>
            </w:r>
            <w:r w:rsidR="00DF50F3" w:rsidRPr="00BD3E76">
              <w:rPr>
                <w:color w:val="000000" w:themeColor="text1"/>
              </w:rPr>
              <w:t xml:space="preserve">ystematic review and meta-analysis of published literature, including 31 studies with 1,981 </w:t>
            </w:r>
            <w:proofErr w:type="spellStart"/>
            <w:r w:rsidR="00DF50F3" w:rsidRPr="00BD3E76">
              <w:rPr>
                <w:color w:val="000000" w:themeColor="text1"/>
              </w:rPr>
              <w:t>hips</w:t>
            </w:r>
            <w:proofErr w:type="spellEnd"/>
            <w:r w:rsidR="00DF50F3" w:rsidRPr="00BD3E76">
              <w:rPr>
                <w:color w:val="000000" w:themeColor="text1"/>
              </w:rPr>
              <w:t xml:space="preserve"> in 1,911 patients (accepted by AJSM)</w:t>
            </w:r>
          </w:p>
        </w:tc>
      </w:tr>
      <w:tr w:rsidR="00764A9B" w14:paraId="37724A2F" w14:textId="77777777" w:rsidTr="00764A9B">
        <w:tc>
          <w:tcPr>
            <w:tcW w:w="2785" w:type="dxa"/>
          </w:tcPr>
          <w:p w14:paraId="5A282194" w14:textId="3B4EDCE2" w:rsidR="00764A9B" w:rsidRPr="000C52C4" w:rsidRDefault="00764A9B" w:rsidP="000C52C4">
            <w:pPr>
              <w:pStyle w:val="ListParagraph"/>
              <w:numPr>
                <w:ilvl w:val="0"/>
                <w:numId w:val="36"/>
              </w:numPr>
              <w:spacing w:after="120"/>
              <w:ind w:left="249" w:hanging="270"/>
              <w:rPr>
                <w:rFonts w:ascii="Times New Roman" w:hAnsi="Times New Roman" w:cs="Times New Roman"/>
                <w:color w:val="000000" w:themeColor="text1"/>
              </w:rPr>
            </w:pPr>
            <w:r w:rsidRPr="000C52C4">
              <w:rPr>
                <w:rFonts w:ascii="Times New Roman" w:hAnsi="Times New Roman" w:cs="Times New Roman"/>
                <w:color w:val="000000" w:themeColor="text1"/>
              </w:rPr>
              <w:t>Methodology</w:t>
            </w:r>
          </w:p>
        </w:tc>
        <w:tc>
          <w:tcPr>
            <w:tcW w:w="6565" w:type="dxa"/>
          </w:tcPr>
          <w:p w14:paraId="30106EB1" w14:textId="0C430571" w:rsidR="00764A9B" w:rsidRPr="00BD3E76" w:rsidRDefault="00DF50F3" w:rsidP="00AD0BAD">
            <w:pPr>
              <w:pStyle w:val="ListParagraph"/>
              <w:numPr>
                <w:ilvl w:val="0"/>
                <w:numId w:val="35"/>
              </w:numPr>
              <w:spacing w:after="120"/>
              <w:ind w:left="162" w:hanging="180"/>
              <w:rPr>
                <w:rFonts w:ascii="Times New Roman" w:hAnsi="Times New Roman" w:cs="Times New Roman"/>
                <w:color w:val="000000" w:themeColor="text1"/>
              </w:rPr>
            </w:pPr>
            <w:r w:rsidRPr="00BD3E76">
              <w:rPr>
                <w:rFonts w:ascii="Times New Roman" w:hAnsi="Times New Roman" w:cs="Times New Roman"/>
                <w:color w:val="000000" w:themeColor="text1"/>
              </w:rPr>
              <w:t>Data collection: blinded collection utilizing the Qualtrics platform and Poll Everywhere to guarantee anonymity during voting</w:t>
            </w:r>
          </w:p>
          <w:p w14:paraId="4101BF47" w14:textId="77777777" w:rsidR="00DF50F3" w:rsidRPr="00BD3E76" w:rsidRDefault="00DF50F3" w:rsidP="00AD0BAD">
            <w:pPr>
              <w:pStyle w:val="ListParagraph"/>
              <w:numPr>
                <w:ilvl w:val="0"/>
                <w:numId w:val="35"/>
              </w:numPr>
              <w:spacing w:after="120"/>
              <w:ind w:left="162" w:hanging="180"/>
              <w:rPr>
                <w:rFonts w:ascii="Times New Roman" w:hAnsi="Times New Roman" w:cs="Times New Roman"/>
                <w:color w:val="000000" w:themeColor="text1"/>
              </w:rPr>
            </w:pPr>
            <w:r w:rsidRPr="00BD3E76">
              <w:rPr>
                <w:rFonts w:ascii="Times New Roman" w:hAnsi="Times New Roman" w:cs="Times New Roman"/>
                <w:color w:val="000000" w:themeColor="text1"/>
              </w:rPr>
              <w:t>Rounds: survey of current practices followed by 3 Delphi rounds</w:t>
            </w:r>
          </w:p>
          <w:p w14:paraId="425BB285" w14:textId="08D9432F" w:rsidR="00DF50F3" w:rsidRPr="00BD3E76" w:rsidRDefault="00AD0BAD" w:rsidP="00AD0BAD">
            <w:pPr>
              <w:pStyle w:val="ListParagraph"/>
              <w:numPr>
                <w:ilvl w:val="0"/>
                <w:numId w:val="35"/>
              </w:numPr>
              <w:spacing w:after="120"/>
              <w:ind w:left="162" w:hanging="180"/>
              <w:rPr>
                <w:rFonts w:ascii="Times New Roman" w:hAnsi="Times New Roman" w:cs="Times New Roman"/>
                <w:color w:val="000000" w:themeColor="text1"/>
              </w:rPr>
            </w:pPr>
            <w:r w:rsidRPr="00BD3E76">
              <w:rPr>
                <w:rFonts w:ascii="Times New Roman" w:hAnsi="Times New Roman" w:cs="Times New Roman"/>
                <w:color w:val="000000" w:themeColor="text1"/>
              </w:rPr>
              <w:t xml:space="preserve">Sample: 15 hip </w:t>
            </w:r>
            <w:proofErr w:type="spellStart"/>
            <w:r w:rsidRPr="00BD3E76">
              <w:rPr>
                <w:rFonts w:ascii="Times New Roman" w:hAnsi="Times New Roman" w:cs="Times New Roman"/>
                <w:color w:val="000000" w:themeColor="text1"/>
              </w:rPr>
              <w:t>arthroscopist</w:t>
            </w:r>
            <w:r w:rsidR="00DF50F3" w:rsidRPr="00BD3E76">
              <w:rPr>
                <w:rFonts w:ascii="Times New Roman" w:hAnsi="Times New Roman" w:cs="Times New Roman"/>
                <w:color w:val="000000" w:themeColor="text1"/>
              </w:rPr>
              <w:t>s</w:t>
            </w:r>
            <w:proofErr w:type="spellEnd"/>
            <w:r w:rsidR="00DF50F3" w:rsidRPr="00BD3E76">
              <w:rPr>
                <w:rFonts w:ascii="Times New Roman" w:hAnsi="Times New Roman" w:cs="Times New Roman"/>
                <w:color w:val="000000" w:themeColor="text1"/>
              </w:rPr>
              <w:t>, selection criteria outlined under consensus participants</w:t>
            </w:r>
          </w:p>
          <w:p w14:paraId="5A0863F8" w14:textId="77777777" w:rsidR="00DF50F3" w:rsidRPr="00BD3E76" w:rsidRDefault="00D51339" w:rsidP="00AD0BAD">
            <w:pPr>
              <w:pStyle w:val="ListParagraph"/>
              <w:numPr>
                <w:ilvl w:val="0"/>
                <w:numId w:val="35"/>
              </w:numPr>
              <w:spacing w:after="120"/>
              <w:ind w:left="162" w:hanging="180"/>
              <w:rPr>
                <w:rFonts w:ascii="Times New Roman" w:hAnsi="Times New Roman" w:cs="Times New Roman"/>
                <w:color w:val="000000" w:themeColor="text1"/>
              </w:rPr>
            </w:pPr>
            <w:r w:rsidRPr="00BD3E76">
              <w:rPr>
                <w:rFonts w:ascii="Times New Roman" w:hAnsi="Times New Roman" w:cs="Times New Roman"/>
                <w:color w:val="000000" w:themeColor="text1"/>
              </w:rPr>
              <w:t>Reliability/Validity: Lincoln and Guba criteria applied</w:t>
            </w:r>
          </w:p>
          <w:p w14:paraId="509D23C6" w14:textId="196BF3AB" w:rsidR="00D51339" w:rsidRPr="00BD3E76" w:rsidRDefault="00AD0BAD" w:rsidP="00AD0BAD">
            <w:pPr>
              <w:pStyle w:val="ListParagraph"/>
              <w:numPr>
                <w:ilvl w:val="0"/>
                <w:numId w:val="35"/>
              </w:numPr>
              <w:spacing w:after="120"/>
              <w:ind w:left="162" w:right="-200" w:hanging="180"/>
              <w:rPr>
                <w:rFonts w:ascii="Times New Roman" w:hAnsi="Times New Roman" w:cs="Times New Roman"/>
                <w:color w:val="000000" w:themeColor="text1"/>
              </w:rPr>
            </w:pPr>
            <w:r w:rsidRPr="00BD3E76">
              <w:rPr>
                <w:rFonts w:ascii="Times New Roman" w:hAnsi="Times New Roman" w:cs="Times New Roman"/>
                <w:color w:val="000000" w:themeColor="text1"/>
              </w:rPr>
              <w:t>Result interpretation: guidelines for consensus reported in methods</w:t>
            </w:r>
          </w:p>
        </w:tc>
      </w:tr>
      <w:tr w:rsidR="00764A9B" w14:paraId="4B9D67BE" w14:textId="77777777" w:rsidTr="00764A9B">
        <w:tc>
          <w:tcPr>
            <w:tcW w:w="2785" w:type="dxa"/>
          </w:tcPr>
          <w:p w14:paraId="3694AC17" w14:textId="0EF00A4C" w:rsidR="00764A9B" w:rsidRPr="000C52C4" w:rsidRDefault="00764A9B" w:rsidP="000C52C4">
            <w:pPr>
              <w:pStyle w:val="ListParagraph"/>
              <w:numPr>
                <w:ilvl w:val="0"/>
                <w:numId w:val="36"/>
              </w:numPr>
              <w:spacing w:after="120"/>
              <w:ind w:left="249" w:hanging="270"/>
              <w:rPr>
                <w:rFonts w:ascii="Times New Roman" w:hAnsi="Times New Roman" w:cs="Times New Roman"/>
                <w:color w:val="000000" w:themeColor="text1"/>
              </w:rPr>
            </w:pPr>
            <w:r w:rsidRPr="000C52C4">
              <w:rPr>
                <w:rFonts w:ascii="Times New Roman" w:hAnsi="Times New Roman" w:cs="Times New Roman"/>
                <w:color w:val="000000" w:themeColor="text1"/>
              </w:rPr>
              <w:t>Data Analysis</w:t>
            </w:r>
          </w:p>
        </w:tc>
        <w:tc>
          <w:tcPr>
            <w:tcW w:w="6565" w:type="dxa"/>
          </w:tcPr>
          <w:p w14:paraId="13C19E23" w14:textId="77777777" w:rsidR="00764A9B" w:rsidRPr="00BD3E76" w:rsidRDefault="00AD0BAD" w:rsidP="00BD3E76">
            <w:pPr>
              <w:pStyle w:val="ListParagraph"/>
              <w:numPr>
                <w:ilvl w:val="0"/>
                <w:numId w:val="35"/>
              </w:numPr>
              <w:spacing w:after="120"/>
              <w:ind w:left="162" w:hanging="180"/>
              <w:rPr>
                <w:rFonts w:ascii="Times New Roman" w:hAnsi="Times New Roman" w:cs="Times New Roman"/>
                <w:color w:val="000000" w:themeColor="text1"/>
              </w:rPr>
            </w:pPr>
            <w:r w:rsidRPr="00BD3E76">
              <w:rPr>
                <w:rFonts w:ascii="Times New Roman" w:hAnsi="Times New Roman" w:cs="Times New Roman"/>
                <w:color w:val="000000" w:themeColor="text1"/>
              </w:rPr>
              <w:t>Response rate: 100% in each round</w:t>
            </w:r>
          </w:p>
          <w:p w14:paraId="009ABEFC" w14:textId="74ED5667" w:rsidR="00AD0BAD" w:rsidRPr="00BD3E76" w:rsidRDefault="00AD0BAD" w:rsidP="00BD3E76">
            <w:pPr>
              <w:pStyle w:val="ListParagraph"/>
              <w:numPr>
                <w:ilvl w:val="0"/>
                <w:numId w:val="35"/>
              </w:numPr>
              <w:spacing w:after="120"/>
              <w:ind w:left="162" w:hanging="180"/>
              <w:rPr>
                <w:rFonts w:ascii="Times New Roman" w:hAnsi="Times New Roman" w:cs="Times New Roman"/>
                <w:color w:val="000000" w:themeColor="text1"/>
              </w:rPr>
            </w:pPr>
            <w:r w:rsidRPr="00BD3E76">
              <w:rPr>
                <w:rFonts w:ascii="Times New Roman" w:hAnsi="Times New Roman" w:cs="Times New Roman"/>
                <w:color w:val="000000" w:themeColor="text1"/>
              </w:rPr>
              <w:t>Results: reported for each round, including level of agreement</w:t>
            </w:r>
          </w:p>
        </w:tc>
      </w:tr>
      <w:tr w:rsidR="00764A9B" w14:paraId="06EE2F80" w14:textId="77777777" w:rsidTr="00764A9B">
        <w:tc>
          <w:tcPr>
            <w:tcW w:w="2785" w:type="dxa"/>
          </w:tcPr>
          <w:p w14:paraId="70A1C594" w14:textId="05DC7125" w:rsidR="00764A9B" w:rsidRPr="000C52C4" w:rsidRDefault="00764A9B" w:rsidP="000C52C4">
            <w:pPr>
              <w:pStyle w:val="ListParagraph"/>
              <w:numPr>
                <w:ilvl w:val="0"/>
                <w:numId w:val="36"/>
              </w:numPr>
              <w:spacing w:after="120"/>
              <w:ind w:left="249" w:hanging="270"/>
              <w:rPr>
                <w:rFonts w:ascii="Times New Roman" w:hAnsi="Times New Roman" w:cs="Times New Roman"/>
                <w:color w:val="000000" w:themeColor="text1"/>
              </w:rPr>
            </w:pPr>
            <w:r w:rsidRPr="000C52C4">
              <w:rPr>
                <w:rFonts w:ascii="Times New Roman" w:hAnsi="Times New Roman" w:cs="Times New Roman"/>
                <w:color w:val="000000" w:themeColor="text1"/>
              </w:rPr>
              <w:t>Discussion/Conclusion</w:t>
            </w:r>
          </w:p>
        </w:tc>
        <w:tc>
          <w:tcPr>
            <w:tcW w:w="6565" w:type="dxa"/>
          </w:tcPr>
          <w:p w14:paraId="0F5D2B4D" w14:textId="0293ED09" w:rsidR="00AD0BAD" w:rsidRPr="00BD3E76" w:rsidRDefault="00AD0BAD" w:rsidP="00AD0BAD">
            <w:pPr>
              <w:pStyle w:val="ListParagraph"/>
              <w:numPr>
                <w:ilvl w:val="0"/>
                <w:numId w:val="35"/>
              </w:numPr>
              <w:spacing w:after="120"/>
              <w:ind w:left="162" w:hanging="180"/>
              <w:rPr>
                <w:rFonts w:ascii="Times New Roman" w:hAnsi="Times New Roman" w:cs="Times New Roman"/>
                <w:color w:val="000000" w:themeColor="text1"/>
              </w:rPr>
            </w:pPr>
            <w:r w:rsidRPr="00BD3E76">
              <w:rPr>
                <w:rFonts w:ascii="Times New Roman" w:hAnsi="Times New Roman" w:cs="Times New Roman"/>
                <w:color w:val="000000" w:themeColor="text1"/>
              </w:rPr>
              <w:t>Areas with lack of consensus clearly outlined</w:t>
            </w:r>
          </w:p>
          <w:p w14:paraId="0452E991" w14:textId="10C3A47B" w:rsidR="00AD0BAD" w:rsidRPr="00BD3E76" w:rsidRDefault="00AD0BAD" w:rsidP="00AD0BAD">
            <w:pPr>
              <w:pStyle w:val="ListParagraph"/>
              <w:numPr>
                <w:ilvl w:val="0"/>
                <w:numId w:val="35"/>
              </w:numPr>
              <w:spacing w:after="120"/>
              <w:ind w:left="162" w:hanging="180"/>
              <w:rPr>
                <w:rFonts w:ascii="Times New Roman" w:hAnsi="Times New Roman" w:cs="Times New Roman"/>
                <w:color w:val="000000" w:themeColor="text1"/>
              </w:rPr>
            </w:pPr>
            <w:r w:rsidRPr="00BD3E76">
              <w:rPr>
                <w:rFonts w:ascii="Times New Roman" w:hAnsi="Times New Roman" w:cs="Times New Roman"/>
                <w:color w:val="000000" w:themeColor="text1"/>
              </w:rPr>
              <w:t>Interpretation of consensus items created in checklist</w:t>
            </w:r>
          </w:p>
          <w:p w14:paraId="0925B71B" w14:textId="7660268E" w:rsidR="00764A9B" w:rsidRPr="00BD3E76" w:rsidRDefault="00AD0BAD" w:rsidP="00AD0BAD">
            <w:pPr>
              <w:pStyle w:val="ListParagraph"/>
              <w:numPr>
                <w:ilvl w:val="0"/>
                <w:numId w:val="35"/>
              </w:numPr>
              <w:spacing w:after="120"/>
              <w:ind w:left="162" w:hanging="180"/>
              <w:rPr>
                <w:rFonts w:ascii="Times New Roman" w:hAnsi="Times New Roman" w:cs="Times New Roman"/>
                <w:color w:val="000000" w:themeColor="text1"/>
              </w:rPr>
            </w:pPr>
            <w:r w:rsidRPr="00BD3E76">
              <w:rPr>
                <w:rFonts w:ascii="Times New Roman" w:hAnsi="Times New Roman" w:cs="Times New Roman"/>
                <w:color w:val="000000" w:themeColor="text1"/>
              </w:rPr>
              <w:t>Direction of future research provided</w:t>
            </w:r>
          </w:p>
        </w:tc>
      </w:tr>
      <w:tr w:rsidR="00764A9B" w14:paraId="319B49E7" w14:textId="77777777" w:rsidTr="00764A9B">
        <w:tc>
          <w:tcPr>
            <w:tcW w:w="2785" w:type="dxa"/>
          </w:tcPr>
          <w:p w14:paraId="7AA0E6D0" w14:textId="7BD702D0" w:rsidR="00764A9B" w:rsidRPr="000C52C4" w:rsidRDefault="00764A9B" w:rsidP="000C52C4">
            <w:pPr>
              <w:pStyle w:val="ListParagraph"/>
              <w:numPr>
                <w:ilvl w:val="0"/>
                <w:numId w:val="36"/>
              </w:numPr>
              <w:spacing w:after="120"/>
              <w:ind w:left="249" w:hanging="270"/>
              <w:rPr>
                <w:rFonts w:ascii="Times New Roman" w:hAnsi="Times New Roman" w:cs="Times New Roman"/>
                <w:color w:val="000000" w:themeColor="text1"/>
              </w:rPr>
            </w:pPr>
            <w:r w:rsidRPr="000C52C4">
              <w:rPr>
                <w:rFonts w:ascii="Times New Roman" w:hAnsi="Times New Roman" w:cs="Times New Roman"/>
                <w:color w:val="000000" w:themeColor="text1"/>
              </w:rPr>
              <w:t>Appendix Items</w:t>
            </w:r>
          </w:p>
        </w:tc>
        <w:tc>
          <w:tcPr>
            <w:tcW w:w="6565" w:type="dxa"/>
          </w:tcPr>
          <w:p w14:paraId="09C3A4F0" w14:textId="407505D2" w:rsidR="00764A9B" w:rsidRPr="00BD3E76" w:rsidRDefault="00AD0BAD" w:rsidP="00023DBB">
            <w:pPr>
              <w:spacing w:after="120"/>
              <w:rPr>
                <w:color w:val="000000" w:themeColor="text1"/>
              </w:rPr>
            </w:pPr>
            <w:r w:rsidRPr="00BD3E76">
              <w:rPr>
                <w:color w:val="000000" w:themeColor="text1"/>
              </w:rPr>
              <w:t>Copy of each round illustrated</w:t>
            </w:r>
          </w:p>
        </w:tc>
      </w:tr>
    </w:tbl>
    <w:p w14:paraId="19A1BA66" w14:textId="77777777" w:rsidR="00764A9B" w:rsidRPr="008531CB" w:rsidRDefault="00764A9B" w:rsidP="00023DBB">
      <w:pPr>
        <w:spacing w:after="120"/>
        <w:rPr>
          <w:color w:val="000000" w:themeColor="text1"/>
        </w:rPr>
        <w:sectPr w:rsidR="00764A9B" w:rsidRPr="008531CB" w:rsidSect="00023DBB">
          <w:head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4E7AAB" w14:textId="0F9C0D0A" w:rsidR="00E31B93" w:rsidRPr="00EE4D0D" w:rsidRDefault="005650AF" w:rsidP="001D785C">
      <w:pPr>
        <w:spacing w:after="120"/>
        <w:ind w:left="-634"/>
        <w:rPr>
          <w:color w:val="000000" w:themeColor="text1"/>
        </w:rPr>
      </w:pPr>
      <w:r>
        <w:rPr>
          <w:b/>
          <w:color w:val="000000" w:themeColor="text1"/>
        </w:rPr>
        <w:lastRenderedPageBreak/>
        <w:t>Table 2</w:t>
      </w:r>
      <w:r w:rsidR="00E31B93" w:rsidRPr="00EE4D0D">
        <w:rPr>
          <w:b/>
          <w:color w:val="000000" w:themeColor="text1"/>
        </w:rPr>
        <w:t xml:space="preserve">. </w:t>
      </w:r>
      <w:r w:rsidR="00E31B93" w:rsidRPr="00EE4D0D">
        <w:rPr>
          <w:color w:val="000000" w:themeColor="text1"/>
        </w:rPr>
        <w:t>Scope of Consensus and Survey of Current Practices</w:t>
      </w:r>
    </w:p>
    <w:tbl>
      <w:tblPr>
        <w:tblStyle w:val="TableGrid"/>
        <w:tblW w:w="14226" w:type="dxa"/>
        <w:tblInd w:w="-635" w:type="dxa"/>
        <w:tblLook w:val="04A0" w:firstRow="1" w:lastRow="0" w:firstColumn="1" w:lastColumn="0" w:noHBand="0" w:noVBand="1"/>
      </w:tblPr>
      <w:tblGrid>
        <w:gridCol w:w="14226"/>
      </w:tblGrid>
      <w:tr w:rsidR="00935FD5" w:rsidRPr="00EE4D0D" w14:paraId="4266E750" w14:textId="77777777" w:rsidTr="008360A8">
        <w:trPr>
          <w:trHeight w:val="350"/>
        </w:trPr>
        <w:tc>
          <w:tcPr>
            <w:tcW w:w="14226" w:type="dxa"/>
            <w:shd w:val="clear" w:color="auto" w:fill="BFBFBF" w:themeFill="background1" w:themeFillShade="BF"/>
            <w:vAlign w:val="center"/>
          </w:tcPr>
          <w:p w14:paraId="3DC4CFDB" w14:textId="77777777" w:rsidR="00E31B93" w:rsidRPr="00EE4D0D" w:rsidRDefault="00E31B93" w:rsidP="00242471">
            <w:pPr>
              <w:rPr>
                <w:b/>
                <w:color w:val="000000" w:themeColor="text1"/>
                <w:sz w:val="24"/>
                <w:szCs w:val="24"/>
              </w:rPr>
            </w:pPr>
            <w:r w:rsidRPr="00EE4D0D">
              <w:rPr>
                <w:b/>
                <w:color w:val="000000" w:themeColor="text1"/>
                <w:sz w:val="24"/>
                <w:szCs w:val="24"/>
              </w:rPr>
              <w:t>Scope of Consensus and Current Practices</w:t>
            </w:r>
          </w:p>
        </w:tc>
      </w:tr>
      <w:tr w:rsidR="00935FD5" w:rsidRPr="00EE4D0D" w14:paraId="199FB1F4" w14:textId="77777777" w:rsidTr="00B93D99">
        <w:trPr>
          <w:trHeight w:val="611"/>
        </w:trPr>
        <w:tc>
          <w:tcPr>
            <w:tcW w:w="14226" w:type="dxa"/>
            <w:vAlign w:val="center"/>
          </w:tcPr>
          <w:p w14:paraId="00C4D157" w14:textId="2185E164" w:rsidR="00E31B93" w:rsidRPr="00EE4D0D" w:rsidRDefault="000D1F6D" w:rsidP="00B93D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</w:rPr>
              <w:t xml:space="preserve">What do you believe should be the scope of this best practice statement on hip arthroscopy in </w:t>
            </w:r>
            <w:proofErr w:type="spellStart"/>
            <w:r w:rsidRPr="00EE4D0D">
              <w:rPr>
                <w:rFonts w:ascii="Times New Roman" w:hAnsi="Times New Roman" w:cs="Times New Roman"/>
                <w:color w:val="000000" w:themeColor="text1"/>
              </w:rPr>
              <w:t>femoroacetabular</w:t>
            </w:r>
            <w:proofErr w:type="spellEnd"/>
            <w:r w:rsidRPr="00EE4D0D">
              <w:rPr>
                <w:rFonts w:ascii="Times New Roman" w:hAnsi="Times New Roman" w:cs="Times New Roman"/>
                <w:color w:val="000000" w:themeColor="text1"/>
              </w:rPr>
              <w:t xml:space="preserve"> impingement (preoperative management and identification of ideal patients for arthroscopic management, intraoperative practices, postoperative management)?</w:t>
            </w:r>
          </w:p>
        </w:tc>
      </w:tr>
      <w:tr w:rsidR="00935FD5" w:rsidRPr="00EE4D0D" w14:paraId="1AF354F2" w14:textId="77777777" w:rsidTr="00B93D99">
        <w:trPr>
          <w:trHeight w:val="350"/>
        </w:trPr>
        <w:tc>
          <w:tcPr>
            <w:tcW w:w="14226" w:type="dxa"/>
            <w:vAlign w:val="center"/>
          </w:tcPr>
          <w:p w14:paraId="5F27F51D" w14:textId="3302A651" w:rsidR="000D1F6D" w:rsidRPr="00EE4D0D" w:rsidRDefault="000D1F6D" w:rsidP="00B93D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</w:rPr>
              <w:t>Do you utilize hip arthroscopy rather than mini-open/surgical dislocation as the standard of care for surgical management of FAI</w:t>
            </w:r>
            <w:r w:rsidR="00007705" w:rsidRPr="00EE4D0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EE4D0D">
              <w:rPr>
                <w:rFonts w:ascii="Times New Roman" w:hAnsi="Times New Roman" w:cs="Times New Roman"/>
                <w:color w:val="000000" w:themeColor="text1"/>
              </w:rPr>
              <w:t>unless s</w:t>
            </w:r>
            <w:r w:rsidR="00007705" w:rsidRPr="00EE4D0D">
              <w:rPr>
                <w:rFonts w:ascii="Times New Roman" w:hAnsi="Times New Roman" w:cs="Times New Roman"/>
                <w:color w:val="000000" w:themeColor="text1"/>
              </w:rPr>
              <w:t>pecific contraindications exist</w:t>
            </w:r>
            <w:r w:rsidRPr="00EE4D0D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</w:tc>
      </w:tr>
      <w:tr w:rsidR="00935FD5" w:rsidRPr="00EE4D0D" w14:paraId="76730BB8" w14:textId="77777777" w:rsidTr="00B93D99">
        <w:trPr>
          <w:trHeight w:val="350"/>
        </w:trPr>
        <w:tc>
          <w:tcPr>
            <w:tcW w:w="14226" w:type="dxa"/>
            <w:vAlign w:val="center"/>
          </w:tcPr>
          <w:p w14:paraId="7C8431AF" w14:textId="45F76165" w:rsidR="000D1F6D" w:rsidRPr="00EE4D0D" w:rsidRDefault="000D1F6D" w:rsidP="00B93D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</w:rPr>
              <w:t>Does every member of your department utilize a shared standard for conservative care trials prior to surgical management in FAI?</w:t>
            </w:r>
          </w:p>
        </w:tc>
      </w:tr>
      <w:tr w:rsidR="00935FD5" w:rsidRPr="00EE4D0D" w14:paraId="21C8F6DA" w14:textId="77777777" w:rsidTr="00B93D99">
        <w:trPr>
          <w:trHeight w:val="350"/>
        </w:trPr>
        <w:tc>
          <w:tcPr>
            <w:tcW w:w="14226" w:type="dxa"/>
            <w:vAlign w:val="center"/>
          </w:tcPr>
          <w:p w14:paraId="36958981" w14:textId="665A3914" w:rsidR="000D1F6D" w:rsidRPr="00EE4D0D" w:rsidRDefault="000D1F6D" w:rsidP="00B93D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</w:rPr>
              <w:t>Does every member of your department utilize a shared standard for surgical management of FAI?</w:t>
            </w:r>
          </w:p>
        </w:tc>
      </w:tr>
      <w:tr w:rsidR="00935FD5" w:rsidRPr="00EE4D0D" w14:paraId="7DCED867" w14:textId="77777777" w:rsidTr="00B93D99">
        <w:trPr>
          <w:trHeight w:val="350"/>
        </w:trPr>
        <w:tc>
          <w:tcPr>
            <w:tcW w:w="14226" w:type="dxa"/>
            <w:vAlign w:val="center"/>
          </w:tcPr>
          <w:p w14:paraId="614A6342" w14:textId="760DC38D" w:rsidR="00130546" w:rsidRPr="00EE4D0D" w:rsidRDefault="00130546" w:rsidP="00B93D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</w:rPr>
              <w:t>During hip arthroscopy in patients with labral tears, do you perform an intraoperative labral repair rather than debridement only?</w:t>
            </w:r>
          </w:p>
        </w:tc>
      </w:tr>
      <w:tr w:rsidR="00935FD5" w:rsidRPr="00EE4D0D" w14:paraId="52344C1C" w14:textId="77777777" w:rsidTr="00B93D99">
        <w:trPr>
          <w:trHeight w:val="350"/>
        </w:trPr>
        <w:tc>
          <w:tcPr>
            <w:tcW w:w="14226" w:type="dxa"/>
            <w:vAlign w:val="center"/>
          </w:tcPr>
          <w:p w14:paraId="0350EA2C" w14:textId="68AA05BF" w:rsidR="00130546" w:rsidRPr="00EE4D0D" w:rsidRDefault="00130546" w:rsidP="00B93D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</w:rPr>
              <w:t>In the setting of a patient with ligamentous laxity, do you perform capsular plication?</w:t>
            </w:r>
          </w:p>
        </w:tc>
      </w:tr>
      <w:tr w:rsidR="00935FD5" w:rsidRPr="00EE4D0D" w14:paraId="07796410" w14:textId="77777777" w:rsidTr="00B93D99">
        <w:trPr>
          <w:trHeight w:val="350"/>
        </w:trPr>
        <w:tc>
          <w:tcPr>
            <w:tcW w:w="14226" w:type="dxa"/>
            <w:vAlign w:val="center"/>
          </w:tcPr>
          <w:p w14:paraId="10903622" w14:textId="73E7F0B2" w:rsidR="00130546" w:rsidRPr="00EE4D0D" w:rsidRDefault="00130546" w:rsidP="00B93D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</w:rPr>
              <w:t>How do you determine the amount of bone resection required intraoperatively?</w:t>
            </w:r>
          </w:p>
        </w:tc>
      </w:tr>
      <w:tr w:rsidR="00935FD5" w:rsidRPr="00EE4D0D" w14:paraId="5E4F1262" w14:textId="77777777" w:rsidTr="00B93D99">
        <w:trPr>
          <w:trHeight w:val="350"/>
        </w:trPr>
        <w:tc>
          <w:tcPr>
            <w:tcW w:w="14226" w:type="dxa"/>
            <w:vAlign w:val="center"/>
          </w:tcPr>
          <w:p w14:paraId="1E7A8BBA" w14:textId="097B070C" w:rsidR="000D1F6D" w:rsidRPr="00EE4D0D" w:rsidRDefault="000D1F6D" w:rsidP="00B93D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</w:rPr>
              <w:t>What duration of conservative care treatment do you permit prior to conversion to surgical arthroscopic management?</w:t>
            </w:r>
          </w:p>
        </w:tc>
      </w:tr>
      <w:tr w:rsidR="00935FD5" w:rsidRPr="00EE4D0D" w14:paraId="656D70D7" w14:textId="77777777" w:rsidTr="00B93D99">
        <w:trPr>
          <w:trHeight w:val="359"/>
        </w:trPr>
        <w:tc>
          <w:tcPr>
            <w:tcW w:w="14226" w:type="dxa"/>
            <w:vAlign w:val="center"/>
          </w:tcPr>
          <w:p w14:paraId="1A811774" w14:textId="77B1911E" w:rsidR="000D1F6D" w:rsidRPr="00EE4D0D" w:rsidRDefault="000D1F6D" w:rsidP="00B93D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</w:rPr>
              <w:t>How do you assess improvement or responsiveness to conservative treatment (clinical, radiographic, etc.)?</w:t>
            </w:r>
          </w:p>
        </w:tc>
      </w:tr>
      <w:tr w:rsidR="00935FD5" w:rsidRPr="00EE4D0D" w14:paraId="2B9BDC9A" w14:textId="77777777" w:rsidTr="00B93D99">
        <w:trPr>
          <w:trHeight w:val="350"/>
        </w:trPr>
        <w:tc>
          <w:tcPr>
            <w:tcW w:w="14226" w:type="dxa"/>
            <w:vAlign w:val="center"/>
          </w:tcPr>
          <w:p w14:paraId="328ECEAF" w14:textId="34DB5A28" w:rsidR="000D1F6D" w:rsidRPr="00EE4D0D" w:rsidRDefault="000D1F6D" w:rsidP="00B93D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</w:rPr>
              <w:t>Which of the following patient reported outcomes do you collect</w:t>
            </w:r>
            <w:r w:rsidR="007014D8" w:rsidRPr="00EE4D0D">
              <w:rPr>
                <w:rFonts w:ascii="Times New Roman" w:hAnsi="Times New Roman" w:cs="Times New Roman"/>
                <w:color w:val="000000" w:themeColor="text1"/>
              </w:rPr>
              <w:t>?</w:t>
            </w:r>
            <w:r w:rsidRPr="00EE4D0D">
              <w:rPr>
                <w:rFonts w:ascii="Times New Roman" w:hAnsi="Times New Roman" w:cs="Times New Roman"/>
                <w:color w:val="000000" w:themeColor="text1"/>
              </w:rPr>
              <w:t xml:space="preserve"> (IHOT-12, IHOT-33, HOOS, HHS, </w:t>
            </w:r>
            <w:proofErr w:type="spellStart"/>
            <w:r w:rsidRPr="00EE4D0D">
              <w:rPr>
                <w:rFonts w:ascii="Times New Roman" w:hAnsi="Times New Roman" w:cs="Times New Roman"/>
                <w:color w:val="000000" w:themeColor="text1"/>
              </w:rPr>
              <w:t>mHHS</w:t>
            </w:r>
            <w:proofErr w:type="spellEnd"/>
            <w:r w:rsidRPr="00EE4D0D">
              <w:rPr>
                <w:rFonts w:ascii="Times New Roman" w:hAnsi="Times New Roman" w:cs="Times New Roman"/>
                <w:color w:val="000000" w:themeColor="text1"/>
              </w:rPr>
              <w:t>, NAHS, HOS ADL, H</w:t>
            </w:r>
            <w:r w:rsidR="00A8396E" w:rsidRPr="00EE4D0D">
              <w:rPr>
                <w:rFonts w:ascii="Times New Roman" w:hAnsi="Times New Roman" w:cs="Times New Roman"/>
                <w:color w:val="000000" w:themeColor="text1"/>
              </w:rPr>
              <w:t>OS Sports Scale, SF-12, WOMAC, o</w:t>
            </w:r>
            <w:r w:rsidRPr="00EE4D0D">
              <w:rPr>
                <w:rFonts w:ascii="Times New Roman" w:hAnsi="Times New Roman" w:cs="Times New Roman"/>
                <w:color w:val="000000" w:themeColor="text1"/>
              </w:rPr>
              <w:t>ther)</w:t>
            </w:r>
          </w:p>
        </w:tc>
      </w:tr>
      <w:tr w:rsidR="00935FD5" w:rsidRPr="00EE4D0D" w14:paraId="3D9F57CC" w14:textId="77777777" w:rsidTr="00B93D99">
        <w:trPr>
          <w:trHeight w:val="341"/>
        </w:trPr>
        <w:tc>
          <w:tcPr>
            <w:tcW w:w="14226" w:type="dxa"/>
            <w:vAlign w:val="center"/>
          </w:tcPr>
          <w:p w14:paraId="156ACF4C" w14:textId="75ADD643" w:rsidR="000D1F6D" w:rsidRPr="00EE4D0D" w:rsidRDefault="000D1F6D" w:rsidP="00B93D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</w:rPr>
              <w:t>Which patient reported outcomes influence your surgical decision making</w:t>
            </w:r>
            <w:r w:rsidR="00E75CB9" w:rsidRPr="00EE4D0D">
              <w:rPr>
                <w:rFonts w:ascii="Times New Roman" w:hAnsi="Times New Roman" w:cs="Times New Roman"/>
                <w:color w:val="000000" w:themeColor="text1"/>
              </w:rPr>
              <w:t>?</w:t>
            </w:r>
          </w:p>
        </w:tc>
      </w:tr>
      <w:tr w:rsidR="00935FD5" w:rsidRPr="00EE4D0D" w14:paraId="5A57A823" w14:textId="77777777" w:rsidTr="00B93D99">
        <w:trPr>
          <w:trHeight w:val="350"/>
        </w:trPr>
        <w:tc>
          <w:tcPr>
            <w:tcW w:w="14226" w:type="dxa"/>
            <w:vAlign w:val="center"/>
          </w:tcPr>
          <w:p w14:paraId="24F80800" w14:textId="730820D2" w:rsidR="000D1F6D" w:rsidRPr="00EE4D0D" w:rsidRDefault="00130546" w:rsidP="00B93D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</w:rPr>
              <w:t>Do you recommend postoperative rehabilitation to your patients following arthroscopic management of FAI?</w:t>
            </w:r>
          </w:p>
        </w:tc>
      </w:tr>
      <w:tr w:rsidR="00935FD5" w:rsidRPr="00EE4D0D" w14:paraId="20E89930" w14:textId="77777777" w:rsidTr="00B93D99">
        <w:trPr>
          <w:trHeight w:val="359"/>
        </w:trPr>
        <w:tc>
          <w:tcPr>
            <w:tcW w:w="14226" w:type="dxa"/>
            <w:vAlign w:val="center"/>
          </w:tcPr>
          <w:p w14:paraId="6FDA3322" w14:textId="4B93FDB1" w:rsidR="000D1F6D" w:rsidRPr="00EE4D0D" w:rsidRDefault="00130546" w:rsidP="00B93D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</w:rPr>
              <w:t>Do you recommend postoperative hip bracing to patients following arthroscopic management of FAI?</w:t>
            </w:r>
          </w:p>
        </w:tc>
      </w:tr>
      <w:tr w:rsidR="00935FD5" w:rsidRPr="00EE4D0D" w14:paraId="1DDC4067" w14:textId="77777777" w:rsidTr="00B93D99">
        <w:trPr>
          <w:trHeight w:val="350"/>
        </w:trPr>
        <w:tc>
          <w:tcPr>
            <w:tcW w:w="14226" w:type="dxa"/>
            <w:vAlign w:val="center"/>
          </w:tcPr>
          <w:p w14:paraId="16498767" w14:textId="0993B0FD" w:rsidR="000D1F6D" w:rsidRPr="00EE4D0D" w:rsidRDefault="00261004" w:rsidP="00B93D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</w:rPr>
              <w:t>What patient characteristics increase or decrease the likelihood of recommending surgical management of FAI?</w:t>
            </w:r>
          </w:p>
        </w:tc>
      </w:tr>
      <w:tr w:rsidR="00935FD5" w:rsidRPr="00EE4D0D" w14:paraId="7261D1AA" w14:textId="77777777" w:rsidTr="00B93D99">
        <w:trPr>
          <w:trHeight w:val="341"/>
        </w:trPr>
        <w:tc>
          <w:tcPr>
            <w:tcW w:w="14226" w:type="dxa"/>
            <w:vAlign w:val="center"/>
          </w:tcPr>
          <w:p w14:paraId="259F7BEC" w14:textId="49486D9E" w:rsidR="000D1F6D" w:rsidRPr="00EE4D0D" w:rsidRDefault="00261004" w:rsidP="00B93D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</w:rPr>
              <w:t>What patient history variables increase or decrease the likelihood of recommending surgical management of FAI?</w:t>
            </w:r>
          </w:p>
        </w:tc>
      </w:tr>
      <w:tr w:rsidR="00935FD5" w:rsidRPr="00EE4D0D" w14:paraId="23DCB5E0" w14:textId="77777777" w:rsidTr="00B93D99">
        <w:trPr>
          <w:trHeight w:val="341"/>
        </w:trPr>
        <w:tc>
          <w:tcPr>
            <w:tcW w:w="14226" w:type="dxa"/>
            <w:vAlign w:val="center"/>
          </w:tcPr>
          <w:p w14:paraId="2DB56B28" w14:textId="486A704D" w:rsidR="000D1F6D" w:rsidRPr="00EE4D0D" w:rsidRDefault="00261004" w:rsidP="00B93D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</w:rPr>
              <w:t>What joint parameters increase or decrease your likelihood or recommending surgical management of FAI?</w:t>
            </w:r>
          </w:p>
        </w:tc>
      </w:tr>
      <w:tr w:rsidR="00935FD5" w:rsidRPr="00EE4D0D" w14:paraId="7EE263A6" w14:textId="77777777" w:rsidTr="00B93D99">
        <w:trPr>
          <w:trHeight w:val="359"/>
        </w:trPr>
        <w:tc>
          <w:tcPr>
            <w:tcW w:w="14226" w:type="dxa"/>
            <w:vAlign w:val="center"/>
          </w:tcPr>
          <w:p w14:paraId="653A0BC5" w14:textId="15A90C65" w:rsidR="000D1F6D" w:rsidRPr="00EE4D0D" w:rsidRDefault="0012581B" w:rsidP="00B93D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</w:rPr>
              <w:t>What alpha angle do you consider high enough to suggest early surgery?</w:t>
            </w:r>
          </w:p>
        </w:tc>
      </w:tr>
      <w:tr w:rsidR="00935FD5" w:rsidRPr="00EE4D0D" w14:paraId="41949846" w14:textId="77777777" w:rsidTr="00B93D99">
        <w:trPr>
          <w:trHeight w:val="359"/>
        </w:trPr>
        <w:tc>
          <w:tcPr>
            <w:tcW w:w="14226" w:type="dxa"/>
            <w:vAlign w:val="center"/>
          </w:tcPr>
          <w:p w14:paraId="5D953EBC" w14:textId="7CA2976F" w:rsidR="0012581B" w:rsidRPr="00EE4D0D" w:rsidRDefault="0012581B" w:rsidP="00B93D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</w:rPr>
              <w:t>If you are performing a staged procedure, what is the minimum number of weeks that you allow between both procedures?</w:t>
            </w:r>
          </w:p>
        </w:tc>
      </w:tr>
      <w:tr w:rsidR="00935FD5" w:rsidRPr="00EE4D0D" w14:paraId="169320D5" w14:textId="77777777" w:rsidTr="00B93D99">
        <w:trPr>
          <w:trHeight w:val="368"/>
        </w:trPr>
        <w:tc>
          <w:tcPr>
            <w:tcW w:w="14226" w:type="dxa"/>
            <w:vAlign w:val="center"/>
          </w:tcPr>
          <w:p w14:paraId="48FFC0C5" w14:textId="30665B59" w:rsidR="00E36FAD" w:rsidRPr="00EE4D0D" w:rsidRDefault="00E75CB9" w:rsidP="00B93D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</w:rPr>
              <w:t xml:space="preserve">How long do you recommend patients complete physical therapy postoperatively? </w:t>
            </w:r>
          </w:p>
        </w:tc>
      </w:tr>
      <w:tr w:rsidR="00935FD5" w:rsidRPr="00EE4D0D" w14:paraId="3CE988C9" w14:textId="77777777" w:rsidTr="00B93D99">
        <w:trPr>
          <w:trHeight w:val="359"/>
        </w:trPr>
        <w:tc>
          <w:tcPr>
            <w:tcW w:w="14226" w:type="dxa"/>
            <w:vAlign w:val="center"/>
          </w:tcPr>
          <w:p w14:paraId="31C064D8" w14:textId="5BC134E8" w:rsidR="00515EC0" w:rsidRPr="00EE4D0D" w:rsidRDefault="00515EC0" w:rsidP="00B93D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</w:rPr>
              <w:t>What lateral center-edge angle threshold should prompt surgery before failed time of rehab?</w:t>
            </w:r>
          </w:p>
        </w:tc>
      </w:tr>
      <w:tr w:rsidR="00935FD5" w:rsidRPr="00EE4D0D" w14:paraId="7D364A80" w14:textId="77777777" w:rsidTr="00B93D99">
        <w:trPr>
          <w:trHeight w:val="359"/>
        </w:trPr>
        <w:tc>
          <w:tcPr>
            <w:tcW w:w="14226" w:type="dxa"/>
            <w:vAlign w:val="center"/>
          </w:tcPr>
          <w:p w14:paraId="5448857F" w14:textId="67B7EA26" w:rsidR="00E75CB9" w:rsidRPr="00EE4D0D" w:rsidRDefault="00E75CB9" w:rsidP="00B93D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</w:rPr>
              <w:t>If you prescribe postoperative bracing, what is your current protocol?</w:t>
            </w:r>
          </w:p>
        </w:tc>
      </w:tr>
      <w:tr w:rsidR="00935FD5" w:rsidRPr="00EE4D0D" w14:paraId="1ADED329" w14:textId="77777777" w:rsidTr="00B93D99">
        <w:trPr>
          <w:trHeight w:val="359"/>
        </w:trPr>
        <w:tc>
          <w:tcPr>
            <w:tcW w:w="14226" w:type="dxa"/>
            <w:vAlign w:val="center"/>
          </w:tcPr>
          <w:p w14:paraId="0352CF14" w14:textId="71579BC5" w:rsidR="00E75CB9" w:rsidRPr="00EE4D0D" w:rsidRDefault="00E75CB9" w:rsidP="00B93D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</w:rPr>
              <w:t>If you prescribe postoperative crutches, what is your current protocol?</w:t>
            </w:r>
          </w:p>
        </w:tc>
      </w:tr>
      <w:tr w:rsidR="00935FD5" w:rsidRPr="00EE4D0D" w14:paraId="3549CC5D" w14:textId="77777777" w:rsidTr="00B93D99">
        <w:trPr>
          <w:trHeight w:val="332"/>
        </w:trPr>
        <w:tc>
          <w:tcPr>
            <w:tcW w:w="14226" w:type="dxa"/>
            <w:vAlign w:val="center"/>
          </w:tcPr>
          <w:p w14:paraId="3F943F36" w14:textId="2E163206" w:rsidR="00E75CB9" w:rsidRPr="00EE4D0D" w:rsidRDefault="00E75CB9" w:rsidP="00B93D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</w:rPr>
              <w:t>Do you recommend Continuous Passive Motion (CPM) machine postoperatively?</w:t>
            </w:r>
          </w:p>
        </w:tc>
      </w:tr>
      <w:tr w:rsidR="00935FD5" w:rsidRPr="00EE4D0D" w14:paraId="4D84DC4E" w14:textId="77777777" w:rsidTr="00B93D99">
        <w:trPr>
          <w:trHeight w:val="359"/>
        </w:trPr>
        <w:tc>
          <w:tcPr>
            <w:tcW w:w="14226" w:type="dxa"/>
            <w:vAlign w:val="center"/>
          </w:tcPr>
          <w:p w14:paraId="62F4343C" w14:textId="76BF3080" w:rsidR="00E75CB9" w:rsidRPr="00EE4D0D" w:rsidRDefault="00E75CB9" w:rsidP="00B93D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</w:rPr>
              <w:t>What is your protocol for weight-bearing and return to play postoperatively?</w:t>
            </w:r>
          </w:p>
        </w:tc>
      </w:tr>
    </w:tbl>
    <w:p w14:paraId="1A5B688C" w14:textId="77777777" w:rsidR="001D785C" w:rsidRDefault="001D785C" w:rsidP="00E75CB9">
      <w:pPr>
        <w:ind w:left="-630"/>
        <w:rPr>
          <w:b/>
          <w:color w:val="000000" w:themeColor="text1"/>
        </w:rPr>
      </w:pPr>
    </w:p>
    <w:p w14:paraId="3FC69030" w14:textId="77777777" w:rsidR="001D785C" w:rsidRDefault="001D785C" w:rsidP="00E75CB9">
      <w:pPr>
        <w:ind w:left="-630"/>
        <w:rPr>
          <w:b/>
          <w:color w:val="000000" w:themeColor="text1"/>
        </w:rPr>
      </w:pPr>
    </w:p>
    <w:p w14:paraId="51ABC2FA" w14:textId="349A4EF8" w:rsidR="00E31B93" w:rsidRPr="00EE4D0D" w:rsidRDefault="005650AF" w:rsidP="001D785C">
      <w:pPr>
        <w:spacing w:after="120"/>
        <w:ind w:left="-634"/>
        <w:rPr>
          <w:color w:val="000000" w:themeColor="text1"/>
        </w:rPr>
      </w:pPr>
      <w:r>
        <w:rPr>
          <w:b/>
          <w:color w:val="000000" w:themeColor="text1"/>
        </w:rPr>
        <w:lastRenderedPageBreak/>
        <w:t>Table 3</w:t>
      </w:r>
      <w:r w:rsidR="00E31B93" w:rsidRPr="00EE4D0D">
        <w:rPr>
          <w:b/>
          <w:color w:val="000000" w:themeColor="text1"/>
        </w:rPr>
        <w:t>.</w:t>
      </w:r>
      <w:r w:rsidR="00E31B93" w:rsidRPr="00EE4D0D">
        <w:rPr>
          <w:color w:val="000000" w:themeColor="text1"/>
        </w:rPr>
        <w:t xml:space="preserve"> Round 1</w:t>
      </w:r>
    </w:p>
    <w:tbl>
      <w:tblPr>
        <w:tblStyle w:val="TableGrid"/>
        <w:tblW w:w="14220" w:type="dxa"/>
        <w:tblInd w:w="-635" w:type="dxa"/>
        <w:tblLayout w:type="fixed"/>
        <w:tblLook w:val="04A0" w:firstRow="1" w:lastRow="0" w:firstColumn="1" w:lastColumn="0" w:noHBand="0" w:noVBand="1"/>
      </w:tblPr>
      <w:tblGrid>
        <w:gridCol w:w="14220"/>
      </w:tblGrid>
      <w:tr w:rsidR="00935FD5" w:rsidRPr="00EE4D0D" w14:paraId="22B58C4C" w14:textId="77777777" w:rsidTr="008360A8">
        <w:trPr>
          <w:trHeight w:val="332"/>
        </w:trPr>
        <w:tc>
          <w:tcPr>
            <w:tcW w:w="142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63DA2B" w14:textId="77777777" w:rsidR="00E31B93" w:rsidRPr="00EE4D0D" w:rsidRDefault="00E31B93" w:rsidP="00242471">
            <w:pPr>
              <w:rPr>
                <w:b/>
                <w:color w:val="000000" w:themeColor="text1"/>
                <w:sz w:val="24"/>
                <w:szCs w:val="24"/>
              </w:rPr>
            </w:pPr>
            <w:r w:rsidRPr="00EE4D0D">
              <w:rPr>
                <w:b/>
                <w:color w:val="000000" w:themeColor="text1"/>
                <w:sz w:val="24"/>
                <w:szCs w:val="24"/>
              </w:rPr>
              <w:t>Initial Intervention Recommendations</w:t>
            </w:r>
          </w:p>
        </w:tc>
      </w:tr>
      <w:tr w:rsidR="00935FD5" w:rsidRPr="00EE4D0D" w14:paraId="564B7BFE" w14:textId="77777777" w:rsidTr="009272CB">
        <w:trPr>
          <w:trHeight w:val="73"/>
        </w:trPr>
        <w:tc>
          <w:tcPr>
            <w:tcW w:w="142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61A9" w14:textId="5DBF6ED3" w:rsidR="00E75CB9" w:rsidRPr="00EE4D0D" w:rsidRDefault="00E75CB9" w:rsidP="007442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Preoperative care should include patient education regarding FAI</w:t>
            </w:r>
          </w:p>
        </w:tc>
      </w:tr>
      <w:tr w:rsidR="00935FD5" w:rsidRPr="00EE4D0D" w14:paraId="477412E0" w14:textId="77777777" w:rsidTr="009272CB">
        <w:trPr>
          <w:trHeight w:val="73"/>
        </w:trPr>
        <w:tc>
          <w:tcPr>
            <w:tcW w:w="142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0FEF" w14:textId="54E4C302" w:rsidR="00E31B93" w:rsidRPr="00EE4D0D" w:rsidRDefault="00B81371" w:rsidP="007442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CA334A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minimum of 3 months of conservative care treatment should be used as the standard duration for conservative treatment.</w:t>
            </w:r>
          </w:p>
        </w:tc>
      </w:tr>
      <w:tr w:rsidR="00935FD5" w:rsidRPr="00EE4D0D" w14:paraId="1620C919" w14:textId="77777777" w:rsidTr="009272CB">
        <w:trPr>
          <w:trHeight w:val="89"/>
        </w:trPr>
        <w:tc>
          <w:tcPr>
            <w:tcW w:w="1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6B42" w14:textId="7F060E26" w:rsidR="00E31B93" w:rsidRPr="00EE4D0D" w:rsidRDefault="00B81371" w:rsidP="007442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Preoperative conservative care should include</w:t>
            </w:r>
            <w:r w:rsidR="00C14919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which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the following</w:t>
            </w:r>
            <w:r w:rsidR="007546C6" w:rsidRPr="00EE4D0D">
              <w:rPr>
                <w:rFonts w:ascii="Times New Roman" w:hAnsi="Times New Roman" w:cs="Times New Roman"/>
                <w:color w:val="000000" w:themeColor="text1"/>
                <w:sz w:val="21"/>
                <w:szCs w:val="24"/>
                <w:vertAlign w:val="superscript"/>
              </w:rPr>
              <w:t>*</w:t>
            </w:r>
            <w:r w:rsidR="007546C6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tbl>
            <w:tblPr>
              <w:tblStyle w:val="TableGrid"/>
              <w:tblW w:w="10137" w:type="dxa"/>
              <w:tblInd w:w="5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27"/>
              <w:gridCol w:w="3510"/>
              <w:gridCol w:w="3600"/>
            </w:tblGrid>
            <w:tr w:rsidR="00935FD5" w:rsidRPr="00EE4D0D" w14:paraId="3B3578C3" w14:textId="77777777" w:rsidTr="008360A8">
              <w:tc>
                <w:tcPr>
                  <w:tcW w:w="3027" w:type="dxa"/>
                </w:tcPr>
                <w:p w14:paraId="0AD20808" w14:textId="7A522CEC" w:rsidR="00024E5E" w:rsidRPr="00EE4D0D" w:rsidRDefault="00024E5E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Trial of rest</w:t>
                  </w:r>
                </w:p>
              </w:tc>
              <w:tc>
                <w:tcPr>
                  <w:tcW w:w="3510" w:type="dxa"/>
                </w:tcPr>
                <w:p w14:paraId="368ADA12" w14:textId="5AD8F5A2" w:rsidR="00024E5E" w:rsidRPr="00EE4D0D" w:rsidRDefault="00024E5E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Trial of NSAIDs</w:t>
                  </w:r>
                </w:p>
              </w:tc>
              <w:tc>
                <w:tcPr>
                  <w:tcW w:w="3600" w:type="dxa"/>
                </w:tcPr>
                <w:p w14:paraId="07DCC31A" w14:textId="592F4603" w:rsidR="00024E5E" w:rsidRPr="00EE4D0D" w:rsidRDefault="00024E5E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Intra-articular injections</w:t>
                  </w:r>
                </w:p>
              </w:tc>
            </w:tr>
            <w:tr w:rsidR="00935FD5" w:rsidRPr="00EE4D0D" w14:paraId="189FE7EA" w14:textId="77777777" w:rsidTr="008360A8">
              <w:trPr>
                <w:trHeight w:val="242"/>
              </w:trPr>
              <w:tc>
                <w:tcPr>
                  <w:tcW w:w="3027" w:type="dxa"/>
                </w:tcPr>
                <w:p w14:paraId="0D66B326" w14:textId="697B77FE" w:rsidR="00024E5E" w:rsidRPr="00EE4D0D" w:rsidRDefault="00024E5E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Trial of activity modification</w:t>
                  </w:r>
                </w:p>
              </w:tc>
              <w:tc>
                <w:tcPr>
                  <w:tcW w:w="3510" w:type="dxa"/>
                </w:tcPr>
                <w:p w14:paraId="37F37845" w14:textId="50542B48" w:rsidR="00024E5E" w:rsidRPr="00EE4D0D" w:rsidRDefault="00024E5E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Physical Therapy</w:t>
                  </w:r>
                </w:p>
              </w:tc>
              <w:tc>
                <w:tcPr>
                  <w:tcW w:w="3600" w:type="dxa"/>
                </w:tcPr>
                <w:p w14:paraId="1259C324" w14:textId="059DB670" w:rsidR="00024E5E" w:rsidRPr="00EE4D0D" w:rsidRDefault="00024E5E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NOT include opioids</w:t>
                  </w:r>
                </w:p>
              </w:tc>
            </w:tr>
          </w:tbl>
          <w:p w14:paraId="4B04E70D" w14:textId="0E6C95E5" w:rsidR="00B81371" w:rsidRPr="00EE4D0D" w:rsidRDefault="00B81371" w:rsidP="0074425F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</w:tr>
      <w:tr w:rsidR="00935FD5" w:rsidRPr="00EE4D0D" w14:paraId="6DD6C759" w14:textId="77777777" w:rsidTr="009272CB">
        <w:trPr>
          <w:trHeight w:val="665"/>
        </w:trPr>
        <w:tc>
          <w:tcPr>
            <w:tcW w:w="1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0A5A" w14:textId="56CA9AEE" w:rsidR="00E31B93" w:rsidRPr="00EE4D0D" w:rsidRDefault="00C14919" w:rsidP="007442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Which of the</w:t>
            </w:r>
            <w:r w:rsidR="00B81371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following patient characteristics</w:t>
            </w:r>
            <w:r w:rsidR="00024E5E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should </w:t>
            </w:r>
            <w:r w:rsidR="00B81371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make you less likely to require the full duration of conservative </w:t>
            </w:r>
            <w:r w:rsidR="007546C6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treatment?</w:t>
            </w:r>
            <w:r w:rsidR="007546C6" w:rsidRPr="00EE4D0D">
              <w:rPr>
                <w:rFonts w:ascii="Times New Roman" w:hAnsi="Times New Roman" w:cs="Times New Roman"/>
                <w:color w:val="000000" w:themeColor="text1"/>
                <w:sz w:val="21"/>
                <w:szCs w:val="24"/>
                <w:vertAlign w:val="superscript"/>
              </w:rPr>
              <w:t xml:space="preserve"> *</w:t>
            </w:r>
          </w:p>
          <w:tbl>
            <w:tblPr>
              <w:tblStyle w:val="TableGrid"/>
              <w:tblW w:w="13557" w:type="dxa"/>
              <w:tblInd w:w="550" w:type="dxa"/>
              <w:tblLayout w:type="fixed"/>
              <w:tblLook w:val="04A0" w:firstRow="1" w:lastRow="0" w:firstColumn="1" w:lastColumn="0" w:noHBand="0" w:noVBand="1"/>
            </w:tblPr>
            <w:tblGrid>
              <w:gridCol w:w="3030"/>
              <w:gridCol w:w="3602"/>
              <w:gridCol w:w="3505"/>
              <w:gridCol w:w="3420"/>
            </w:tblGrid>
            <w:tr w:rsidR="00935FD5" w:rsidRPr="00EE4D0D" w14:paraId="133B844F" w14:textId="77777777" w:rsidTr="008527A7">
              <w:trPr>
                <w:trHeight w:val="215"/>
              </w:trPr>
              <w:tc>
                <w:tcPr>
                  <w:tcW w:w="30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0DFAE" w14:textId="03CF97A3" w:rsidR="00036954" w:rsidRPr="00EE4D0D" w:rsidRDefault="00036954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Young age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20A21" w14:textId="0B25B789" w:rsidR="00036954" w:rsidRPr="00EE4D0D" w:rsidRDefault="00036954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Worker’s compensation claim</w:t>
                  </w:r>
                </w:p>
              </w:tc>
              <w:tc>
                <w:tcPr>
                  <w:tcW w:w="3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B4776" w14:textId="6F7A2EC3" w:rsidR="00036954" w:rsidRPr="00EE4D0D" w:rsidRDefault="00036954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Refusal of PT due to pain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171E7" w14:textId="1CE11528" w:rsidR="00036954" w:rsidRPr="00EE4D0D" w:rsidRDefault="007014D8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Anterior, Posterior, or Lateral Pain</w:t>
                  </w:r>
                </w:p>
              </w:tc>
            </w:tr>
            <w:tr w:rsidR="00935FD5" w:rsidRPr="00EE4D0D" w14:paraId="1AB12D10" w14:textId="77777777" w:rsidTr="008527A7">
              <w:tc>
                <w:tcPr>
                  <w:tcW w:w="30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F98EC" w14:textId="08259166" w:rsidR="007014D8" w:rsidRPr="00EE4D0D" w:rsidRDefault="007014D8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Professional athlete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A87DA" w14:textId="25E05810" w:rsidR="007014D8" w:rsidRPr="00EE4D0D" w:rsidRDefault="007014D8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No worker’s comp</w:t>
                  </w:r>
                  <w:r w:rsidR="007546C6"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ensation</w:t>
                  </w: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claim</w:t>
                  </w:r>
                </w:p>
              </w:tc>
              <w:tc>
                <w:tcPr>
                  <w:tcW w:w="3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A8240" w14:textId="3D60D2B8" w:rsidR="007014D8" w:rsidRPr="00EE4D0D" w:rsidRDefault="007014D8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Inability to work</w:t>
                  </w:r>
                </w:p>
              </w:tc>
              <w:tc>
                <w:tcPr>
                  <w:tcW w:w="34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392BD" w14:textId="7B7227B4" w:rsidR="007014D8" w:rsidRPr="00EE4D0D" w:rsidRDefault="007014D8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0-49% improvement (marginal) following IA inj.</w:t>
                  </w:r>
                </w:p>
              </w:tc>
            </w:tr>
            <w:tr w:rsidR="00935FD5" w:rsidRPr="00EE4D0D" w14:paraId="201C924C" w14:textId="77777777" w:rsidTr="008527A7">
              <w:tc>
                <w:tcPr>
                  <w:tcW w:w="30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A6E78" w14:textId="6D40010B" w:rsidR="007014D8" w:rsidRPr="00EE4D0D" w:rsidRDefault="007014D8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Nonprofessional athlete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CB928" w14:textId="7322C2E9" w:rsidR="007014D8" w:rsidRPr="00EE4D0D" w:rsidRDefault="007014D8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Long Duration of Symptoms</w:t>
                  </w:r>
                </w:p>
              </w:tc>
              <w:tc>
                <w:tcPr>
                  <w:tcW w:w="3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7D28E" w14:textId="018DC160" w:rsidR="007014D8" w:rsidRPr="00EE4D0D" w:rsidRDefault="007014D8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Concomitant Athletic </w:t>
                  </w:r>
                  <w:proofErr w:type="spellStart"/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Pubalgia</w:t>
                  </w:r>
                  <w:proofErr w:type="spellEnd"/>
                </w:p>
              </w:tc>
              <w:tc>
                <w:tcPr>
                  <w:tcW w:w="34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54CB6" w14:textId="0FA57809" w:rsidR="007014D8" w:rsidRPr="00EE4D0D" w:rsidRDefault="007014D8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935FD5" w:rsidRPr="00EE4D0D" w14:paraId="6CDD0B22" w14:textId="77777777" w:rsidTr="008527A7">
              <w:tc>
                <w:tcPr>
                  <w:tcW w:w="30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5AF2F" w14:textId="77777777" w:rsidR="007014D8" w:rsidRPr="00EE4D0D" w:rsidRDefault="007014D8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In-season athlete</w:t>
                  </w:r>
                </w:p>
                <w:p w14:paraId="03253F96" w14:textId="5BEEA52B" w:rsidR="007014D8" w:rsidRPr="00EE4D0D" w:rsidRDefault="007014D8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Out-of-season athlete</w:t>
                  </w:r>
                </w:p>
              </w:tc>
              <w:tc>
                <w:tcPr>
                  <w:tcW w:w="36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50607" w14:textId="51D88C8A" w:rsidR="007014D8" w:rsidRPr="00EE4D0D" w:rsidRDefault="007014D8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Partial vs. full completion of PT with marginal improvement</w:t>
                  </w:r>
                </w:p>
              </w:tc>
              <w:tc>
                <w:tcPr>
                  <w:tcW w:w="3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51EA7" w14:textId="6F6169D1" w:rsidR="007014D8" w:rsidRPr="00EE4D0D" w:rsidRDefault="007014D8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Pain with torsional activities or prolonged sitting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5AA8E" w14:textId="211B8003" w:rsidR="007014D8" w:rsidRPr="00EE4D0D" w:rsidRDefault="007014D8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50-100% improvement (substantial) following IA inj.</w:t>
                  </w:r>
                </w:p>
              </w:tc>
            </w:tr>
          </w:tbl>
          <w:p w14:paraId="02CF82BA" w14:textId="02EE63B5" w:rsidR="00B81371" w:rsidRPr="00EE4D0D" w:rsidRDefault="00B81371" w:rsidP="0074425F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</w:tr>
      <w:tr w:rsidR="00935FD5" w:rsidRPr="00EE4D0D" w14:paraId="23EA0EAF" w14:textId="77777777" w:rsidTr="009272CB">
        <w:trPr>
          <w:trHeight w:val="530"/>
        </w:trPr>
        <w:tc>
          <w:tcPr>
            <w:tcW w:w="1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7C34" w14:textId="5B96BD26" w:rsidR="00E31B93" w:rsidRPr="00EE4D0D" w:rsidRDefault="00C14919" w:rsidP="007442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 w:right="-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Which of the following</w:t>
            </w:r>
            <w:r w:rsidR="0012581B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joint parameters </w:t>
            </w:r>
            <w:r w:rsidR="00B623B9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would allow you to consider proceeding with surgery prior to completion of the</w:t>
            </w:r>
            <w:r w:rsidR="0012581B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full duration of conservative treatment</w:t>
            </w:r>
            <w:r w:rsidR="007546C6" w:rsidRPr="00EE4D0D">
              <w:rPr>
                <w:rFonts w:ascii="Times New Roman" w:hAnsi="Times New Roman" w:cs="Times New Roman"/>
                <w:color w:val="000000" w:themeColor="text1"/>
                <w:sz w:val="21"/>
                <w:szCs w:val="24"/>
                <w:vertAlign w:val="superscript"/>
              </w:rPr>
              <w:t>*</w:t>
            </w:r>
            <w:r w:rsidR="0012581B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tbl>
            <w:tblPr>
              <w:tblStyle w:val="TableGrid"/>
              <w:tblW w:w="13560" w:type="dxa"/>
              <w:tblInd w:w="5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0"/>
              <w:gridCol w:w="3602"/>
              <w:gridCol w:w="3505"/>
              <w:gridCol w:w="3423"/>
            </w:tblGrid>
            <w:tr w:rsidR="00935FD5" w:rsidRPr="00EE4D0D" w14:paraId="7447B85F" w14:textId="77777777" w:rsidTr="008527A7">
              <w:tc>
                <w:tcPr>
                  <w:tcW w:w="3030" w:type="dxa"/>
                </w:tcPr>
                <w:p w14:paraId="4380357F" w14:textId="77777777" w:rsidR="007977C1" w:rsidRPr="00EE4D0D" w:rsidRDefault="007977C1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High alpha angle</w:t>
                  </w:r>
                </w:p>
                <w:p w14:paraId="0FEAA6A3" w14:textId="28912440" w:rsidR="007977C1" w:rsidRPr="00EE4D0D" w:rsidRDefault="007977C1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Low </w:t>
                  </w:r>
                  <w:proofErr w:type="spellStart"/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Tonnis</w:t>
                  </w:r>
                  <w:proofErr w:type="spellEnd"/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grade</w:t>
                  </w:r>
                </w:p>
              </w:tc>
              <w:tc>
                <w:tcPr>
                  <w:tcW w:w="3602" w:type="dxa"/>
                </w:tcPr>
                <w:p w14:paraId="227E1E7D" w14:textId="77777777" w:rsidR="007977C1" w:rsidRPr="00EE4D0D" w:rsidRDefault="007977C1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Combined Impingement</w:t>
                  </w:r>
                </w:p>
                <w:p w14:paraId="3807670C" w14:textId="5B6471BB" w:rsidR="007977C1" w:rsidRPr="00EE4D0D" w:rsidRDefault="007977C1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Femoral retroversion</w:t>
                  </w:r>
                </w:p>
              </w:tc>
              <w:tc>
                <w:tcPr>
                  <w:tcW w:w="3505" w:type="dxa"/>
                </w:tcPr>
                <w:p w14:paraId="7E623C5E" w14:textId="77777777" w:rsidR="007977C1" w:rsidRPr="00EE4D0D" w:rsidRDefault="007977C1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Os</w:t>
                  </w:r>
                  <w:proofErr w:type="spellEnd"/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Acetabuli</w:t>
                  </w:r>
                  <w:proofErr w:type="spellEnd"/>
                </w:p>
                <w:p w14:paraId="0F091B2B" w14:textId="19B2E2CE" w:rsidR="007977C1" w:rsidRPr="00EE4D0D" w:rsidRDefault="007977C1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Large ROM limitations with pain</w:t>
                  </w:r>
                </w:p>
              </w:tc>
              <w:tc>
                <w:tcPr>
                  <w:tcW w:w="3423" w:type="dxa"/>
                </w:tcPr>
                <w:p w14:paraId="6B63F1FF" w14:textId="7BE34212" w:rsidR="007977C1" w:rsidRPr="00EE4D0D" w:rsidRDefault="007977C1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Large pincer-type deformity in the absence of OA changes</w:t>
                  </w:r>
                </w:p>
              </w:tc>
            </w:tr>
            <w:tr w:rsidR="00935FD5" w:rsidRPr="00EE4D0D" w14:paraId="24769332" w14:textId="77777777" w:rsidTr="008527A7">
              <w:tc>
                <w:tcPr>
                  <w:tcW w:w="3030" w:type="dxa"/>
                </w:tcPr>
                <w:p w14:paraId="7EBF317E" w14:textId="77777777" w:rsidR="007977C1" w:rsidRPr="00EE4D0D" w:rsidRDefault="007977C1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Cam Impingement</w:t>
                  </w:r>
                </w:p>
                <w:p w14:paraId="7E7914B6" w14:textId="07DA99ED" w:rsidR="007977C1" w:rsidRPr="00EE4D0D" w:rsidRDefault="007977C1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Prominent AIIS</w:t>
                  </w:r>
                </w:p>
              </w:tc>
              <w:tc>
                <w:tcPr>
                  <w:tcW w:w="3602" w:type="dxa"/>
                </w:tcPr>
                <w:p w14:paraId="061C823B" w14:textId="64509EEB" w:rsidR="007977C1" w:rsidRPr="00EE4D0D" w:rsidRDefault="007977C1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High vs low baselines mental health score as indicated by a high VR-12</w:t>
                  </w:r>
                </w:p>
              </w:tc>
              <w:tc>
                <w:tcPr>
                  <w:tcW w:w="3505" w:type="dxa"/>
                </w:tcPr>
                <w:p w14:paraId="0EBCCB82" w14:textId="6D720E82" w:rsidR="007977C1" w:rsidRPr="00EE4D0D" w:rsidRDefault="007977C1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Large cam-type deformity in the absence of OA changes</w:t>
                  </w:r>
                </w:p>
              </w:tc>
              <w:tc>
                <w:tcPr>
                  <w:tcW w:w="3423" w:type="dxa"/>
                </w:tcPr>
                <w:p w14:paraId="7BD7E4EF" w14:textId="586AA95E" w:rsidR="007977C1" w:rsidRPr="00EE4D0D" w:rsidRDefault="007977C1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Large combined deformity in the absence of OA changes</w:t>
                  </w:r>
                </w:p>
              </w:tc>
            </w:tr>
          </w:tbl>
          <w:p w14:paraId="63AAA0DC" w14:textId="77777777" w:rsidR="0012581B" w:rsidRPr="00EE4D0D" w:rsidRDefault="0012581B" w:rsidP="0074425F">
            <w:pPr>
              <w:pStyle w:val="ListParagraph"/>
              <w:spacing w:after="0" w:line="240" w:lineRule="auto"/>
              <w:ind w:left="337" w:right="-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5FD5" w:rsidRPr="00EE4D0D" w14:paraId="35A8FFC7" w14:textId="77777777" w:rsidTr="009272CB">
        <w:trPr>
          <w:trHeight w:val="251"/>
        </w:trPr>
        <w:tc>
          <w:tcPr>
            <w:tcW w:w="1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4F79" w14:textId="40E35098" w:rsidR="00E31B93" w:rsidRPr="00EE4D0D" w:rsidRDefault="00C14919" w:rsidP="007442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Which of the</w:t>
            </w:r>
            <w:r w:rsidR="0012581B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following </w:t>
            </w:r>
            <w:r w:rsidR="00024E5E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should be</w:t>
            </w:r>
            <w:r w:rsidR="0012581B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contraindications to arthroscopic management of </w:t>
            </w:r>
            <w:proofErr w:type="gramStart"/>
            <w:r w:rsidR="0012581B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FAI</w:t>
            </w:r>
            <w:r w:rsidR="007546C6" w:rsidRPr="00EE4D0D">
              <w:rPr>
                <w:rFonts w:ascii="Times New Roman" w:hAnsi="Times New Roman" w:cs="Times New Roman"/>
                <w:color w:val="000000" w:themeColor="text1"/>
                <w:sz w:val="21"/>
                <w:szCs w:val="24"/>
                <w:vertAlign w:val="superscript"/>
              </w:rPr>
              <w:t>*</w:t>
            </w:r>
            <w:r w:rsidR="0012581B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proofErr w:type="gramEnd"/>
          </w:p>
          <w:tbl>
            <w:tblPr>
              <w:tblStyle w:val="TableGrid"/>
              <w:tblW w:w="13560" w:type="dxa"/>
              <w:tblInd w:w="5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30"/>
              <w:gridCol w:w="3602"/>
              <w:gridCol w:w="3505"/>
              <w:gridCol w:w="3423"/>
            </w:tblGrid>
            <w:tr w:rsidR="00935FD5" w:rsidRPr="00EE4D0D" w14:paraId="2AD686F6" w14:textId="77777777" w:rsidTr="008527A7">
              <w:tc>
                <w:tcPr>
                  <w:tcW w:w="3030" w:type="dxa"/>
                </w:tcPr>
                <w:p w14:paraId="60F264B5" w14:textId="0EBD203B" w:rsidR="00024E5E" w:rsidRPr="00EE4D0D" w:rsidRDefault="00024E5E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C-E Angle&lt;20</w:t>
                  </w:r>
                </w:p>
              </w:tc>
              <w:tc>
                <w:tcPr>
                  <w:tcW w:w="3602" w:type="dxa"/>
                </w:tcPr>
                <w:p w14:paraId="4E0E6DE3" w14:textId="57366C92" w:rsidR="00024E5E" w:rsidRPr="00EE4D0D" w:rsidRDefault="00024E5E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High MRI chondral grade</w:t>
                  </w:r>
                </w:p>
              </w:tc>
              <w:tc>
                <w:tcPr>
                  <w:tcW w:w="3505" w:type="dxa"/>
                </w:tcPr>
                <w:p w14:paraId="1A9A7A27" w14:textId="31AB161C" w:rsidR="00024E5E" w:rsidRPr="00EE4D0D" w:rsidRDefault="00EF0EFC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Severe limitation with ADLs</w:t>
                  </w:r>
                </w:p>
              </w:tc>
              <w:tc>
                <w:tcPr>
                  <w:tcW w:w="3423" w:type="dxa"/>
                </w:tcPr>
                <w:p w14:paraId="334CF818" w14:textId="64C97031" w:rsidR="00024E5E" w:rsidRPr="00EE4D0D" w:rsidRDefault="00EF0EFC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Obesity affecting access</w:t>
                  </w:r>
                </w:p>
              </w:tc>
            </w:tr>
            <w:tr w:rsidR="00935FD5" w:rsidRPr="00EE4D0D" w14:paraId="00332C2F" w14:textId="77777777" w:rsidTr="008527A7">
              <w:tc>
                <w:tcPr>
                  <w:tcW w:w="3030" w:type="dxa"/>
                </w:tcPr>
                <w:p w14:paraId="030467D5" w14:textId="4FD7E808" w:rsidR="00024E5E" w:rsidRPr="00EE4D0D" w:rsidRDefault="00024E5E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Global Pincer Dysplasia</w:t>
                  </w:r>
                  <w:r w:rsidR="007546C6"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/FAI</w:t>
                  </w:r>
                </w:p>
              </w:tc>
              <w:tc>
                <w:tcPr>
                  <w:tcW w:w="3602" w:type="dxa"/>
                </w:tcPr>
                <w:p w14:paraId="5B100F66" w14:textId="5DF00ACF" w:rsidR="00024E5E" w:rsidRPr="00EE4D0D" w:rsidRDefault="00024E5E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Tonnis</w:t>
                  </w:r>
                  <w:proofErr w:type="spellEnd"/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grade 2 or higher</w:t>
                  </w:r>
                </w:p>
              </w:tc>
              <w:tc>
                <w:tcPr>
                  <w:tcW w:w="3505" w:type="dxa"/>
                </w:tcPr>
                <w:p w14:paraId="122B9EAA" w14:textId="0B7C0BBD" w:rsidR="00024E5E" w:rsidRPr="00EE4D0D" w:rsidRDefault="00EF0EFC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Using a cane or crutches</w:t>
                  </w:r>
                </w:p>
              </w:tc>
              <w:tc>
                <w:tcPr>
                  <w:tcW w:w="3423" w:type="dxa"/>
                </w:tcPr>
                <w:p w14:paraId="2E72ABBD" w14:textId="77DCD19B" w:rsidR="00024E5E" w:rsidRPr="00EE4D0D" w:rsidRDefault="00EF0EFC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Inseam&gt;36” affecting access</w:t>
                  </w:r>
                </w:p>
              </w:tc>
            </w:tr>
            <w:tr w:rsidR="00935FD5" w:rsidRPr="00EE4D0D" w14:paraId="072106A0" w14:textId="77777777" w:rsidTr="008527A7">
              <w:tc>
                <w:tcPr>
                  <w:tcW w:w="3030" w:type="dxa"/>
                </w:tcPr>
                <w:p w14:paraId="4632B53B" w14:textId="3AF597C7" w:rsidR="00EF0EFC" w:rsidRPr="00EE4D0D" w:rsidRDefault="00EF0EFC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Dysplasia with instability</w:t>
                  </w:r>
                </w:p>
              </w:tc>
              <w:tc>
                <w:tcPr>
                  <w:tcW w:w="3602" w:type="dxa"/>
                  <w:vMerge w:val="restart"/>
                </w:tcPr>
                <w:p w14:paraId="225F6E15" w14:textId="5CDB8502" w:rsidR="00EF0EFC" w:rsidRPr="00EE4D0D" w:rsidRDefault="00EF0EFC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Posterior cam lesion involving retinacular vessels</w:t>
                  </w:r>
                </w:p>
              </w:tc>
              <w:tc>
                <w:tcPr>
                  <w:tcW w:w="3505" w:type="dxa"/>
                  <w:vMerge w:val="restart"/>
                </w:tcPr>
                <w:p w14:paraId="420ECEBB" w14:textId="38BC7A42" w:rsidR="00EF0EFC" w:rsidRPr="00EE4D0D" w:rsidRDefault="00EF0EFC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Severe femoral retroversion or anteversion with gait abnormality</w:t>
                  </w:r>
                </w:p>
              </w:tc>
              <w:tc>
                <w:tcPr>
                  <w:tcW w:w="3423" w:type="dxa"/>
                </w:tcPr>
                <w:p w14:paraId="4D1DB120" w14:textId="344DC12F" w:rsidR="00EF0EFC" w:rsidRPr="00EE4D0D" w:rsidRDefault="00EF0EFC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FHEI &gt;25%</w:t>
                  </w:r>
                </w:p>
              </w:tc>
            </w:tr>
            <w:tr w:rsidR="00935FD5" w:rsidRPr="00EE4D0D" w14:paraId="40421F01" w14:textId="77777777" w:rsidTr="008527A7">
              <w:trPr>
                <w:trHeight w:val="251"/>
              </w:trPr>
              <w:tc>
                <w:tcPr>
                  <w:tcW w:w="3030" w:type="dxa"/>
                </w:tcPr>
                <w:p w14:paraId="1907CE1E" w14:textId="13467694" w:rsidR="00EF0EFC" w:rsidRPr="00EE4D0D" w:rsidRDefault="00EF0EFC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Joint space narrowing or OA</w:t>
                  </w:r>
                </w:p>
              </w:tc>
              <w:tc>
                <w:tcPr>
                  <w:tcW w:w="3602" w:type="dxa"/>
                  <w:vMerge/>
                </w:tcPr>
                <w:p w14:paraId="5B7B0BE5" w14:textId="77777777" w:rsidR="00EF0EFC" w:rsidRPr="00EE4D0D" w:rsidRDefault="00EF0EFC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505" w:type="dxa"/>
                  <w:vMerge/>
                </w:tcPr>
                <w:p w14:paraId="1A843679" w14:textId="77777777" w:rsidR="00EF0EFC" w:rsidRPr="00EE4D0D" w:rsidRDefault="00EF0EFC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423" w:type="dxa"/>
                </w:tcPr>
                <w:p w14:paraId="5D2A711C" w14:textId="25F8FEC5" w:rsidR="00EF0EFC" w:rsidRPr="00EE4D0D" w:rsidRDefault="00EF0EFC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Broken Shenton’s Line</w:t>
                  </w:r>
                </w:p>
              </w:tc>
            </w:tr>
          </w:tbl>
          <w:p w14:paraId="65422597" w14:textId="04986DA5" w:rsidR="00024E5E" w:rsidRPr="00EE4D0D" w:rsidRDefault="00024E5E" w:rsidP="0074425F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</w:tr>
      <w:tr w:rsidR="00935FD5" w:rsidRPr="00EE4D0D" w14:paraId="72FCE054" w14:textId="77777777" w:rsidTr="0074425F">
        <w:trPr>
          <w:trHeight w:val="341"/>
        </w:trPr>
        <w:tc>
          <w:tcPr>
            <w:tcW w:w="1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93AAE" w14:textId="7C730563" w:rsidR="00E31B93" w:rsidRPr="00EE4D0D" w:rsidRDefault="00EF0EFC" w:rsidP="007442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During hip arth</w:t>
            </w:r>
            <w:r w:rsidR="00E36FAD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scopy in patients with labral tears, intraoperative labral repair rath</w:t>
            </w:r>
            <w:r w:rsidR="00E36FAD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 th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 debridement should be performed</w:t>
            </w:r>
          </w:p>
        </w:tc>
      </w:tr>
      <w:tr w:rsidR="00935FD5" w:rsidRPr="00EE4D0D" w14:paraId="55B2CFE8" w14:textId="77777777" w:rsidTr="0074425F">
        <w:trPr>
          <w:trHeight w:val="350"/>
        </w:trPr>
        <w:tc>
          <w:tcPr>
            <w:tcW w:w="1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67C8" w14:textId="6B979F5F" w:rsidR="00E31B93" w:rsidRPr="00EE4D0D" w:rsidRDefault="00EF0EFC" w:rsidP="007442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When addressing cam lesions, bone resection should be guided by the following</w:t>
            </w:r>
            <w:r w:rsidR="007546C6" w:rsidRPr="00EE4D0D">
              <w:rPr>
                <w:rFonts w:ascii="Times New Roman" w:hAnsi="Times New Roman" w:cs="Times New Roman"/>
                <w:color w:val="000000" w:themeColor="text1"/>
                <w:sz w:val="21"/>
                <w:szCs w:val="24"/>
                <w:vertAlign w:val="superscript"/>
              </w:rPr>
              <w:t>*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tbl>
            <w:tblPr>
              <w:tblStyle w:val="TableGrid"/>
              <w:tblW w:w="10715" w:type="dxa"/>
              <w:tblInd w:w="60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0"/>
              <w:gridCol w:w="3605"/>
              <w:gridCol w:w="4140"/>
            </w:tblGrid>
            <w:tr w:rsidR="00935FD5" w:rsidRPr="00EE4D0D" w14:paraId="146D72A1" w14:textId="77777777" w:rsidTr="008527A7">
              <w:trPr>
                <w:trHeight w:val="225"/>
              </w:trPr>
              <w:tc>
                <w:tcPr>
                  <w:tcW w:w="2970" w:type="dxa"/>
                </w:tcPr>
                <w:p w14:paraId="204B0D49" w14:textId="06EE9958" w:rsidR="0007121A" w:rsidRPr="00EE4D0D" w:rsidRDefault="0007121A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Plain preop</w:t>
                  </w:r>
                  <w:r w:rsidR="00295491"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erative</w:t>
                  </w: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radiograph</w:t>
                  </w:r>
                </w:p>
              </w:tc>
              <w:tc>
                <w:tcPr>
                  <w:tcW w:w="3605" w:type="dxa"/>
                </w:tcPr>
                <w:p w14:paraId="7A496E13" w14:textId="16E169FA" w:rsidR="0007121A" w:rsidRPr="00EE4D0D" w:rsidRDefault="0007121A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Resection to the subcortical bone</w:t>
                  </w:r>
                </w:p>
              </w:tc>
              <w:tc>
                <w:tcPr>
                  <w:tcW w:w="4140" w:type="dxa"/>
                </w:tcPr>
                <w:p w14:paraId="6E10D6D2" w14:textId="6A6AE167" w:rsidR="0007121A" w:rsidRPr="00EE4D0D" w:rsidRDefault="0007121A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Dynamic exam looking for impingement areas</w:t>
                  </w:r>
                </w:p>
              </w:tc>
            </w:tr>
            <w:tr w:rsidR="00935FD5" w:rsidRPr="00EE4D0D" w14:paraId="6398D5FD" w14:textId="77777777" w:rsidTr="008527A7">
              <w:tc>
                <w:tcPr>
                  <w:tcW w:w="2970" w:type="dxa"/>
                </w:tcPr>
                <w:p w14:paraId="45D357AA" w14:textId="0A7D7C7F" w:rsidR="0007121A" w:rsidRPr="00EE4D0D" w:rsidRDefault="0007121A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Preop</w:t>
                  </w:r>
                  <w:r w:rsidR="00295491"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erative</w:t>
                  </w: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3D CT scans</w:t>
                  </w:r>
                </w:p>
              </w:tc>
              <w:tc>
                <w:tcPr>
                  <w:tcW w:w="3605" w:type="dxa"/>
                </w:tcPr>
                <w:p w14:paraId="57D6F20B" w14:textId="0868E7E2" w:rsidR="0007121A" w:rsidRPr="00EE4D0D" w:rsidRDefault="0007121A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Re-establishing femoral head/neck slope</w:t>
                  </w:r>
                </w:p>
              </w:tc>
              <w:tc>
                <w:tcPr>
                  <w:tcW w:w="4140" w:type="dxa"/>
                </w:tcPr>
                <w:p w14:paraId="6C106F4D" w14:textId="21560C1B" w:rsidR="0007121A" w:rsidRPr="00EE4D0D" w:rsidRDefault="0007121A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Fluoroscopy</w:t>
                  </w:r>
                </w:p>
              </w:tc>
            </w:tr>
          </w:tbl>
          <w:p w14:paraId="6A36DC6A" w14:textId="77777777" w:rsidR="00EF0EFC" w:rsidRPr="00EE4D0D" w:rsidRDefault="00EF0EFC" w:rsidP="0074425F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5FD5" w:rsidRPr="00EE4D0D" w14:paraId="4E05D606" w14:textId="77777777" w:rsidTr="009272CB">
        <w:trPr>
          <w:trHeight w:val="73"/>
        </w:trPr>
        <w:tc>
          <w:tcPr>
            <w:tcW w:w="1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EBB8" w14:textId="7B398261" w:rsidR="00E31B93" w:rsidRPr="00EE4D0D" w:rsidRDefault="00E36FAD" w:rsidP="007442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 the setting of ligamentous laxity (</w:t>
            </w:r>
            <w:proofErr w:type="spellStart"/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Beighton</w:t>
            </w:r>
            <w:proofErr w:type="spellEnd"/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Score ≥5 or diagnosis of Ehlers-Danlos Syndrome), capsular plication should be performed.</w:t>
            </w:r>
          </w:p>
        </w:tc>
      </w:tr>
      <w:tr w:rsidR="00935FD5" w:rsidRPr="00EE4D0D" w14:paraId="3447C130" w14:textId="77777777" w:rsidTr="00B623B9">
        <w:trPr>
          <w:trHeight w:val="278"/>
        </w:trPr>
        <w:tc>
          <w:tcPr>
            <w:tcW w:w="1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7866" w14:textId="2CA74B7C" w:rsidR="00E31B93" w:rsidRPr="00EE4D0D" w:rsidRDefault="00E36FAD" w:rsidP="007442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 the setting of borderline dysplasia, capsular plication should be performed</w:t>
            </w:r>
            <w:r w:rsidR="007546C6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during hip arthroscopy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35FD5" w:rsidRPr="00EE4D0D" w14:paraId="70171A7D" w14:textId="77777777" w:rsidTr="00B623B9">
        <w:trPr>
          <w:trHeight w:val="251"/>
        </w:trPr>
        <w:tc>
          <w:tcPr>
            <w:tcW w:w="1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2A00" w14:textId="2907A8B8" w:rsidR="00E31B93" w:rsidRPr="00EE4D0D" w:rsidRDefault="00E36FAD" w:rsidP="007442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 the setting of increased femoral version, capsular plication should be performed</w:t>
            </w:r>
            <w:r w:rsidR="007546C6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during hip arthroscopy.</w:t>
            </w:r>
          </w:p>
        </w:tc>
      </w:tr>
      <w:tr w:rsidR="00935FD5" w:rsidRPr="00EE4D0D" w14:paraId="1EFCB1A7" w14:textId="77777777" w:rsidTr="00B623B9">
        <w:trPr>
          <w:trHeight w:val="242"/>
        </w:trPr>
        <w:tc>
          <w:tcPr>
            <w:tcW w:w="142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01B1B" w14:textId="1F2EC99B" w:rsidR="00E31B93" w:rsidRPr="00EE4D0D" w:rsidRDefault="00E36FAD" w:rsidP="007442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Postoperative rehabilitation should be recommended to all patients following arthroscopic management of FAI.</w:t>
            </w:r>
          </w:p>
        </w:tc>
      </w:tr>
      <w:tr w:rsidR="00935FD5" w:rsidRPr="00EE4D0D" w14:paraId="06766596" w14:textId="77777777" w:rsidTr="007546C6">
        <w:trPr>
          <w:trHeight w:val="278"/>
        </w:trPr>
        <w:tc>
          <w:tcPr>
            <w:tcW w:w="1422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81B26" w14:textId="57964197" w:rsidR="00E75CB9" w:rsidRPr="00EE4D0D" w:rsidRDefault="00E75CB9" w:rsidP="007546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2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Postoperative hip bracing sh</w:t>
            </w:r>
            <w:r w:rsidR="007977C1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ould be recommended to patients: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65BA5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with 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revision with adhesions</w:t>
            </w:r>
            <w:r w:rsidR="007977C1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undergoing labral repairs and/or capsular plication</w:t>
            </w:r>
          </w:p>
        </w:tc>
      </w:tr>
      <w:tr w:rsidR="00935FD5" w:rsidRPr="00EE4D0D" w14:paraId="3E4D0CAD" w14:textId="77777777" w:rsidTr="00B623B9">
        <w:trPr>
          <w:trHeight w:val="91"/>
        </w:trPr>
        <w:tc>
          <w:tcPr>
            <w:tcW w:w="14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CB19" w14:textId="48F19B3B" w:rsidR="00E31B93" w:rsidRPr="00EE4D0D" w:rsidRDefault="00E75CB9" w:rsidP="0074425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Continuous Passive Motion (CPM) machine should be recommended to:</w:t>
            </w:r>
          </w:p>
          <w:p w14:paraId="656E9B88" w14:textId="77777777" w:rsidR="00E75CB9" w:rsidRPr="00EE4D0D" w:rsidRDefault="00E75CB9" w:rsidP="0074425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all patients following arthroscopic management of FAI</w:t>
            </w:r>
          </w:p>
          <w:p w14:paraId="700156EC" w14:textId="77777777" w:rsidR="00007705" w:rsidRPr="00EE4D0D" w:rsidRDefault="00E75CB9" w:rsidP="0074425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patients with laxity or Ehlers-Danlos Syndrome</w:t>
            </w:r>
          </w:p>
          <w:p w14:paraId="760F26B6" w14:textId="7E7090D8" w:rsidR="00E75CB9" w:rsidRPr="00EE4D0D" w:rsidRDefault="00E75CB9" w:rsidP="0074425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patients with revisions with adhesions</w:t>
            </w:r>
          </w:p>
        </w:tc>
      </w:tr>
    </w:tbl>
    <w:p w14:paraId="09E2C796" w14:textId="51AE938B" w:rsidR="007546C6" w:rsidRPr="00EE4D0D" w:rsidRDefault="007546C6" w:rsidP="00036954">
      <w:pPr>
        <w:ind w:left="-630"/>
        <w:rPr>
          <w:i/>
          <w:color w:val="000000" w:themeColor="text1"/>
          <w:sz w:val="20"/>
          <w:szCs w:val="20"/>
        </w:rPr>
      </w:pPr>
      <w:r w:rsidRPr="00EE4D0D">
        <w:rPr>
          <w:b/>
          <w:i/>
          <w:color w:val="000000" w:themeColor="text1"/>
          <w:sz w:val="20"/>
          <w:szCs w:val="20"/>
        </w:rPr>
        <w:t xml:space="preserve">* </w:t>
      </w:r>
      <w:r w:rsidRPr="00EE4D0D">
        <w:rPr>
          <w:i/>
          <w:color w:val="000000" w:themeColor="text1"/>
          <w:sz w:val="20"/>
          <w:szCs w:val="20"/>
        </w:rPr>
        <w:t>Presented in a matrix table</w:t>
      </w:r>
    </w:p>
    <w:p w14:paraId="3F96464C" w14:textId="77777777" w:rsidR="001D785C" w:rsidRDefault="001D785C" w:rsidP="00036954">
      <w:pPr>
        <w:ind w:left="-630"/>
        <w:rPr>
          <w:b/>
          <w:color w:val="000000" w:themeColor="text1"/>
        </w:rPr>
      </w:pPr>
    </w:p>
    <w:p w14:paraId="0313A8AE" w14:textId="77777777" w:rsidR="001D785C" w:rsidRDefault="001D785C" w:rsidP="00036954">
      <w:pPr>
        <w:ind w:left="-630"/>
        <w:rPr>
          <w:b/>
          <w:color w:val="000000" w:themeColor="text1"/>
        </w:rPr>
      </w:pPr>
    </w:p>
    <w:p w14:paraId="0EF0BA60" w14:textId="4FF8E09F" w:rsidR="00E31B93" w:rsidRPr="00EE4D0D" w:rsidRDefault="005650AF" w:rsidP="001D785C">
      <w:pPr>
        <w:spacing w:after="120"/>
        <w:ind w:left="-634"/>
        <w:rPr>
          <w:color w:val="000000" w:themeColor="text1"/>
        </w:rPr>
      </w:pPr>
      <w:r>
        <w:rPr>
          <w:b/>
          <w:color w:val="000000" w:themeColor="text1"/>
        </w:rPr>
        <w:lastRenderedPageBreak/>
        <w:t>Table 4</w:t>
      </w:r>
      <w:r w:rsidR="00E31B93" w:rsidRPr="00EE4D0D">
        <w:rPr>
          <w:b/>
          <w:color w:val="000000" w:themeColor="text1"/>
        </w:rPr>
        <w:t xml:space="preserve">. </w:t>
      </w:r>
      <w:r w:rsidR="001031C0">
        <w:rPr>
          <w:color w:val="000000" w:themeColor="text1"/>
        </w:rPr>
        <w:t>Round 2 (</w:t>
      </w:r>
      <w:r w:rsidR="001031C0" w:rsidRPr="00EE4D0D">
        <w:rPr>
          <w:color w:val="000000" w:themeColor="text1"/>
        </w:rPr>
        <w:t>Revisions to Select Interventions and New Additions</w:t>
      </w:r>
      <w:r w:rsidR="001031C0">
        <w:rPr>
          <w:color w:val="000000" w:themeColor="text1"/>
        </w:rPr>
        <w:t>)</w:t>
      </w:r>
    </w:p>
    <w:tbl>
      <w:tblPr>
        <w:tblStyle w:val="TableGrid"/>
        <w:tblW w:w="14249" w:type="dxa"/>
        <w:tblInd w:w="-635" w:type="dxa"/>
        <w:tblLook w:val="04A0" w:firstRow="1" w:lastRow="0" w:firstColumn="1" w:lastColumn="0" w:noHBand="0" w:noVBand="1"/>
      </w:tblPr>
      <w:tblGrid>
        <w:gridCol w:w="14249"/>
      </w:tblGrid>
      <w:tr w:rsidR="00935FD5" w:rsidRPr="00EE4D0D" w14:paraId="37382BF3" w14:textId="77777777" w:rsidTr="00725453">
        <w:trPr>
          <w:trHeight w:val="341"/>
        </w:trPr>
        <w:tc>
          <w:tcPr>
            <w:tcW w:w="14249" w:type="dxa"/>
            <w:shd w:val="clear" w:color="auto" w:fill="BFBFBF" w:themeFill="background1" w:themeFillShade="BF"/>
            <w:vAlign w:val="center"/>
          </w:tcPr>
          <w:p w14:paraId="442AC0ED" w14:textId="3E5093E0" w:rsidR="00E31B93" w:rsidRPr="00EE4D0D" w:rsidRDefault="00E31B93" w:rsidP="00E75CB9">
            <w:pPr>
              <w:rPr>
                <w:b/>
                <w:color w:val="000000" w:themeColor="text1"/>
                <w:sz w:val="24"/>
                <w:szCs w:val="24"/>
              </w:rPr>
            </w:pPr>
            <w:r w:rsidRPr="00EE4D0D">
              <w:rPr>
                <w:b/>
                <w:color w:val="000000" w:themeColor="text1"/>
                <w:sz w:val="24"/>
                <w:szCs w:val="24"/>
              </w:rPr>
              <w:t>Delphi Round 2</w:t>
            </w:r>
            <w:r w:rsidR="00E75CB9" w:rsidRPr="00EE4D0D">
              <w:rPr>
                <w:b/>
                <w:color w:val="000000" w:themeColor="text1"/>
                <w:sz w:val="24"/>
                <w:szCs w:val="24"/>
              </w:rPr>
              <w:t xml:space="preserve"> (Including Revised Statements)</w:t>
            </w:r>
          </w:p>
        </w:tc>
      </w:tr>
      <w:tr w:rsidR="00935FD5" w:rsidRPr="00EE4D0D" w14:paraId="327D97DE" w14:textId="77777777" w:rsidTr="0074425F">
        <w:trPr>
          <w:trHeight w:val="809"/>
        </w:trPr>
        <w:tc>
          <w:tcPr>
            <w:tcW w:w="14249" w:type="dxa"/>
            <w:vAlign w:val="center"/>
          </w:tcPr>
          <w:p w14:paraId="140B9023" w14:textId="1693E87C" w:rsidR="00E31B93" w:rsidRPr="00EE4D0D" w:rsidRDefault="00E75CB9" w:rsidP="007442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Which of the following patient characteristics should make you less likely to require the full duration of conservative care?</w:t>
            </w:r>
            <w:r w:rsidR="00746438" w:rsidRPr="00EE4D0D">
              <w:rPr>
                <w:rFonts w:ascii="Times New Roman" w:hAnsi="Times New Roman" w:cs="Times New Roman"/>
                <w:color w:val="000000" w:themeColor="text1"/>
              </w:rPr>
              <w:t xml:space="preserve"> †</w:t>
            </w:r>
          </w:p>
          <w:tbl>
            <w:tblPr>
              <w:tblStyle w:val="TableGrid"/>
              <w:tblW w:w="13593" w:type="dxa"/>
              <w:tblInd w:w="4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07"/>
              <w:gridCol w:w="4410"/>
              <w:gridCol w:w="4776"/>
            </w:tblGrid>
            <w:tr w:rsidR="00935FD5" w:rsidRPr="00EE4D0D" w14:paraId="15329CE5" w14:textId="77777777" w:rsidTr="00C0606F">
              <w:tc>
                <w:tcPr>
                  <w:tcW w:w="4407" w:type="dxa"/>
                </w:tcPr>
                <w:p w14:paraId="641520A5" w14:textId="0160A64E" w:rsidR="00E75CB9" w:rsidRPr="00EE4D0D" w:rsidRDefault="00E75CB9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Successful surgery on the contralateral side</w:t>
                  </w:r>
                </w:p>
              </w:tc>
              <w:tc>
                <w:tcPr>
                  <w:tcW w:w="4410" w:type="dxa"/>
                </w:tcPr>
                <w:p w14:paraId="199237E7" w14:textId="58308C81" w:rsidR="00E75CB9" w:rsidRPr="00EE4D0D" w:rsidRDefault="00E75CB9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Mechanical symptoms of catching</w:t>
                  </w:r>
                </w:p>
              </w:tc>
              <w:tc>
                <w:tcPr>
                  <w:tcW w:w="4776" w:type="dxa"/>
                </w:tcPr>
                <w:p w14:paraId="19776A38" w14:textId="77777777" w:rsidR="00E75CB9" w:rsidRPr="00EE4D0D" w:rsidRDefault="00E75CB9" w:rsidP="0074425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935FD5" w:rsidRPr="00EE4D0D" w14:paraId="2D89DF46" w14:textId="77777777" w:rsidTr="00C0606F">
              <w:tc>
                <w:tcPr>
                  <w:tcW w:w="4407" w:type="dxa"/>
                </w:tcPr>
                <w:p w14:paraId="51B9B9A8" w14:textId="73D89DF4" w:rsidR="00E75CB9" w:rsidRPr="00EE4D0D" w:rsidRDefault="00E75CB9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Mechanical symptoms of locking</w:t>
                  </w:r>
                </w:p>
              </w:tc>
              <w:tc>
                <w:tcPr>
                  <w:tcW w:w="4410" w:type="dxa"/>
                </w:tcPr>
                <w:p w14:paraId="5D145246" w14:textId="598B27C6" w:rsidR="00E75CB9" w:rsidRPr="00EE4D0D" w:rsidRDefault="00E75CB9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Sharp stabbing pain</w:t>
                  </w:r>
                </w:p>
              </w:tc>
              <w:tc>
                <w:tcPr>
                  <w:tcW w:w="4776" w:type="dxa"/>
                </w:tcPr>
                <w:p w14:paraId="6FA52503" w14:textId="77777777" w:rsidR="00E75CB9" w:rsidRPr="00EE4D0D" w:rsidRDefault="00E75CB9" w:rsidP="0074425F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00FAD9AE" w14:textId="77777777" w:rsidR="00E75CB9" w:rsidRPr="00EE4D0D" w:rsidRDefault="00E75CB9" w:rsidP="0074425F">
            <w:pPr>
              <w:ind w:left="1080"/>
              <w:rPr>
                <w:color w:val="000000" w:themeColor="text1"/>
                <w:sz w:val="24"/>
                <w:szCs w:val="24"/>
              </w:rPr>
            </w:pPr>
          </w:p>
        </w:tc>
      </w:tr>
      <w:tr w:rsidR="00935FD5" w:rsidRPr="00EE4D0D" w14:paraId="56ADAD23" w14:textId="77777777" w:rsidTr="0074425F">
        <w:trPr>
          <w:trHeight w:val="332"/>
        </w:trPr>
        <w:tc>
          <w:tcPr>
            <w:tcW w:w="14249" w:type="dxa"/>
            <w:vAlign w:val="center"/>
          </w:tcPr>
          <w:p w14:paraId="1737E735" w14:textId="054E9F53" w:rsidR="00515EC0" w:rsidRPr="00EE4D0D" w:rsidRDefault="00515EC0" w:rsidP="007442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following alpha angle should be considered high enough to encourage surgery before failed time of rehab</w:t>
            </w:r>
            <w:r w:rsidR="00746438" w:rsidRPr="00EE4D0D">
              <w:rPr>
                <w:rFonts w:ascii="Times New Roman" w:hAnsi="Times New Roman" w:cs="Times New Roman"/>
                <w:color w:val="000000" w:themeColor="text1"/>
              </w:rPr>
              <w:t>†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036954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3449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55°</w:t>
            </w:r>
            <w:r w:rsidR="00C0606F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193449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60°</w:t>
            </w:r>
            <w:r w:rsidR="00C0606F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="00193449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°</w:t>
            </w:r>
          </w:p>
        </w:tc>
      </w:tr>
      <w:tr w:rsidR="00935FD5" w:rsidRPr="00EE4D0D" w14:paraId="64AC4FDF" w14:textId="77777777" w:rsidTr="0074425F">
        <w:trPr>
          <w:trHeight w:val="1169"/>
        </w:trPr>
        <w:tc>
          <w:tcPr>
            <w:tcW w:w="14249" w:type="dxa"/>
            <w:vAlign w:val="center"/>
          </w:tcPr>
          <w:p w14:paraId="3DF806F9" w14:textId="77777777" w:rsidR="00EB5A77" w:rsidRPr="00EE4D0D" w:rsidRDefault="00EB5A77" w:rsidP="007442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following are contraindications to arthroscopic management of FAI:</w:t>
            </w:r>
          </w:p>
          <w:tbl>
            <w:tblPr>
              <w:tblStyle w:val="TableGrid"/>
              <w:tblW w:w="0" w:type="auto"/>
              <w:tblInd w:w="4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08"/>
              <w:gridCol w:w="4409"/>
              <w:gridCol w:w="4410"/>
            </w:tblGrid>
            <w:tr w:rsidR="00935FD5" w:rsidRPr="00EE4D0D" w14:paraId="4D838BC0" w14:textId="77777777" w:rsidTr="00301274">
              <w:trPr>
                <w:trHeight w:val="279"/>
              </w:trPr>
              <w:tc>
                <w:tcPr>
                  <w:tcW w:w="4408" w:type="dxa"/>
                </w:tcPr>
                <w:p w14:paraId="7D388491" w14:textId="078A9A7E" w:rsidR="00EB5A77" w:rsidRPr="00EE4D0D" w:rsidRDefault="00EB5A77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Pain out of proportion with the under</w:t>
                  </w:r>
                  <w:r w:rsidR="0007121A"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ly</w:t>
                  </w: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ing recognized psychosocial issues</w:t>
                  </w:r>
                </w:p>
              </w:tc>
              <w:tc>
                <w:tcPr>
                  <w:tcW w:w="4409" w:type="dxa"/>
                </w:tcPr>
                <w:p w14:paraId="5775CF30" w14:textId="77777777" w:rsidR="00EB5A77" w:rsidRPr="00EE4D0D" w:rsidRDefault="00EB5A77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Lateral C-E angle &lt;20 </w:t>
                  </w:r>
                </w:p>
                <w:p w14:paraId="7C429972" w14:textId="3488406F" w:rsidR="00301274" w:rsidRPr="00EE4D0D" w:rsidRDefault="00301274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Failed arthroscopy with dysplastic features</w:t>
                  </w:r>
                </w:p>
              </w:tc>
              <w:tc>
                <w:tcPr>
                  <w:tcW w:w="4410" w:type="dxa"/>
                </w:tcPr>
                <w:p w14:paraId="39425158" w14:textId="77777777" w:rsidR="00301274" w:rsidRPr="00EE4D0D" w:rsidRDefault="0065635C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Joint space &lt;2mm anyw</w:t>
                  </w:r>
                  <w:r w:rsidR="00301274"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here along the </w:t>
                  </w:r>
                  <w:proofErr w:type="spellStart"/>
                  <w:r w:rsidR="00301274"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sourcil</w:t>
                  </w:r>
                  <w:proofErr w:type="spellEnd"/>
                </w:p>
                <w:p w14:paraId="2205A479" w14:textId="4C6D17F7" w:rsidR="00A06B2E" w:rsidRPr="00EE4D0D" w:rsidRDefault="00A06B2E" w:rsidP="00A06B2E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Patient &lt;15 years of age or skeletally immature</w:t>
                  </w:r>
                </w:p>
              </w:tc>
            </w:tr>
            <w:tr w:rsidR="00935FD5" w:rsidRPr="00EE4D0D" w14:paraId="712A5A51" w14:textId="77777777" w:rsidTr="00C0606F">
              <w:tc>
                <w:tcPr>
                  <w:tcW w:w="4408" w:type="dxa"/>
                </w:tcPr>
                <w:p w14:paraId="4A951DC4" w14:textId="72D19953" w:rsidR="00EB5A77" w:rsidRPr="00EE4D0D" w:rsidRDefault="00EB5A77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Pain that does </w:t>
                  </w:r>
                  <w:r w:rsidR="00105F2B"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not</w:t>
                  </w: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localize well to the hip on exam</w:t>
                  </w:r>
                </w:p>
              </w:tc>
              <w:tc>
                <w:tcPr>
                  <w:tcW w:w="4409" w:type="dxa"/>
                </w:tcPr>
                <w:p w14:paraId="55A3B9F3" w14:textId="726AEE50" w:rsidR="00EB5A77" w:rsidRPr="00EE4D0D" w:rsidRDefault="00301274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Hypermobility with dysplastic features</w:t>
                  </w:r>
                </w:p>
              </w:tc>
              <w:tc>
                <w:tcPr>
                  <w:tcW w:w="4410" w:type="dxa"/>
                </w:tcPr>
                <w:p w14:paraId="05217FA4" w14:textId="6AE6B8C0" w:rsidR="00EB5A77" w:rsidRPr="00EE4D0D" w:rsidRDefault="00301274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proofErr w:type="spellStart"/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Outerbridge</w:t>
                  </w:r>
                  <w:proofErr w:type="spellEnd"/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grade III or IV</w:t>
                  </w:r>
                </w:p>
              </w:tc>
            </w:tr>
            <w:tr w:rsidR="00935FD5" w:rsidRPr="00EE4D0D" w14:paraId="3D6FE62E" w14:textId="77777777" w:rsidTr="00C0606F">
              <w:tc>
                <w:tcPr>
                  <w:tcW w:w="4408" w:type="dxa"/>
                </w:tcPr>
                <w:p w14:paraId="00D7C7EC" w14:textId="137841CC" w:rsidR="00EB5A77" w:rsidRPr="00EE4D0D" w:rsidRDefault="00EB5A77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Inclination </w:t>
                  </w:r>
                  <w:proofErr w:type="spellStart"/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Tonnis</w:t>
                  </w:r>
                  <w:proofErr w:type="spellEnd"/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angle &gt;13-15 degrees</w:t>
                  </w:r>
                </w:p>
              </w:tc>
              <w:tc>
                <w:tcPr>
                  <w:tcW w:w="4409" w:type="dxa"/>
                </w:tcPr>
                <w:p w14:paraId="711D4AD3" w14:textId="0F3B5650" w:rsidR="00EB5A77" w:rsidRPr="00EE4D0D" w:rsidRDefault="00EB5A77" w:rsidP="0074425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10" w:type="dxa"/>
                </w:tcPr>
                <w:p w14:paraId="0BCC734C" w14:textId="199E59C6" w:rsidR="00EB5A77" w:rsidRPr="00EE4D0D" w:rsidRDefault="00EB5A77" w:rsidP="0074425F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4D1CCB33" w14:textId="6C21101F" w:rsidR="00EB5A77" w:rsidRPr="00EE4D0D" w:rsidRDefault="00EB5A77" w:rsidP="0074425F">
            <w:pPr>
              <w:ind w:left="1080"/>
              <w:rPr>
                <w:color w:val="000000" w:themeColor="text1"/>
                <w:sz w:val="24"/>
                <w:szCs w:val="24"/>
              </w:rPr>
            </w:pPr>
          </w:p>
        </w:tc>
      </w:tr>
      <w:tr w:rsidR="00935FD5" w:rsidRPr="00EE4D0D" w14:paraId="082CDAAC" w14:textId="77777777" w:rsidTr="0074425F">
        <w:trPr>
          <w:trHeight w:val="548"/>
        </w:trPr>
        <w:tc>
          <w:tcPr>
            <w:tcW w:w="14249" w:type="dxa"/>
            <w:vAlign w:val="center"/>
          </w:tcPr>
          <w:p w14:paraId="4B4744F2" w14:textId="5285BF43" w:rsidR="00EB5A77" w:rsidRPr="00EE4D0D" w:rsidRDefault="00EB5A77" w:rsidP="007442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 MRI should be obtained</w:t>
            </w:r>
            <w:r w:rsidR="00746438" w:rsidRPr="00EE4D0D">
              <w:rPr>
                <w:rFonts w:ascii="Times New Roman" w:hAnsi="Times New Roman" w:cs="Times New Roman"/>
                <w:color w:val="000000" w:themeColor="text1"/>
              </w:rPr>
              <w:t>†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725453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01274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hen a patient presents with first time hip pain consistent with a labral tear</w:t>
            </w:r>
            <w:r w:rsidR="00C14919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5453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 </w:t>
            </w:r>
            <w:r w:rsidR="00301274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the setting of a previous hip scope with intra-articular pain</w:t>
            </w:r>
            <w:r w:rsidR="00333060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25453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301274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rthrogram should be obtained in the revision setting</w:t>
            </w:r>
          </w:p>
        </w:tc>
      </w:tr>
      <w:tr w:rsidR="00935FD5" w:rsidRPr="00EE4D0D" w14:paraId="7DB1CFD1" w14:textId="77777777" w:rsidTr="0074425F">
        <w:trPr>
          <w:trHeight w:val="1025"/>
        </w:trPr>
        <w:tc>
          <w:tcPr>
            <w:tcW w:w="14249" w:type="dxa"/>
            <w:vAlign w:val="center"/>
          </w:tcPr>
          <w:p w14:paraId="5DA39EDD" w14:textId="4EF58BA8" w:rsidR="00E31B93" w:rsidRPr="00EE4D0D" w:rsidRDefault="00515EC0" w:rsidP="007442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following are </w:t>
            </w:r>
            <w:r w:rsidR="00EB5A77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indications for concomitant or simultaneous procedures in patients with bilateral FAI (as opposed to a staged </w:t>
            </w:r>
            <w:proofErr w:type="gramStart"/>
            <w:r w:rsidR="00C67371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approach</w:t>
            </w:r>
            <w:r w:rsidR="00EB5A77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746438" w:rsidRPr="00EE4D0D">
              <w:rPr>
                <w:rFonts w:ascii="Times New Roman" w:hAnsi="Times New Roman" w:cs="Times New Roman"/>
                <w:color w:val="000000" w:themeColor="text1"/>
              </w:rPr>
              <w:t>†</w:t>
            </w:r>
            <w:proofErr w:type="gramEnd"/>
            <w:r w:rsidR="00EB5A77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tbl>
            <w:tblPr>
              <w:tblStyle w:val="TableGrid"/>
              <w:tblW w:w="13592" w:type="dxa"/>
              <w:tblInd w:w="4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07"/>
              <w:gridCol w:w="4410"/>
              <w:gridCol w:w="4775"/>
            </w:tblGrid>
            <w:tr w:rsidR="00935FD5" w:rsidRPr="00EE4D0D" w14:paraId="4C63F195" w14:textId="77777777" w:rsidTr="00B549DB">
              <w:trPr>
                <w:trHeight w:val="387"/>
              </w:trPr>
              <w:tc>
                <w:tcPr>
                  <w:tcW w:w="4407" w:type="dxa"/>
                </w:tcPr>
                <w:p w14:paraId="4C3F169E" w14:textId="7D04FB1B" w:rsidR="00EB5A77" w:rsidRPr="00EE4D0D" w:rsidRDefault="00EB5A77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Any patient with a need to return to work or activity that limits available time for rehab</w:t>
                  </w:r>
                </w:p>
              </w:tc>
              <w:tc>
                <w:tcPr>
                  <w:tcW w:w="4410" w:type="dxa"/>
                </w:tcPr>
                <w:p w14:paraId="2B538B88" w14:textId="707B7B52" w:rsidR="00105F2B" w:rsidRPr="00EE4D0D" w:rsidRDefault="00EB5A77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Absence of any upper extremity problems</w:t>
                  </w:r>
                </w:p>
                <w:p w14:paraId="4C36F8FE" w14:textId="19F32121" w:rsidR="00EB5A77" w:rsidRPr="00EE4D0D" w:rsidRDefault="00B549DB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Lack of significant bilateral symptoms</w:t>
                  </w:r>
                </w:p>
              </w:tc>
              <w:tc>
                <w:tcPr>
                  <w:tcW w:w="4775" w:type="dxa"/>
                </w:tcPr>
                <w:p w14:paraId="3F1CBBF8" w14:textId="446358D0" w:rsidR="00EB5A77" w:rsidRPr="00EE4D0D" w:rsidRDefault="00B549DB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Professional or scholarship level athlete with time restrictions for recovery</w:t>
                  </w:r>
                </w:p>
              </w:tc>
            </w:tr>
            <w:tr w:rsidR="00935FD5" w:rsidRPr="00EE4D0D" w14:paraId="7ABCA82C" w14:textId="77777777" w:rsidTr="00B549DB">
              <w:trPr>
                <w:trHeight w:val="189"/>
              </w:trPr>
              <w:tc>
                <w:tcPr>
                  <w:tcW w:w="4407" w:type="dxa"/>
                </w:tcPr>
                <w:p w14:paraId="3137CED3" w14:textId="6ED5ED71" w:rsidR="00B549DB" w:rsidRPr="00EE4D0D" w:rsidRDefault="00B549DB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Young patient (&lt;30 years)</w:t>
                  </w:r>
                </w:p>
              </w:tc>
              <w:tc>
                <w:tcPr>
                  <w:tcW w:w="4410" w:type="dxa"/>
                </w:tcPr>
                <w:p w14:paraId="45064B7F" w14:textId="776B226E" w:rsidR="00B549DB" w:rsidRPr="00EE4D0D" w:rsidRDefault="00B549DB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Significant bilateral symptoms</w:t>
                  </w:r>
                </w:p>
              </w:tc>
              <w:tc>
                <w:tcPr>
                  <w:tcW w:w="4775" w:type="dxa"/>
                </w:tcPr>
                <w:p w14:paraId="1D8B0E9F" w14:textId="4B213A0C" w:rsidR="00B549DB" w:rsidRPr="00EE4D0D" w:rsidRDefault="00B549DB" w:rsidP="0074425F">
                  <w:pPr>
                    <w:ind w:left="-46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5FD807D8" w14:textId="5F5C1920" w:rsidR="00515EC0" w:rsidRPr="00EE4D0D" w:rsidRDefault="00515EC0" w:rsidP="0074425F">
            <w:pPr>
              <w:ind w:left="1080"/>
              <w:rPr>
                <w:color w:val="000000" w:themeColor="text1"/>
                <w:sz w:val="24"/>
                <w:szCs w:val="24"/>
              </w:rPr>
            </w:pPr>
          </w:p>
        </w:tc>
      </w:tr>
      <w:tr w:rsidR="00935FD5" w:rsidRPr="00EE4D0D" w14:paraId="7E9C73B4" w14:textId="77777777" w:rsidTr="0074425F">
        <w:trPr>
          <w:trHeight w:val="359"/>
        </w:trPr>
        <w:tc>
          <w:tcPr>
            <w:tcW w:w="14249" w:type="dxa"/>
            <w:vAlign w:val="center"/>
          </w:tcPr>
          <w:p w14:paraId="0023F5E1" w14:textId="28FF8AAF" w:rsidR="00EB5A77" w:rsidRPr="00EE4D0D" w:rsidRDefault="00EB5A77" w:rsidP="007442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When performing a staged procedure, the following should be the minimum standard duration between procedures</w:t>
            </w:r>
            <w:r w:rsidR="00746438" w:rsidRPr="00EE4D0D">
              <w:rPr>
                <w:rFonts w:ascii="Times New Roman" w:hAnsi="Times New Roman" w:cs="Times New Roman"/>
                <w:color w:val="000000" w:themeColor="text1"/>
              </w:rPr>
              <w:t>†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:4 weeks</w:t>
            </w:r>
            <w:r w:rsidR="00193449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105F2B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weeks</w:t>
            </w:r>
            <w:r w:rsidR="00193449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105F2B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weeks</w:t>
            </w:r>
          </w:p>
        </w:tc>
      </w:tr>
      <w:tr w:rsidR="00935FD5" w:rsidRPr="00EE4D0D" w14:paraId="7E232966" w14:textId="77777777" w:rsidTr="0074425F">
        <w:trPr>
          <w:trHeight w:val="350"/>
        </w:trPr>
        <w:tc>
          <w:tcPr>
            <w:tcW w:w="14249" w:type="dxa"/>
            <w:vAlign w:val="center"/>
          </w:tcPr>
          <w:p w14:paraId="76679099" w14:textId="1FC31DE8" w:rsidR="00EB5A77" w:rsidRPr="00EE4D0D" w:rsidRDefault="00EB5A77" w:rsidP="007442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 patients with combined pathology, which of the following is most important to address</w:t>
            </w:r>
            <w:r w:rsidR="003668FE" w:rsidRPr="00EE4D0D">
              <w:rPr>
                <w:rFonts w:ascii="Times New Roman" w:hAnsi="Times New Roman" w:cs="Times New Roman"/>
                <w:color w:val="000000" w:themeColor="text1"/>
              </w:rPr>
              <w:t>†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036954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Femoral pathology</w:t>
            </w:r>
            <w:r w:rsidR="009011F0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Acetabular pathology</w:t>
            </w:r>
            <w:r w:rsidR="009011F0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Both</w:t>
            </w:r>
          </w:p>
        </w:tc>
      </w:tr>
      <w:tr w:rsidR="00935FD5" w:rsidRPr="00EE4D0D" w14:paraId="3F46D260" w14:textId="77777777" w:rsidTr="00E258DD">
        <w:trPr>
          <w:trHeight w:val="404"/>
        </w:trPr>
        <w:tc>
          <w:tcPr>
            <w:tcW w:w="14249" w:type="dxa"/>
            <w:vAlign w:val="center"/>
          </w:tcPr>
          <w:p w14:paraId="25F83CF2" w14:textId="0C77D39B" w:rsidR="00EB5A77" w:rsidRPr="00EE4D0D" w:rsidRDefault="00B930D5" w:rsidP="007442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D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Although postop rehabilitation protocols should be customized to the patient’s needs, 3 months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should be the standard minimum duration</w:t>
            </w:r>
          </w:p>
        </w:tc>
      </w:tr>
      <w:tr w:rsidR="00935FD5" w:rsidRPr="00EE4D0D" w14:paraId="25438486" w14:textId="77777777" w:rsidTr="0074425F">
        <w:trPr>
          <w:trHeight w:val="314"/>
        </w:trPr>
        <w:tc>
          <w:tcPr>
            <w:tcW w:w="14249" w:type="dxa"/>
            <w:vAlign w:val="center"/>
          </w:tcPr>
          <w:p w14:paraId="1B018B23" w14:textId="31341350" w:rsidR="00EB5A77" w:rsidRPr="00EE4D0D" w:rsidRDefault="007E10D9" w:rsidP="007442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Preoperative rehabilitation protocols should include the following 4 phases, or a variation thereof: (1) maximum protection and mobility, controlled stability, strengthening, </w:t>
            </w:r>
            <w:r w:rsidR="00252DCA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and 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return to sport</w:t>
            </w:r>
            <w:r w:rsidR="00252DCA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35FD5" w:rsidRPr="00EE4D0D" w14:paraId="6DDF5123" w14:textId="77777777" w:rsidTr="0074425F">
        <w:trPr>
          <w:trHeight w:val="314"/>
        </w:trPr>
        <w:tc>
          <w:tcPr>
            <w:tcW w:w="14249" w:type="dxa"/>
            <w:vAlign w:val="center"/>
          </w:tcPr>
          <w:p w14:paraId="2A3FD51C" w14:textId="0EAF3465" w:rsidR="00EB5A77" w:rsidRPr="00EE4D0D" w:rsidRDefault="007E10D9" w:rsidP="007442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preoperative physical therapy session (prehab) should be recommended when the patient will be prescribed postop rehabilitation</w:t>
            </w:r>
          </w:p>
        </w:tc>
      </w:tr>
      <w:tr w:rsidR="00935FD5" w:rsidRPr="00EE4D0D" w14:paraId="33A77C0E" w14:textId="77777777" w:rsidTr="0074425F">
        <w:trPr>
          <w:trHeight w:val="314"/>
        </w:trPr>
        <w:tc>
          <w:tcPr>
            <w:tcW w:w="14249" w:type="dxa"/>
            <w:vAlign w:val="center"/>
          </w:tcPr>
          <w:p w14:paraId="2B388DDF" w14:textId="2F282D90" w:rsidR="002A47EB" w:rsidRPr="00EE4D0D" w:rsidRDefault="007E10D9" w:rsidP="007442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patients with </w:t>
            </w:r>
            <w:r w:rsidRPr="00EE4D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laxity or Ehlers-Danlos syndrome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postoperative bracing should be completed </w:t>
            </w:r>
            <w:r w:rsidR="002A47EB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 a minimum duration of:</w:t>
            </w:r>
            <w:r w:rsidR="00036954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3449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weeks/</w:t>
            </w:r>
            <w:r w:rsidR="002A47EB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weeks</w:t>
            </w:r>
            <w:r w:rsidR="00DC67DA" w:rsidRPr="00EE4D0D">
              <w:rPr>
                <w:rFonts w:ascii="Times New Roman" w:hAnsi="Times New Roman" w:cs="Times New Roman"/>
                <w:color w:val="000000" w:themeColor="text1"/>
              </w:rPr>
              <w:t>†</w:t>
            </w:r>
          </w:p>
        </w:tc>
      </w:tr>
      <w:tr w:rsidR="00935FD5" w:rsidRPr="00EE4D0D" w14:paraId="0E58902C" w14:textId="77777777" w:rsidTr="0074425F">
        <w:trPr>
          <w:trHeight w:val="989"/>
        </w:trPr>
        <w:tc>
          <w:tcPr>
            <w:tcW w:w="14249" w:type="dxa"/>
            <w:vAlign w:val="center"/>
          </w:tcPr>
          <w:p w14:paraId="55B0324C" w14:textId="4F423576" w:rsidR="002A47EB" w:rsidRPr="00EE4D0D" w:rsidRDefault="002A47EB" w:rsidP="007442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When you prescribe postoperative bracing, the following should be recommended</w:t>
            </w:r>
            <w:r w:rsidR="00180CA3" w:rsidRPr="00EE4D0D">
              <w:rPr>
                <w:rFonts w:ascii="Times New Roman" w:hAnsi="Times New Roman" w:cs="Times New Roman"/>
                <w:color w:val="000000" w:themeColor="text1"/>
              </w:rPr>
              <w:t>†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tbl>
            <w:tblPr>
              <w:tblStyle w:val="TableGrid"/>
              <w:tblW w:w="0" w:type="auto"/>
              <w:tblInd w:w="4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08"/>
              <w:gridCol w:w="4682"/>
              <w:gridCol w:w="4500"/>
            </w:tblGrid>
            <w:tr w:rsidR="00935FD5" w:rsidRPr="00EE4D0D" w14:paraId="14867DE2" w14:textId="77777777" w:rsidTr="00C0606F">
              <w:tc>
                <w:tcPr>
                  <w:tcW w:w="4408" w:type="dxa"/>
                </w:tcPr>
                <w:p w14:paraId="0F2C21D4" w14:textId="6EF85669" w:rsidR="00252DCA" w:rsidRPr="00EE4D0D" w:rsidRDefault="00252DCA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Abduction brace set a 10 abduction with flexion extension 0-90</w:t>
                  </w:r>
                </w:p>
              </w:tc>
              <w:tc>
                <w:tcPr>
                  <w:tcW w:w="4682" w:type="dxa"/>
                </w:tcPr>
                <w:p w14:paraId="2B1A6F46" w14:textId="4B1A41BD" w:rsidR="00252DCA" w:rsidRPr="00EE4D0D" w:rsidRDefault="00252DCA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Bracing should be removed during rehabilitation activities</w:t>
                  </w:r>
                </w:p>
              </w:tc>
              <w:tc>
                <w:tcPr>
                  <w:tcW w:w="4500" w:type="dxa"/>
                </w:tcPr>
                <w:p w14:paraId="3D1F7C39" w14:textId="77777777" w:rsidR="00252DCA" w:rsidRPr="00EE4D0D" w:rsidRDefault="00252DCA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Bracing should be removed during driving</w:t>
                  </w:r>
                </w:p>
                <w:p w14:paraId="302B9F2E" w14:textId="7BED6D78" w:rsidR="00036954" w:rsidRPr="00EE4D0D" w:rsidRDefault="00036954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Bracing should be removed during showering</w:t>
                  </w:r>
                </w:p>
              </w:tc>
            </w:tr>
            <w:tr w:rsidR="00935FD5" w:rsidRPr="00EE4D0D" w14:paraId="6B9A94BA" w14:textId="77777777" w:rsidTr="00FB1926">
              <w:trPr>
                <w:trHeight w:val="198"/>
              </w:trPr>
              <w:tc>
                <w:tcPr>
                  <w:tcW w:w="4408" w:type="dxa"/>
                </w:tcPr>
                <w:p w14:paraId="0697F63C" w14:textId="4817E85D" w:rsidR="00036954" w:rsidRPr="00EE4D0D" w:rsidRDefault="00036954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No abduction, 0-90 flexion</w:t>
                  </w:r>
                </w:p>
              </w:tc>
              <w:tc>
                <w:tcPr>
                  <w:tcW w:w="4682" w:type="dxa"/>
                </w:tcPr>
                <w:p w14:paraId="0ECE18F1" w14:textId="5918A0B6" w:rsidR="00036954" w:rsidRPr="00EE4D0D" w:rsidRDefault="00036954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Abduction pillow during sleep</w:t>
                  </w:r>
                </w:p>
              </w:tc>
              <w:tc>
                <w:tcPr>
                  <w:tcW w:w="4500" w:type="dxa"/>
                </w:tcPr>
                <w:p w14:paraId="139F916C" w14:textId="1207C05C" w:rsidR="00036954" w:rsidRPr="00EE4D0D" w:rsidRDefault="00036954" w:rsidP="0074425F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ind w:left="134" w:hanging="180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EE4D0D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Bracing should be removed during sleep</w:t>
                  </w:r>
                </w:p>
              </w:tc>
            </w:tr>
          </w:tbl>
          <w:p w14:paraId="46322F97" w14:textId="2F44BCB3" w:rsidR="00252DCA" w:rsidRPr="00EE4D0D" w:rsidRDefault="00252DCA" w:rsidP="0074425F">
            <w:pPr>
              <w:ind w:left="1080"/>
              <w:rPr>
                <w:color w:val="000000" w:themeColor="text1"/>
                <w:sz w:val="24"/>
                <w:szCs w:val="24"/>
              </w:rPr>
            </w:pPr>
          </w:p>
        </w:tc>
      </w:tr>
      <w:tr w:rsidR="00935FD5" w:rsidRPr="00EE4D0D" w14:paraId="577ADA6C" w14:textId="77777777" w:rsidTr="0074425F">
        <w:trPr>
          <w:trHeight w:val="314"/>
        </w:trPr>
        <w:tc>
          <w:tcPr>
            <w:tcW w:w="14249" w:type="dxa"/>
            <w:vAlign w:val="center"/>
          </w:tcPr>
          <w:p w14:paraId="7B8FD211" w14:textId="523399EF" w:rsidR="002A47EB" w:rsidRPr="00EE4D0D" w:rsidRDefault="002A47EB" w:rsidP="007442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Patient</w:t>
            </w:r>
            <w:r w:rsidR="00B549DB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should not be</w:t>
            </w:r>
            <w:r w:rsidRPr="00EE4D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non-weight bearing at any time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postoperatively</w:t>
            </w:r>
            <w:r w:rsidR="00822524" w:rsidRPr="00EE4D0D">
              <w:rPr>
                <w:rFonts w:ascii="Times New Roman" w:hAnsi="Times New Roman" w:cs="Times New Roman"/>
                <w:color w:val="000000" w:themeColor="text1"/>
              </w:rPr>
              <w:t>†</w:t>
            </w:r>
          </w:p>
        </w:tc>
      </w:tr>
      <w:tr w:rsidR="00935FD5" w:rsidRPr="00EE4D0D" w14:paraId="4FC8B200" w14:textId="77777777" w:rsidTr="0074425F">
        <w:trPr>
          <w:trHeight w:val="314"/>
        </w:trPr>
        <w:tc>
          <w:tcPr>
            <w:tcW w:w="14249" w:type="dxa"/>
            <w:vAlign w:val="center"/>
          </w:tcPr>
          <w:p w14:paraId="1F1A5201" w14:textId="20A53FBE" w:rsidR="002A47EB" w:rsidRPr="00EE4D0D" w:rsidRDefault="002A47EB" w:rsidP="007442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Foot-flat weight-bearing should occur at </w:t>
            </w:r>
            <w:r w:rsidRPr="00EE4D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0-1 weeks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postoperatively</w:t>
            </w:r>
            <w:r w:rsidR="00822524" w:rsidRPr="00EE4D0D">
              <w:rPr>
                <w:rFonts w:ascii="Times New Roman" w:hAnsi="Times New Roman" w:cs="Times New Roman"/>
                <w:color w:val="000000" w:themeColor="text1"/>
              </w:rPr>
              <w:t>†</w:t>
            </w:r>
          </w:p>
        </w:tc>
      </w:tr>
      <w:tr w:rsidR="00935FD5" w:rsidRPr="00EE4D0D" w14:paraId="75B81904" w14:textId="77777777" w:rsidTr="0074425F">
        <w:trPr>
          <w:trHeight w:val="314"/>
        </w:trPr>
        <w:tc>
          <w:tcPr>
            <w:tcW w:w="14249" w:type="dxa"/>
            <w:vAlign w:val="center"/>
          </w:tcPr>
          <w:p w14:paraId="61618855" w14:textId="7E8B0E4C" w:rsidR="002A47EB" w:rsidRPr="00EE4D0D" w:rsidRDefault="002A47EB" w:rsidP="007442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Full weight bearing should occur at </w:t>
            </w:r>
            <w:r w:rsidRPr="00EE4D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2-3 weeks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postoperatively</w:t>
            </w:r>
            <w:r w:rsidR="00822524" w:rsidRPr="00EE4D0D">
              <w:rPr>
                <w:rFonts w:ascii="Times New Roman" w:hAnsi="Times New Roman" w:cs="Times New Roman"/>
                <w:color w:val="000000" w:themeColor="text1"/>
              </w:rPr>
              <w:t>†</w:t>
            </w:r>
          </w:p>
        </w:tc>
      </w:tr>
      <w:tr w:rsidR="00935FD5" w:rsidRPr="00EE4D0D" w14:paraId="702C930A" w14:textId="77777777" w:rsidTr="0074425F">
        <w:trPr>
          <w:trHeight w:val="314"/>
        </w:trPr>
        <w:tc>
          <w:tcPr>
            <w:tcW w:w="14249" w:type="dxa"/>
            <w:vAlign w:val="center"/>
          </w:tcPr>
          <w:p w14:paraId="32A49D20" w14:textId="43137A37" w:rsidR="002A47EB" w:rsidRPr="00EE4D0D" w:rsidRDefault="002A47EB" w:rsidP="007442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CPM machine should be </w:t>
            </w:r>
            <w:r w:rsidRPr="00EE4D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considered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patients with revisions with adhesions</w:t>
            </w:r>
            <w:r w:rsidR="001739CE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935FD5" w:rsidRPr="00EE4D0D" w14:paraId="5F111C50" w14:textId="77777777" w:rsidTr="0074425F">
        <w:trPr>
          <w:trHeight w:val="278"/>
        </w:trPr>
        <w:tc>
          <w:tcPr>
            <w:tcW w:w="14249" w:type="dxa"/>
            <w:vAlign w:val="center"/>
          </w:tcPr>
          <w:p w14:paraId="5CCDD27E" w14:textId="26CA15E0" w:rsidR="002A47EB" w:rsidRPr="00EE4D0D" w:rsidRDefault="002A47EB" w:rsidP="007442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months should </w:t>
            </w:r>
            <w:r w:rsidRPr="00EE4D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generally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be the minimum standard duration for return to full</w:t>
            </w:r>
            <w:r w:rsidR="001739CE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activity or competitive sports*</w:t>
            </w:r>
          </w:p>
        </w:tc>
      </w:tr>
      <w:tr w:rsidR="00935FD5" w:rsidRPr="00EE4D0D" w14:paraId="43AF7867" w14:textId="77777777" w:rsidTr="0074425F">
        <w:trPr>
          <w:trHeight w:val="233"/>
        </w:trPr>
        <w:tc>
          <w:tcPr>
            <w:tcW w:w="14249" w:type="dxa"/>
            <w:vAlign w:val="center"/>
          </w:tcPr>
          <w:p w14:paraId="36C877FA" w14:textId="3BA711CF" w:rsidR="00B90EFF" w:rsidRPr="00EE4D0D" w:rsidRDefault="00E86408" w:rsidP="007442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What are your indications for labral reconstruction (use of a graft), if any, rather than a labral repair (repair of torn tissue)?</w:t>
            </w:r>
          </w:p>
        </w:tc>
      </w:tr>
    </w:tbl>
    <w:p w14:paraId="5D4B604F" w14:textId="136318DB" w:rsidR="001D785C" w:rsidRDefault="001D785C" w:rsidP="00E31B93">
      <w:pPr>
        <w:ind w:left="-630"/>
        <w:rPr>
          <w:b/>
          <w:color w:val="000000" w:themeColor="text1"/>
        </w:rPr>
      </w:pPr>
      <w:r w:rsidRPr="00EE4D0D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5BB543" wp14:editId="02EB8BBF">
                <wp:simplePos x="0" y="0"/>
                <wp:positionH relativeFrom="column">
                  <wp:posOffset>-448896</wp:posOffset>
                </wp:positionH>
                <wp:positionV relativeFrom="paragraph">
                  <wp:posOffset>40640</wp:posOffset>
                </wp:positionV>
                <wp:extent cx="3659505" cy="444556"/>
                <wp:effectExtent l="0" t="0" r="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9505" cy="444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C9F59" w14:textId="6AC2AE0F" w:rsidR="001031C0" w:rsidRPr="00036954" w:rsidRDefault="001031C0" w:rsidP="00005113">
                            <w:pPr>
                              <w:spacing w:line="200" w:lineRule="exac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036954">
                              <w:rPr>
                                <w:color w:val="000000" w:themeColor="text1"/>
                                <w:sz w:val="22"/>
                              </w:rPr>
                              <w:t>† New Additions</w:t>
                            </w:r>
                          </w:p>
                          <w:p w14:paraId="6D89E7DB" w14:textId="77777777" w:rsidR="001031C0" w:rsidRPr="00036954" w:rsidRDefault="001031C0" w:rsidP="00005113">
                            <w:pPr>
                              <w:spacing w:line="200" w:lineRule="exac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036954">
                              <w:rPr>
                                <w:color w:val="000000" w:themeColor="text1"/>
                                <w:sz w:val="22"/>
                              </w:rPr>
                              <w:t xml:space="preserve">* </w:t>
                            </w:r>
                            <w:r w:rsidRPr="00036954">
                              <w:rPr>
                                <w:i/>
                                <w:color w:val="000000" w:themeColor="text1"/>
                                <w:sz w:val="22"/>
                              </w:rPr>
                              <w:t>Revisions</w:t>
                            </w:r>
                            <w:r w:rsidRPr="00036954">
                              <w:rPr>
                                <w:color w:val="000000" w:themeColor="text1"/>
                                <w:sz w:val="22"/>
                              </w:rPr>
                              <w:t xml:space="preserve"> are shown in italics</w:t>
                            </w:r>
                          </w:p>
                          <w:p w14:paraId="3D4EA7D2" w14:textId="0AE9B836" w:rsidR="001031C0" w:rsidRPr="00B2474B" w:rsidRDefault="001031C0" w:rsidP="00005113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D89030D" w14:textId="77777777" w:rsidR="001031C0" w:rsidRPr="00B2474B" w:rsidRDefault="001031C0" w:rsidP="000051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525BB543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5.35pt;margin-top:3.2pt;width:288.15pt;height: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" filled="f" stroked="f">
                <v:textbox>
                  <w:txbxContent>
                    <w:p w14:paraId="434C9F59" w14:textId="6AC2AE0F" w:rsidR="001031C0" w:rsidRPr="00036954" w:rsidRDefault="001031C0" w:rsidP="00005113">
                      <w:pPr>
                        <w:spacing w:line="200" w:lineRule="exact"/>
                        <w:rPr>
                          <w:color w:val="000000" w:themeColor="text1"/>
                          <w:sz w:val="22"/>
                        </w:rPr>
                      </w:pPr>
                      <w:r w:rsidRPr="00036954">
                        <w:rPr>
                          <w:color w:val="000000" w:themeColor="text1"/>
                          <w:sz w:val="22"/>
                        </w:rPr>
                        <w:t>† New Additions</w:t>
                      </w:r>
                    </w:p>
                    <w:p w14:paraId="6D89E7DB" w14:textId="77777777" w:rsidR="001031C0" w:rsidRPr="00036954" w:rsidRDefault="001031C0" w:rsidP="00005113">
                      <w:pPr>
                        <w:spacing w:line="200" w:lineRule="exact"/>
                        <w:rPr>
                          <w:color w:val="000000" w:themeColor="text1"/>
                          <w:sz w:val="22"/>
                        </w:rPr>
                      </w:pPr>
                      <w:r w:rsidRPr="00036954">
                        <w:rPr>
                          <w:color w:val="000000" w:themeColor="text1"/>
                          <w:sz w:val="22"/>
                        </w:rPr>
                        <w:t xml:space="preserve">* </w:t>
                      </w:r>
                      <w:r w:rsidRPr="00036954">
                        <w:rPr>
                          <w:i/>
                          <w:color w:val="000000" w:themeColor="text1"/>
                          <w:sz w:val="22"/>
                        </w:rPr>
                        <w:t>Revisions</w:t>
                      </w:r>
                      <w:r w:rsidRPr="00036954">
                        <w:rPr>
                          <w:color w:val="000000" w:themeColor="text1"/>
                          <w:sz w:val="22"/>
                        </w:rPr>
                        <w:t xml:space="preserve"> are shown in italics</w:t>
                      </w:r>
                    </w:p>
                    <w:p w14:paraId="3D4EA7D2" w14:textId="0AE9B836" w:rsidR="001031C0" w:rsidRPr="00B2474B" w:rsidRDefault="001031C0" w:rsidP="00005113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</w:p>
                    <w:p w14:paraId="0D89030D" w14:textId="77777777" w:rsidR="001031C0" w:rsidRPr="00B2474B" w:rsidRDefault="001031C0" w:rsidP="0000511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BAAE23" w14:textId="57CAB69A" w:rsidR="001D785C" w:rsidRDefault="001D785C" w:rsidP="00E31B93">
      <w:pPr>
        <w:ind w:left="-630"/>
        <w:rPr>
          <w:b/>
          <w:color w:val="000000" w:themeColor="text1"/>
        </w:rPr>
      </w:pPr>
    </w:p>
    <w:p w14:paraId="41949DE8" w14:textId="11C714CB" w:rsidR="00E31B93" w:rsidRPr="00EE4D0D" w:rsidRDefault="005650AF" w:rsidP="001D785C">
      <w:pPr>
        <w:spacing w:after="120"/>
        <w:ind w:left="-634"/>
        <w:rPr>
          <w:color w:val="000000" w:themeColor="text1"/>
        </w:rPr>
      </w:pPr>
      <w:r>
        <w:rPr>
          <w:b/>
          <w:color w:val="000000" w:themeColor="text1"/>
        </w:rPr>
        <w:lastRenderedPageBreak/>
        <w:t>Table 5</w:t>
      </w:r>
      <w:r w:rsidR="00E31B93" w:rsidRPr="00EE4D0D">
        <w:rPr>
          <w:b/>
          <w:color w:val="000000" w:themeColor="text1"/>
        </w:rPr>
        <w:t xml:space="preserve">. </w:t>
      </w:r>
      <w:r w:rsidR="001031C0">
        <w:rPr>
          <w:color w:val="000000" w:themeColor="text1"/>
        </w:rPr>
        <w:t>Round 3 (</w:t>
      </w:r>
      <w:r w:rsidR="001031C0" w:rsidRPr="00EE4D0D">
        <w:rPr>
          <w:color w:val="000000" w:themeColor="text1"/>
        </w:rPr>
        <w:t>Final Revised Items and New Additions</w:t>
      </w:r>
      <w:r w:rsidR="001031C0">
        <w:rPr>
          <w:color w:val="000000" w:themeColor="text1"/>
        </w:rPr>
        <w:t>)</w:t>
      </w:r>
    </w:p>
    <w:tbl>
      <w:tblPr>
        <w:tblStyle w:val="TableGrid"/>
        <w:tblW w:w="14217" w:type="dxa"/>
        <w:tblInd w:w="-630" w:type="dxa"/>
        <w:tblLook w:val="04A0" w:firstRow="1" w:lastRow="0" w:firstColumn="1" w:lastColumn="0" w:noHBand="0" w:noVBand="1"/>
      </w:tblPr>
      <w:tblGrid>
        <w:gridCol w:w="14217"/>
      </w:tblGrid>
      <w:tr w:rsidR="00935FD5" w:rsidRPr="00EE4D0D" w14:paraId="72C861EA" w14:textId="77777777" w:rsidTr="00B96712">
        <w:trPr>
          <w:trHeight w:val="467"/>
        </w:trPr>
        <w:tc>
          <w:tcPr>
            <w:tcW w:w="14217" w:type="dxa"/>
            <w:shd w:val="clear" w:color="auto" w:fill="BFBFBF" w:themeFill="background1" w:themeFillShade="BF"/>
            <w:vAlign w:val="center"/>
          </w:tcPr>
          <w:p w14:paraId="6694BA9F" w14:textId="7E702478" w:rsidR="00F813A9" w:rsidRPr="00EE4D0D" w:rsidRDefault="007C3EE1" w:rsidP="007C3EE1">
            <w:pPr>
              <w:rPr>
                <w:b/>
                <w:color w:val="000000" w:themeColor="text1"/>
                <w:sz w:val="24"/>
                <w:szCs w:val="24"/>
              </w:rPr>
            </w:pPr>
            <w:r w:rsidRPr="00EE4D0D">
              <w:rPr>
                <w:b/>
                <w:color w:val="000000" w:themeColor="text1"/>
                <w:sz w:val="24"/>
                <w:szCs w:val="24"/>
              </w:rPr>
              <w:t>Live Delphi Meeting</w:t>
            </w:r>
          </w:p>
        </w:tc>
      </w:tr>
      <w:tr w:rsidR="00935FD5" w:rsidRPr="00EE4D0D" w14:paraId="0BE2A0B7" w14:textId="77777777" w:rsidTr="00636C71">
        <w:trPr>
          <w:trHeight w:val="404"/>
        </w:trPr>
        <w:tc>
          <w:tcPr>
            <w:tcW w:w="14217" w:type="dxa"/>
            <w:vAlign w:val="center"/>
          </w:tcPr>
          <w:p w14:paraId="0C614D64" w14:textId="192C512E" w:rsidR="00F813A9" w:rsidRPr="00EE4D0D" w:rsidRDefault="00A06B2E" w:rsidP="00636C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D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Hypermobility (</w:t>
            </w:r>
            <w:proofErr w:type="spellStart"/>
            <w:r w:rsidRPr="00EE4D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Beigh</w:t>
            </w:r>
            <w:r w:rsidR="00DF629F" w:rsidRPr="00EE4D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ton</w:t>
            </w:r>
            <w:proofErr w:type="spellEnd"/>
            <w:r w:rsidR="00DF629F" w:rsidRPr="00EE4D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Hypermobility Score ≥5) </w:t>
            </w:r>
            <w:r w:rsidR="00DF629F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is </w:t>
            </w:r>
            <w:r w:rsidR="00D070B8" w:rsidRPr="00EE4D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a </w:t>
            </w:r>
            <w:r w:rsidRPr="00EE4D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contraindication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</w:t>
            </w:r>
            <w:r w:rsidR="000B6EFC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arthroscopic management of FAI</w:t>
            </w:r>
            <w:r w:rsidR="008E0B2F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935FD5" w:rsidRPr="00EE4D0D" w14:paraId="147F4169" w14:textId="77777777" w:rsidTr="00636C71">
        <w:trPr>
          <w:trHeight w:val="422"/>
        </w:trPr>
        <w:tc>
          <w:tcPr>
            <w:tcW w:w="14217" w:type="dxa"/>
            <w:vAlign w:val="center"/>
          </w:tcPr>
          <w:p w14:paraId="2755753C" w14:textId="47FE2A35" w:rsidR="00D070B8" w:rsidRPr="00EE4D0D" w:rsidRDefault="00D070B8" w:rsidP="00636C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D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Hypermobility (</w:t>
            </w:r>
            <w:proofErr w:type="spellStart"/>
            <w:r w:rsidRPr="00EE4D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Beighton</w:t>
            </w:r>
            <w:proofErr w:type="spellEnd"/>
            <w:r w:rsidRPr="00EE4D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Hypermobility Score ≥5)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4D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with dysplastic features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is </w:t>
            </w:r>
            <w:r w:rsidRPr="00EE4D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a contraindication to </w:t>
            </w:r>
            <w:r w:rsidR="000B6EFC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arthroscopic management of FAI</w:t>
            </w:r>
            <w:r w:rsidR="008E0B2F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</w:tr>
      <w:tr w:rsidR="00935FD5" w:rsidRPr="00EE4D0D" w14:paraId="7368806C" w14:textId="77777777" w:rsidTr="00636C71">
        <w:trPr>
          <w:trHeight w:val="395"/>
        </w:trPr>
        <w:tc>
          <w:tcPr>
            <w:tcW w:w="14217" w:type="dxa"/>
            <w:vAlign w:val="center"/>
          </w:tcPr>
          <w:p w14:paraId="103C467A" w14:textId="3533FCE5" w:rsidR="00F813A9" w:rsidRPr="00EE4D0D" w:rsidRDefault="00224F4B" w:rsidP="00636C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Skeletal immaturity or a patient &lt;15 years of age is </w:t>
            </w:r>
            <w:r w:rsidRPr="00EE4D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not a contraindication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 arthroscopic management</w:t>
            </w:r>
            <w:r w:rsidR="00482EEE" w:rsidRPr="00EE4D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*</w:t>
            </w:r>
          </w:p>
        </w:tc>
      </w:tr>
      <w:tr w:rsidR="00935FD5" w:rsidRPr="00EE4D0D" w14:paraId="0B302508" w14:textId="77777777" w:rsidTr="00636C71">
        <w:trPr>
          <w:trHeight w:val="422"/>
        </w:trPr>
        <w:tc>
          <w:tcPr>
            <w:tcW w:w="14217" w:type="dxa"/>
            <w:vAlign w:val="center"/>
          </w:tcPr>
          <w:p w14:paraId="0B13A1BA" w14:textId="6EEB00D6" w:rsidR="00F813A9" w:rsidRPr="00EE4D0D" w:rsidRDefault="00DF629F" w:rsidP="00636C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large cam-type deformity is define</w:t>
            </w:r>
            <w:r w:rsidR="00597E37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 by an alpha angle &gt;65 degrees</w:t>
            </w:r>
            <w:r w:rsidR="00482EEE"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†</w:t>
            </w:r>
          </w:p>
        </w:tc>
      </w:tr>
      <w:tr w:rsidR="00935FD5" w:rsidRPr="00EE4D0D" w14:paraId="6C61D3AE" w14:textId="77777777" w:rsidTr="00636C71">
        <w:trPr>
          <w:trHeight w:val="404"/>
        </w:trPr>
        <w:tc>
          <w:tcPr>
            <w:tcW w:w="14217" w:type="dxa"/>
            <w:vAlign w:val="center"/>
          </w:tcPr>
          <w:p w14:paraId="510949D2" w14:textId="76B56129" w:rsidR="009924CE" w:rsidRPr="00EE4D0D" w:rsidRDefault="009924CE" w:rsidP="00636C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Surgery for bilateral FAI should generally be completed via a staged approach†</w:t>
            </w:r>
          </w:p>
        </w:tc>
      </w:tr>
      <w:tr w:rsidR="00935FD5" w:rsidRPr="00EE4D0D" w14:paraId="0071CBD1" w14:textId="77777777" w:rsidTr="00636C71">
        <w:tc>
          <w:tcPr>
            <w:tcW w:w="14217" w:type="dxa"/>
            <w:vAlign w:val="center"/>
          </w:tcPr>
          <w:p w14:paraId="0002A49D" w14:textId="36EB230A" w:rsidR="009924CE" w:rsidRPr="00EE4D0D" w:rsidRDefault="009924CE" w:rsidP="00636C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following are </w:t>
            </w:r>
            <w:r w:rsidRPr="00EE4D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not indications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 </w:t>
            </w:r>
            <w:r w:rsidRPr="00EE4D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concomitant or simultaneous procedures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 patients with bilateral FAI: nonprofessional athlete </w:t>
            </w:r>
            <w:r w:rsidRPr="00EE4D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or 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young patient*</w:t>
            </w:r>
          </w:p>
        </w:tc>
      </w:tr>
      <w:tr w:rsidR="00935FD5" w:rsidRPr="00EE4D0D" w14:paraId="09C094A4" w14:textId="77777777" w:rsidTr="00636C71">
        <w:trPr>
          <w:trHeight w:val="404"/>
        </w:trPr>
        <w:tc>
          <w:tcPr>
            <w:tcW w:w="14217" w:type="dxa"/>
            <w:vAlign w:val="center"/>
          </w:tcPr>
          <w:p w14:paraId="56515898" w14:textId="4826A8D2" w:rsidR="009924CE" w:rsidRPr="00EE4D0D" w:rsidRDefault="009924CE" w:rsidP="00636C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Intraop</w:t>
            </w:r>
            <w:proofErr w:type="spellEnd"/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bone resection should include any hard, sclerotic cam bone†</w:t>
            </w:r>
          </w:p>
        </w:tc>
      </w:tr>
      <w:tr w:rsidR="00935FD5" w:rsidRPr="00EE4D0D" w14:paraId="406A40EC" w14:textId="77777777" w:rsidTr="00636C71">
        <w:trPr>
          <w:trHeight w:val="404"/>
        </w:trPr>
        <w:tc>
          <w:tcPr>
            <w:tcW w:w="14217" w:type="dxa"/>
            <w:vAlign w:val="center"/>
          </w:tcPr>
          <w:p w14:paraId="75545C6A" w14:textId="2C639851" w:rsidR="009924CE" w:rsidRPr="00EE4D0D" w:rsidRDefault="009924CE" w:rsidP="00636C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Labral reconstruction, rather than repair, should be done in a revision surgery with a labral deficiency†</w:t>
            </w:r>
          </w:p>
        </w:tc>
      </w:tr>
      <w:tr w:rsidR="00935FD5" w:rsidRPr="00EE4D0D" w14:paraId="6A997BC2" w14:textId="77777777" w:rsidTr="00636C71">
        <w:trPr>
          <w:trHeight w:val="395"/>
        </w:trPr>
        <w:tc>
          <w:tcPr>
            <w:tcW w:w="14217" w:type="dxa"/>
            <w:vAlign w:val="center"/>
          </w:tcPr>
          <w:p w14:paraId="474985A9" w14:textId="0D2B4DA3" w:rsidR="009924CE" w:rsidRPr="00EE4D0D" w:rsidRDefault="009924CE" w:rsidP="00636C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Labral reconstruction, rather than repair, should be done in a patient with an irreparable labral tear†</w:t>
            </w:r>
          </w:p>
        </w:tc>
      </w:tr>
      <w:tr w:rsidR="00935FD5" w:rsidRPr="00EE4D0D" w14:paraId="557C9280" w14:textId="77777777" w:rsidTr="00636C71">
        <w:trPr>
          <w:trHeight w:val="413"/>
        </w:trPr>
        <w:tc>
          <w:tcPr>
            <w:tcW w:w="14217" w:type="dxa"/>
            <w:vAlign w:val="center"/>
          </w:tcPr>
          <w:p w14:paraId="28A4CDEC" w14:textId="1D70B6D5" w:rsidR="009924CE" w:rsidRPr="00EE4D0D" w:rsidRDefault="009924CE" w:rsidP="00636C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Acetaminophen/Hydrocodone can be prescribed for 1-2 tables q4-6 hours for the first 2-3 days†</w:t>
            </w:r>
          </w:p>
        </w:tc>
      </w:tr>
      <w:tr w:rsidR="00935FD5" w:rsidRPr="00EE4D0D" w14:paraId="4E52CCC4" w14:textId="77777777" w:rsidTr="00636C71">
        <w:trPr>
          <w:trHeight w:val="431"/>
        </w:trPr>
        <w:tc>
          <w:tcPr>
            <w:tcW w:w="14217" w:type="dxa"/>
            <w:vAlign w:val="center"/>
          </w:tcPr>
          <w:p w14:paraId="0B6C21A1" w14:textId="521DB7BF" w:rsidR="009924CE" w:rsidRPr="00EE4D0D" w:rsidRDefault="009924CE" w:rsidP="00636C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Afterwards, Acetaminophen/Hydrocodone should be </w:t>
            </w:r>
            <w:proofErr w:type="gramStart"/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discontinued</w:t>
            </w:r>
            <w:proofErr w:type="gramEnd"/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patients should be transitioned to Acetaminophen PRN†</w:t>
            </w:r>
          </w:p>
        </w:tc>
      </w:tr>
      <w:tr w:rsidR="00935FD5" w:rsidRPr="00EE4D0D" w14:paraId="3BD7518E" w14:textId="77777777" w:rsidTr="00636C71">
        <w:trPr>
          <w:trHeight w:val="449"/>
        </w:trPr>
        <w:tc>
          <w:tcPr>
            <w:tcW w:w="14217" w:type="dxa"/>
            <w:vAlign w:val="center"/>
          </w:tcPr>
          <w:p w14:paraId="270D147A" w14:textId="5AB8B434" w:rsidR="009924CE" w:rsidRPr="00EE4D0D" w:rsidRDefault="009924CE" w:rsidP="00636C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patients with </w:t>
            </w:r>
            <w:r w:rsidRPr="00EE4D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Ehlers-Danlos syndrome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postoperative bracing should be completed for a minimum duration of 3 weeks*</w:t>
            </w:r>
          </w:p>
        </w:tc>
      </w:tr>
      <w:tr w:rsidR="00935FD5" w:rsidRPr="00EE4D0D" w14:paraId="7511E260" w14:textId="77777777" w:rsidTr="00636C71">
        <w:trPr>
          <w:trHeight w:val="449"/>
        </w:trPr>
        <w:tc>
          <w:tcPr>
            <w:tcW w:w="14217" w:type="dxa"/>
            <w:vAlign w:val="center"/>
          </w:tcPr>
          <w:p w14:paraId="46E25CE0" w14:textId="22CD3C88" w:rsidR="009924CE" w:rsidRPr="00EE4D0D" w:rsidRDefault="009924CE" w:rsidP="00636C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patients with </w:t>
            </w:r>
            <w:r w:rsidRPr="00EE4D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laxity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postoperative bracing should be completed for a minimum duration of 3 weeks*</w:t>
            </w:r>
          </w:p>
        </w:tc>
      </w:tr>
      <w:tr w:rsidR="00935FD5" w:rsidRPr="00EE4D0D" w14:paraId="37EE3222" w14:textId="77777777" w:rsidTr="00636C71">
        <w:trPr>
          <w:trHeight w:val="242"/>
        </w:trPr>
        <w:tc>
          <w:tcPr>
            <w:tcW w:w="14217" w:type="dxa"/>
            <w:vAlign w:val="center"/>
          </w:tcPr>
          <w:p w14:paraId="655CE5F1" w14:textId="5BE77224" w:rsidR="009924CE" w:rsidRPr="00EE4D0D" w:rsidRDefault="009924CE" w:rsidP="00636C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following should be recommended in postoperative bracing: abduction brace set at 10° abduction with flexion-extension 0-90, </w:t>
            </w:r>
            <w:r w:rsidRPr="00EE4D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with adjustments based on the surgeon's judgment*</w:t>
            </w:r>
          </w:p>
        </w:tc>
      </w:tr>
      <w:tr w:rsidR="00935FD5" w:rsidRPr="00EE4D0D" w14:paraId="2A01DD2D" w14:textId="77777777" w:rsidTr="00636C71">
        <w:trPr>
          <w:trHeight w:val="431"/>
        </w:trPr>
        <w:tc>
          <w:tcPr>
            <w:tcW w:w="14217" w:type="dxa"/>
            <w:vAlign w:val="center"/>
          </w:tcPr>
          <w:p w14:paraId="48060530" w14:textId="39A39B8B" w:rsidR="009924CE" w:rsidRPr="00EE4D0D" w:rsidRDefault="009924CE" w:rsidP="00636C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D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 postoperative bracing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an abduction pillow during sleep </w:t>
            </w:r>
            <w:r w:rsidRPr="00EE4D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is not recommended</w:t>
            </w:r>
            <w:r w:rsidRPr="00EE4D0D">
              <w:rPr>
                <w:color w:val="000000" w:themeColor="text1"/>
              </w:rPr>
              <w:t>*</w:t>
            </w:r>
          </w:p>
        </w:tc>
      </w:tr>
      <w:tr w:rsidR="00935FD5" w:rsidRPr="00EE4D0D" w14:paraId="70939D0D" w14:textId="77777777" w:rsidTr="00636C71">
        <w:trPr>
          <w:trHeight w:val="458"/>
        </w:trPr>
        <w:tc>
          <w:tcPr>
            <w:tcW w:w="14217" w:type="dxa"/>
            <w:vAlign w:val="center"/>
          </w:tcPr>
          <w:p w14:paraId="5DCF30E5" w14:textId="743E753D" w:rsidR="009924CE" w:rsidRPr="00EE4D0D" w:rsidRDefault="009924CE" w:rsidP="00636C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Aspirin 325 mg should be used for DVT/VTE prophylaxis rather than LMWH, unless specific contraindications exist†</w:t>
            </w:r>
          </w:p>
        </w:tc>
      </w:tr>
      <w:tr w:rsidR="00935FD5" w:rsidRPr="00EE4D0D" w14:paraId="7C8E8A15" w14:textId="77777777" w:rsidTr="00636C71">
        <w:trPr>
          <w:trHeight w:val="449"/>
        </w:trPr>
        <w:tc>
          <w:tcPr>
            <w:tcW w:w="14217" w:type="dxa"/>
            <w:vAlign w:val="center"/>
          </w:tcPr>
          <w:p w14:paraId="3AD0EFDB" w14:textId="3F875D29" w:rsidR="009924CE" w:rsidRPr="00EE4D0D" w:rsidRDefault="009924CE" w:rsidP="00636C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3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DVT/VTE prophylaxis with should begin the night of surgery and continue for 4 weeks†</w:t>
            </w:r>
          </w:p>
        </w:tc>
      </w:tr>
    </w:tbl>
    <w:p w14:paraId="098F8CBB" w14:textId="77777777" w:rsidR="00482EEE" w:rsidRPr="00EE4D0D" w:rsidRDefault="00482EEE" w:rsidP="00482EEE">
      <w:pPr>
        <w:spacing w:line="200" w:lineRule="exact"/>
        <w:ind w:left="-547"/>
        <w:rPr>
          <w:color w:val="000000" w:themeColor="text1"/>
          <w:sz w:val="22"/>
        </w:rPr>
      </w:pPr>
    </w:p>
    <w:p w14:paraId="12136C0C" w14:textId="77777777" w:rsidR="00DF629F" w:rsidRPr="00C404C4" w:rsidRDefault="00DF629F" w:rsidP="00C404C4">
      <w:pPr>
        <w:ind w:left="-547"/>
        <w:rPr>
          <w:i/>
          <w:color w:val="000000" w:themeColor="text1"/>
        </w:rPr>
      </w:pPr>
      <w:r w:rsidRPr="00C404C4">
        <w:rPr>
          <w:i/>
          <w:color w:val="000000" w:themeColor="text1"/>
        </w:rPr>
        <w:t>† New Additions</w:t>
      </w:r>
    </w:p>
    <w:p w14:paraId="0E24C0EF" w14:textId="77777777" w:rsidR="00DF629F" w:rsidRPr="00C404C4" w:rsidRDefault="00DF629F" w:rsidP="00C404C4">
      <w:pPr>
        <w:ind w:left="-547"/>
        <w:rPr>
          <w:i/>
          <w:color w:val="000000" w:themeColor="text1"/>
        </w:rPr>
      </w:pPr>
      <w:r w:rsidRPr="00C404C4">
        <w:rPr>
          <w:i/>
          <w:color w:val="000000" w:themeColor="text1"/>
        </w:rPr>
        <w:t>* Revisions are shown in italics</w:t>
      </w:r>
    </w:p>
    <w:p w14:paraId="330A499F" w14:textId="1F5052A5" w:rsidR="00DF629F" w:rsidRPr="00EE4D0D" w:rsidRDefault="00DF629F" w:rsidP="00DF629F">
      <w:pPr>
        <w:spacing w:line="180" w:lineRule="exact"/>
        <w:rPr>
          <w:color w:val="000000" w:themeColor="text1"/>
          <w:sz w:val="16"/>
          <w:szCs w:val="16"/>
        </w:rPr>
      </w:pPr>
    </w:p>
    <w:p w14:paraId="34412C86" w14:textId="77777777" w:rsidR="00A77FCB" w:rsidRPr="00EE4D0D" w:rsidRDefault="00A77FCB" w:rsidP="00A77FCB">
      <w:pPr>
        <w:ind w:left="-630"/>
        <w:rPr>
          <w:color w:val="000000" w:themeColor="text1"/>
        </w:rPr>
        <w:sectPr w:rsidR="00A77FCB" w:rsidRPr="00EE4D0D" w:rsidSect="00C404C4">
          <w:pgSz w:w="15840" w:h="12240" w:orient="landscape"/>
          <w:pgMar w:top="630" w:right="1440" w:bottom="630" w:left="1440" w:header="720" w:footer="720" w:gutter="0"/>
          <w:cols w:space="720"/>
          <w:docGrid w:linePitch="360"/>
        </w:sectPr>
      </w:pPr>
    </w:p>
    <w:p w14:paraId="7D7AA1F2" w14:textId="3A699F05" w:rsidR="00E31B93" w:rsidRPr="00EE4D0D" w:rsidRDefault="005650AF" w:rsidP="00322930">
      <w:pPr>
        <w:ind w:left="-270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Table 6</w:t>
      </w:r>
      <w:r w:rsidR="000441CC" w:rsidRPr="00EE4D0D">
        <w:rPr>
          <w:b/>
          <w:color w:val="000000" w:themeColor="text1"/>
        </w:rPr>
        <w:t>.</w:t>
      </w:r>
      <w:r w:rsidR="000441CC" w:rsidRPr="00EE4D0D">
        <w:rPr>
          <w:color w:val="000000" w:themeColor="text1"/>
        </w:rPr>
        <w:t xml:space="preserve"> Recommendation</w:t>
      </w:r>
      <w:r w:rsidR="00347959">
        <w:rPr>
          <w:color w:val="000000" w:themeColor="text1"/>
        </w:rPr>
        <w:t>s</w:t>
      </w:r>
      <w:r w:rsidR="000441CC" w:rsidRPr="00EE4D0D">
        <w:rPr>
          <w:color w:val="000000" w:themeColor="text1"/>
        </w:rPr>
        <w:t xml:space="preserve"> Reaching Consensus</w:t>
      </w:r>
    </w:p>
    <w:tbl>
      <w:tblPr>
        <w:tblStyle w:val="TableGrid"/>
        <w:tblW w:w="11160" w:type="dxa"/>
        <w:tblInd w:w="-277" w:type="dxa"/>
        <w:tblLayout w:type="fixed"/>
        <w:tblLook w:val="04A0" w:firstRow="1" w:lastRow="0" w:firstColumn="1" w:lastColumn="0" w:noHBand="0" w:noVBand="1"/>
      </w:tblPr>
      <w:tblGrid>
        <w:gridCol w:w="8094"/>
        <w:gridCol w:w="724"/>
        <w:gridCol w:w="1346"/>
        <w:gridCol w:w="996"/>
      </w:tblGrid>
      <w:tr w:rsidR="001D785C" w:rsidRPr="001D785C" w14:paraId="0B949145" w14:textId="77777777" w:rsidTr="00C404C4">
        <w:trPr>
          <w:trHeight w:val="101"/>
        </w:trPr>
        <w:tc>
          <w:tcPr>
            <w:tcW w:w="8094" w:type="dxa"/>
            <w:tcBorders>
              <w:bottom w:val="single" w:sz="4" w:space="0" w:color="auto"/>
            </w:tcBorders>
            <w:shd w:val="clear" w:color="auto" w:fill="222A35" w:themeFill="text2" w:themeFillShade="80"/>
            <w:vAlign w:val="center"/>
          </w:tcPr>
          <w:p w14:paraId="6B00956F" w14:textId="3E37ADE1" w:rsidR="00400FAB" w:rsidRPr="001D785C" w:rsidRDefault="00400FAB" w:rsidP="00EA66CF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D785C">
              <w:rPr>
                <w:b/>
                <w:color w:val="FFFFFF" w:themeColor="background1"/>
                <w:sz w:val="24"/>
                <w:szCs w:val="24"/>
              </w:rPr>
              <w:t>Consensus on Interventions</w:t>
            </w:r>
          </w:p>
        </w:tc>
        <w:tc>
          <w:tcPr>
            <w:tcW w:w="724" w:type="dxa"/>
            <w:tcBorders>
              <w:bottom w:val="single" w:sz="4" w:space="0" w:color="auto"/>
              <w:right w:val="nil"/>
            </w:tcBorders>
            <w:shd w:val="clear" w:color="auto" w:fill="222A35" w:themeFill="text2" w:themeFillShade="80"/>
            <w:vAlign w:val="center"/>
          </w:tcPr>
          <w:p w14:paraId="1071B871" w14:textId="77777777" w:rsidR="00400FAB" w:rsidRPr="001D785C" w:rsidRDefault="00400FAB" w:rsidP="00EA66CF">
            <w:pPr>
              <w:ind w:left="-108" w:right="-99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D785C">
              <w:rPr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1346" w:type="dxa"/>
            <w:tcBorders>
              <w:left w:val="nil"/>
              <w:bottom w:val="single" w:sz="4" w:space="0" w:color="auto"/>
              <w:right w:val="nil"/>
            </w:tcBorders>
            <w:shd w:val="clear" w:color="auto" w:fill="222A35" w:themeFill="text2" w:themeFillShade="80"/>
            <w:vAlign w:val="center"/>
          </w:tcPr>
          <w:p w14:paraId="75BD76ED" w14:textId="77777777" w:rsidR="00400FAB" w:rsidRPr="001D785C" w:rsidRDefault="00400FAB" w:rsidP="00EA66CF">
            <w:pPr>
              <w:ind w:left="-108" w:right="-108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D785C">
              <w:rPr>
                <w:b/>
                <w:color w:val="FFFFFF" w:themeColor="background1"/>
                <w:sz w:val="20"/>
                <w:szCs w:val="20"/>
              </w:rPr>
              <w:t>Strongly Agree</w: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</w:tcBorders>
            <w:shd w:val="clear" w:color="auto" w:fill="222A35" w:themeFill="text2" w:themeFillShade="80"/>
            <w:vAlign w:val="center"/>
          </w:tcPr>
          <w:p w14:paraId="008864ED" w14:textId="77777777" w:rsidR="00400FAB" w:rsidRPr="001D785C" w:rsidRDefault="00400FAB" w:rsidP="00EA66CF">
            <w:pPr>
              <w:ind w:left="-108" w:right="-113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1D785C">
              <w:rPr>
                <w:b/>
                <w:color w:val="FFFFFF" w:themeColor="background1"/>
                <w:sz w:val="20"/>
                <w:szCs w:val="20"/>
              </w:rPr>
              <w:t>Agree</w:t>
            </w:r>
          </w:p>
        </w:tc>
      </w:tr>
      <w:tr w:rsidR="00935FD5" w:rsidRPr="00EE4D0D" w14:paraId="584E5374" w14:textId="77777777" w:rsidTr="00C404C4">
        <w:trPr>
          <w:trHeight w:val="70"/>
        </w:trPr>
        <w:tc>
          <w:tcPr>
            <w:tcW w:w="809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46663CC" w14:textId="07035595" w:rsidR="00400FAB" w:rsidRPr="00EE4D0D" w:rsidRDefault="00400FAB" w:rsidP="00EA66CF">
            <w:pPr>
              <w:rPr>
                <w:b/>
                <w:i/>
                <w:color w:val="000000" w:themeColor="text1"/>
                <w:sz w:val="20"/>
              </w:rPr>
            </w:pPr>
            <w:r w:rsidRPr="00EE4D0D">
              <w:rPr>
                <w:b/>
                <w:i/>
                <w:color w:val="000000" w:themeColor="text1"/>
                <w:sz w:val="20"/>
              </w:rPr>
              <w:t>Preoperative</w:t>
            </w:r>
          </w:p>
        </w:tc>
        <w:tc>
          <w:tcPr>
            <w:tcW w:w="724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70F80EB" w14:textId="77777777" w:rsidR="00400FAB" w:rsidRPr="00EE4D0D" w:rsidRDefault="00400FAB" w:rsidP="00EA66C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46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8D1A238" w14:textId="2D0A86D4" w:rsidR="00400FAB" w:rsidRPr="00EE4D0D" w:rsidRDefault="00400FAB" w:rsidP="00EA66CF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6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4918EE" w14:textId="77777777" w:rsidR="00400FAB" w:rsidRPr="00EE4D0D" w:rsidRDefault="00400FAB" w:rsidP="00EA66CF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935FD5" w:rsidRPr="00EE4D0D" w14:paraId="4D0C490E" w14:textId="77777777" w:rsidTr="00C404C4">
        <w:trPr>
          <w:trHeight w:val="70"/>
        </w:trPr>
        <w:tc>
          <w:tcPr>
            <w:tcW w:w="80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E3F" w14:textId="437E92B6" w:rsidR="00400FAB" w:rsidRPr="00EE4D0D" w:rsidRDefault="00400FAB" w:rsidP="00EA66C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50" w:right="-115" w:hanging="277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Patients should receive education regarding FAI†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257C" w14:textId="1D1ED74B" w:rsidR="00400FAB" w:rsidRPr="00EE4D0D" w:rsidRDefault="00400FAB" w:rsidP="00EA66CF">
            <w:pPr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100</w:t>
            </w:r>
          </w:p>
        </w:tc>
        <w:tc>
          <w:tcPr>
            <w:tcW w:w="134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A8D912" w14:textId="50A13524" w:rsidR="00400FAB" w:rsidRPr="00EE4D0D" w:rsidRDefault="00400FAB" w:rsidP="00EA66CF">
            <w:pPr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80</w: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39C44E7" w14:textId="01DEC3BA" w:rsidR="00400FAB" w:rsidRPr="00EE4D0D" w:rsidRDefault="00400FAB" w:rsidP="00EA66CF">
            <w:pPr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20</w:t>
            </w:r>
          </w:p>
        </w:tc>
      </w:tr>
      <w:tr w:rsidR="00935FD5" w:rsidRPr="00EE4D0D" w14:paraId="1F9DA28C" w14:textId="77777777" w:rsidTr="00C404C4">
        <w:trPr>
          <w:trHeight w:val="242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70BB" w14:textId="501B0AC9" w:rsidR="00400FAB" w:rsidRPr="00EE4D0D" w:rsidRDefault="00400FAB" w:rsidP="00EA66C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50" w:right="-198" w:hanging="277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Conservative treatment should include a st</w:t>
            </w:r>
            <w:r w:rsidR="00B16A83"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andard min duration of 3 months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, including: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09D30" w14:textId="5AFF34D6" w:rsidR="00400FAB" w:rsidRPr="00EE4D0D" w:rsidRDefault="00400FAB" w:rsidP="00EA66CF">
            <w:pPr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94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9AF99A" w14:textId="6E724676" w:rsidR="00400FAB" w:rsidRPr="00EE4D0D" w:rsidRDefault="00400FAB" w:rsidP="00EA66CF">
            <w:pPr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27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C666782" w14:textId="3106035F" w:rsidR="00400FAB" w:rsidRPr="00EE4D0D" w:rsidRDefault="00400FAB" w:rsidP="00EA66CF">
            <w:pPr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67</w:t>
            </w:r>
          </w:p>
        </w:tc>
      </w:tr>
      <w:tr w:rsidR="00935FD5" w:rsidRPr="00EE4D0D" w14:paraId="58E4B17F" w14:textId="77777777" w:rsidTr="00C404C4">
        <w:trPr>
          <w:trHeight w:val="70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90CC" w14:textId="7F0F0F92" w:rsidR="00400FAB" w:rsidRPr="00EE4D0D" w:rsidRDefault="00400FAB" w:rsidP="00EA66C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610" w:right="-115" w:hanging="18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Trial of rest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*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EE4E" w14:textId="4AD538C1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ED41E" w14:textId="4C56913F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33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77C5C10" w14:textId="69903F20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47</w:t>
            </w:r>
          </w:p>
        </w:tc>
      </w:tr>
      <w:tr w:rsidR="00935FD5" w:rsidRPr="00EE4D0D" w14:paraId="38C7E550" w14:textId="77777777" w:rsidTr="00C404C4">
        <w:trPr>
          <w:trHeight w:val="70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2D40" w14:textId="7FD5610D" w:rsidR="00400FAB" w:rsidRPr="00EE4D0D" w:rsidRDefault="00400FAB" w:rsidP="00EA66C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610" w:right="-115" w:hanging="18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Trial of NSAIDs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*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E177" w14:textId="4CEC5ADF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A47DAE" w14:textId="48A17EF3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47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7641D2" w14:textId="7598578C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53</w:t>
            </w:r>
          </w:p>
        </w:tc>
      </w:tr>
      <w:tr w:rsidR="00935FD5" w:rsidRPr="00EE4D0D" w14:paraId="1F2A55D0" w14:textId="77777777" w:rsidTr="00C404C4">
        <w:trPr>
          <w:trHeight w:val="152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079A" w14:textId="37F92A3B" w:rsidR="00400FAB" w:rsidRPr="00EE4D0D" w:rsidRDefault="00400FAB" w:rsidP="00EA66C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610" w:right="-115" w:hanging="18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Activity modification or restriction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*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17B1C" w14:textId="2266EB9D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93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0CA4AF" w14:textId="0DB32027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5169A4E" w14:textId="3791F4C9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73</w:t>
            </w:r>
          </w:p>
        </w:tc>
      </w:tr>
      <w:tr w:rsidR="00935FD5" w:rsidRPr="00EE4D0D" w14:paraId="71F226A4" w14:textId="77777777" w:rsidTr="00C404C4">
        <w:trPr>
          <w:trHeight w:val="170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DE3C" w14:textId="6CD5F2AC" w:rsidR="00400FAB" w:rsidRPr="00EE4D0D" w:rsidRDefault="00400FAB" w:rsidP="00EA66C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610" w:right="-115" w:hanging="18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Physical therapy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*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7D30" w14:textId="6169AE44" w:rsidR="00400FAB" w:rsidRPr="00EE4D0D" w:rsidRDefault="00400FAB" w:rsidP="00EA66CF">
            <w:pPr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87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7B68A9" w14:textId="1354D8C5" w:rsidR="00400FAB" w:rsidRPr="00EE4D0D" w:rsidRDefault="00400FAB" w:rsidP="00EA66CF">
            <w:pPr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27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6B0D83" w14:textId="52E7F96B" w:rsidR="00400FAB" w:rsidRPr="00EE4D0D" w:rsidRDefault="00400FAB" w:rsidP="00EA66CF">
            <w:pPr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60</w:t>
            </w:r>
          </w:p>
        </w:tc>
      </w:tr>
      <w:tr w:rsidR="00935FD5" w:rsidRPr="00EE4D0D" w14:paraId="353A3A5A" w14:textId="77777777" w:rsidTr="00C404C4">
        <w:trPr>
          <w:trHeight w:val="80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496D" w14:textId="66CB9722" w:rsidR="00400FAB" w:rsidRPr="00EE4D0D" w:rsidRDefault="00400FAB" w:rsidP="00EA66C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610" w:right="-115" w:hanging="18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No opioids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*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AD183" w14:textId="1C6C0E96" w:rsidR="00400FAB" w:rsidRPr="00EE4D0D" w:rsidRDefault="00400FAB" w:rsidP="00EA66CF">
            <w:pPr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B44C41" w14:textId="37E239CE" w:rsidR="00400FAB" w:rsidRPr="00EE4D0D" w:rsidRDefault="00400FAB" w:rsidP="00EA66CF">
            <w:pPr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73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7DE4642" w14:textId="285869EB" w:rsidR="00400FAB" w:rsidRPr="00EE4D0D" w:rsidRDefault="00400FAB" w:rsidP="00EA66CF">
            <w:pPr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27</w:t>
            </w:r>
          </w:p>
        </w:tc>
      </w:tr>
      <w:tr w:rsidR="00935FD5" w:rsidRPr="00EE4D0D" w14:paraId="12F0B558" w14:textId="77777777" w:rsidTr="00C404C4">
        <w:trPr>
          <w:trHeight w:val="70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6983" w14:textId="3C65FA1D" w:rsidR="00400FAB" w:rsidRPr="00EE4D0D" w:rsidRDefault="00357610" w:rsidP="00EA66C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50" w:right="-115" w:hanging="277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Permit less than the full duration of conservative treatment with the following clinical history: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6A6A6" w:themeColor="background1" w:themeShade="A6" w:fill="auto"/>
            <w:vAlign w:val="center"/>
          </w:tcPr>
          <w:p w14:paraId="6A257FC2" w14:textId="33853FDE" w:rsidR="00400FAB" w:rsidRPr="00EE4D0D" w:rsidRDefault="00400FAB" w:rsidP="00EA66CF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DiagCross" w:color="A6A6A6" w:themeColor="background1" w:themeShade="A6" w:fill="auto"/>
            <w:vAlign w:val="center"/>
          </w:tcPr>
          <w:p w14:paraId="3BA32605" w14:textId="77777777" w:rsidR="00400FAB" w:rsidRPr="00EE4D0D" w:rsidRDefault="00400FAB" w:rsidP="00EA66CF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thinDiagCross" w:color="A6A6A6" w:themeColor="background1" w:themeShade="A6" w:fill="auto"/>
            <w:vAlign w:val="center"/>
          </w:tcPr>
          <w:p w14:paraId="7CF660E9" w14:textId="77777777" w:rsidR="00400FAB" w:rsidRPr="00EE4D0D" w:rsidRDefault="00400FAB" w:rsidP="00EA66CF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935FD5" w:rsidRPr="00EE4D0D" w14:paraId="091AF9B3" w14:textId="77777777" w:rsidTr="00C404C4">
        <w:trPr>
          <w:trHeight w:val="70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9BD9F" w14:textId="4A28BCB1" w:rsidR="00400FAB" w:rsidRPr="00EE4D0D" w:rsidRDefault="00400FAB" w:rsidP="00EA66C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610" w:right="-115" w:hanging="18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Professional athletes or out-of-season athletes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*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C4FA1" w14:textId="31D15438" w:rsidR="00400FAB" w:rsidRPr="00EE4D0D" w:rsidRDefault="00400FAB" w:rsidP="00EA66CF">
            <w:pPr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A7CFA4" w14:textId="62D899D8" w:rsidR="00400FAB" w:rsidRPr="00EE4D0D" w:rsidRDefault="00400FAB" w:rsidP="00EA66CF">
            <w:pPr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27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D5C608" w14:textId="67934C34" w:rsidR="00400FAB" w:rsidRPr="00EE4D0D" w:rsidRDefault="00400FAB" w:rsidP="00EA66CF">
            <w:pPr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53</w:t>
            </w:r>
          </w:p>
        </w:tc>
      </w:tr>
      <w:tr w:rsidR="00935FD5" w:rsidRPr="00EE4D0D" w14:paraId="2D758849" w14:textId="77777777" w:rsidTr="00C404C4">
        <w:trPr>
          <w:trHeight w:val="70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82F0" w14:textId="32B9AEDF" w:rsidR="00400FAB" w:rsidRPr="00EE4D0D" w:rsidRDefault="00400FAB" w:rsidP="00EA66C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610" w:right="-115" w:hanging="18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Patients </w:t>
            </w:r>
            <w:r w:rsidR="00B70515">
              <w:rPr>
                <w:rFonts w:ascii="Times New Roman" w:hAnsi="Times New Roman" w:cs="Times New Roman"/>
                <w:color w:val="000000" w:themeColor="text1"/>
                <w:sz w:val="18"/>
              </w:rPr>
              <w:t>who are undergoing</w:t>
            </w:r>
            <w:r w:rsidR="00B70515"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PT with no or marginal improvement</w:t>
            </w:r>
            <w:r w:rsidR="00B70515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as deemed by the surgeon and physical therapist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1285" w14:textId="79B75B52" w:rsidR="00400FAB" w:rsidRPr="00EE4D0D" w:rsidRDefault="00400FAB" w:rsidP="00EA66CF">
            <w:pPr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87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4C5BBF" w14:textId="6227E454" w:rsidR="00400FAB" w:rsidRPr="00EE4D0D" w:rsidRDefault="00400FAB" w:rsidP="00EA66CF">
            <w:pPr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27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86889A7" w14:textId="482A92F3" w:rsidR="00400FAB" w:rsidRPr="00EE4D0D" w:rsidRDefault="00400FAB" w:rsidP="00EA66CF">
            <w:pPr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60</w:t>
            </w:r>
          </w:p>
        </w:tc>
      </w:tr>
      <w:tr w:rsidR="00935FD5" w:rsidRPr="00EE4D0D" w14:paraId="0D63B8D9" w14:textId="77777777" w:rsidTr="00C404C4">
        <w:trPr>
          <w:trHeight w:val="70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3057" w14:textId="236EC136" w:rsidR="00400FAB" w:rsidRPr="00EE4D0D" w:rsidRDefault="00400FAB" w:rsidP="00EA66C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610" w:right="-115" w:hanging="18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High baseline mental health (per the VR-12 </w:t>
            </w:r>
            <w:proofErr w:type="gramStart"/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questionnaire)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*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2895" w14:textId="2E628E1E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AAD810" w14:textId="15F2E5E6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2FA1ED" w14:textId="226A6998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73</w:t>
            </w:r>
          </w:p>
        </w:tc>
      </w:tr>
      <w:tr w:rsidR="00935FD5" w:rsidRPr="00EE4D0D" w14:paraId="30BCD214" w14:textId="77777777" w:rsidTr="00C404C4">
        <w:trPr>
          <w:trHeight w:val="70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58CE" w14:textId="0A9C3554" w:rsidR="00400FAB" w:rsidRPr="00EE4D0D" w:rsidRDefault="00400FAB" w:rsidP="00EA66C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610" w:right="-115" w:hanging="18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Successful surgery on the contralateral side†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A30A" w14:textId="23A144B0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87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B2860F" w14:textId="6638ACDE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CDB59B" w14:textId="274CA9D9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47</w:t>
            </w:r>
          </w:p>
        </w:tc>
      </w:tr>
      <w:tr w:rsidR="00935FD5" w:rsidRPr="00EE4D0D" w14:paraId="322BCA30" w14:textId="77777777" w:rsidTr="00C404C4">
        <w:trPr>
          <w:trHeight w:val="70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286C" w14:textId="58610E2D" w:rsidR="00400FAB" w:rsidRPr="00EE4D0D" w:rsidRDefault="00400FAB" w:rsidP="00EC5A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50" w:right="-115" w:hanging="277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Assess joint parameters for proceeding with surgery before completing the full duration of conservative </w:t>
            </w:r>
            <w:proofErr w:type="spellStart"/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t</w:t>
            </w:r>
            <w:r w:rsidR="00EC5ABF"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x</w:t>
            </w:r>
            <w:proofErr w:type="spellEnd"/>
            <w:r w:rsidR="00EC5ABF"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6A6A6" w:themeColor="background1" w:themeShade="A6" w:fill="auto"/>
            <w:vAlign w:val="center"/>
          </w:tcPr>
          <w:p w14:paraId="500A9186" w14:textId="77777777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DiagCross" w:color="A6A6A6" w:themeColor="background1" w:themeShade="A6" w:fill="auto"/>
            <w:vAlign w:val="center"/>
          </w:tcPr>
          <w:p w14:paraId="407D96CC" w14:textId="77777777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thinDiagCross" w:color="A6A6A6" w:themeColor="background1" w:themeShade="A6" w:fill="auto"/>
            <w:vAlign w:val="center"/>
          </w:tcPr>
          <w:p w14:paraId="2D0EF723" w14:textId="77777777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</w:p>
        </w:tc>
      </w:tr>
      <w:tr w:rsidR="00935FD5" w:rsidRPr="00EE4D0D" w14:paraId="7DE06C4F" w14:textId="77777777" w:rsidTr="00C404C4">
        <w:trPr>
          <w:trHeight w:val="70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706C" w14:textId="6949C234" w:rsidR="00400FAB" w:rsidRPr="00EE4D0D" w:rsidRDefault="00400FAB" w:rsidP="00EA66C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10" w:right="-115" w:hanging="18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High Alpha angle*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C908" w14:textId="098BAC5F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162406" w14:textId="2D4766FC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70FE82" w14:textId="000F9EC3" w:rsidR="00400FAB" w:rsidRPr="00EE4D0D" w:rsidRDefault="00400FAB" w:rsidP="00EA66CF">
            <w:pPr>
              <w:ind w:left="-108" w:right="-106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40</w:t>
            </w:r>
          </w:p>
        </w:tc>
      </w:tr>
      <w:tr w:rsidR="00935FD5" w:rsidRPr="00EE4D0D" w14:paraId="39B81130" w14:textId="77777777" w:rsidTr="00C404C4">
        <w:trPr>
          <w:trHeight w:val="70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80B0" w14:textId="4DAC2DA4" w:rsidR="00400FAB" w:rsidRPr="00EE4D0D" w:rsidRDefault="00400FAB" w:rsidP="00EA66C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10" w:right="-115" w:hanging="18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Low </w:t>
            </w:r>
            <w:proofErr w:type="spellStart"/>
            <w:r w:rsidRPr="00EE4D0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Tonnis</w:t>
            </w:r>
            <w:proofErr w:type="spellEnd"/>
            <w:r w:rsidRPr="00EE4D0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grade*</w:t>
            </w:r>
            <w:bookmarkStart w:id="0" w:name="_GoBack"/>
            <w:bookmarkEnd w:id="0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A6D2" w14:textId="0A21D9F1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8699AF" w14:textId="58BD3997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AC2AEC9" w14:textId="27EE82FB" w:rsidR="00400FAB" w:rsidRPr="00EE4D0D" w:rsidRDefault="00400FAB" w:rsidP="00EA66CF">
            <w:pPr>
              <w:ind w:left="-108" w:right="-106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80</w:t>
            </w:r>
          </w:p>
        </w:tc>
      </w:tr>
      <w:tr w:rsidR="00935FD5" w:rsidRPr="00EE4D0D" w14:paraId="0D9CDF93" w14:textId="77777777" w:rsidTr="00C404C4">
        <w:trPr>
          <w:trHeight w:val="70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4B44" w14:textId="4DF8D7DB" w:rsidR="00400FAB" w:rsidRPr="00EE4D0D" w:rsidRDefault="00400FAB" w:rsidP="00EA66C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10" w:right="-115" w:hanging="18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Large cam-type deformity in the absence of osteoarthritic changes*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2A98" w14:textId="58F55659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C50095" w14:textId="28A055E5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B4152A" w14:textId="48F42326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60</w:t>
            </w:r>
          </w:p>
        </w:tc>
      </w:tr>
      <w:tr w:rsidR="00935FD5" w:rsidRPr="00EE4D0D" w14:paraId="456969B5" w14:textId="77777777" w:rsidTr="00C404C4">
        <w:trPr>
          <w:trHeight w:val="70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D2DB" w14:textId="5C21FCAE" w:rsidR="00400FAB" w:rsidRPr="00EE4D0D" w:rsidRDefault="00400FAB" w:rsidP="00E074D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10" w:right="-115" w:hanging="18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Large combined deformity in the absence of osteoarthritic changes*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0E34" w14:textId="3C6DD627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86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3C90EB" w14:textId="56FE8399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33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99071C5" w14:textId="7D0B7AAA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53</w:t>
            </w:r>
          </w:p>
        </w:tc>
      </w:tr>
      <w:tr w:rsidR="00935FD5" w:rsidRPr="00EE4D0D" w14:paraId="66166E68" w14:textId="77777777" w:rsidTr="00C404C4">
        <w:trPr>
          <w:trHeight w:val="70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690C" w14:textId="7F461215" w:rsidR="00400FAB" w:rsidRPr="00EE4D0D" w:rsidRDefault="00400FAB" w:rsidP="00EA66C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10" w:right="-198" w:hanging="18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Large ROM limitations with pain†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B012" w14:textId="6AF645A5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94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4DA405" w14:textId="5845C10C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27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99A0DF6" w14:textId="6B2C5799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67</w:t>
            </w:r>
          </w:p>
        </w:tc>
      </w:tr>
      <w:tr w:rsidR="00935FD5" w:rsidRPr="00EE4D0D" w14:paraId="2811004F" w14:textId="77777777" w:rsidTr="00C404C4">
        <w:trPr>
          <w:trHeight w:val="70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330E" w14:textId="5A94E2B9" w:rsidR="00400FAB" w:rsidRPr="00EE4D0D" w:rsidRDefault="00400FAB" w:rsidP="00EA66C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50" w:right="-115" w:hanging="277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Obtain an MRI in the setting of a previous hip scope with intra-articular pain†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665F" w14:textId="7A733C04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430C85" w14:textId="663B1128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33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444B7F" w14:textId="18A159A1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47</w:t>
            </w:r>
          </w:p>
        </w:tc>
      </w:tr>
      <w:tr w:rsidR="00935FD5" w:rsidRPr="00EE4D0D" w14:paraId="5B0920F5" w14:textId="77777777" w:rsidTr="00C404C4">
        <w:trPr>
          <w:trHeight w:val="70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ED71660" w14:textId="3EF32456" w:rsidR="00400FAB" w:rsidRPr="00EE4D0D" w:rsidRDefault="00400FAB" w:rsidP="00EA66CF">
            <w:pPr>
              <w:ind w:left="-23"/>
              <w:rPr>
                <w:b/>
                <w:i/>
                <w:color w:val="000000" w:themeColor="text1"/>
                <w:sz w:val="20"/>
              </w:rPr>
            </w:pPr>
            <w:r w:rsidRPr="00EE4D0D">
              <w:rPr>
                <w:b/>
                <w:i/>
                <w:color w:val="000000" w:themeColor="text1"/>
                <w:sz w:val="20"/>
              </w:rPr>
              <w:t>Intraoperative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C826B7F" w14:textId="08154899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2629C1C" w14:textId="77777777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0BC81F" w14:textId="77777777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20"/>
              </w:rPr>
            </w:pPr>
          </w:p>
        </w:tc>
      </w:tr>
      <w:tr w:rsidR="00935FD5" w:rsidRPr="00EE4D0D" w14:paraId="1F31213E" w14:textId="77777777" w:rsidTr="00C404C4">
        <w:trPr>
          <w:trHeight w:val="70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A0E1" w14:textId="589EBC59" w:rsidR="00400FAB" w:rsidRPr="00EE4D0D" w:rsidRDefault="00400FAB" w:rsidP="00EA66C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50" w:right="-115" w:hanging="277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Perform hip arthroscopy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* 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unless the following contraindications exist: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6A6A6" w:themeColor="background1" w:themeShade="A6" w:fill="auto"/>
            <w:vAlign w:val="center"/>
          </w:tcPr>
          <w:p w14:paraId="1D39AAD6" w14:textId="77777777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DiagCross" w:color="A6A6A6" w:themeColor="background1" w:themeShade="A6" w:fill="auto"/>
            <w:vAlign w:val="center"/>
          </w:tcPr>
          <w:p w14:paraId="485B9814" w14:textId="77777777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thinDiagCross" w:color="A6A6A6" w:themeColor="background1" w:themeShade="A6" w:fill="auto"/>
            <w:vAlign w:val="center"/>
          </w:tcPr>
          <w:p w14:paraId="7CE603EA" w14:textId="77777777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</w:p>
        </w:tc>
      </w:tr>
      <w:tr w:rsidR="00935FD5" w:rsidRPr="00EE4D0D" w14:paraId="22353770" w14:textId="77777777" w:rsidTr="00C404C4">
        <w:trPr>
          <w:trHeight w:val="70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1D78" w14:textId="2FC5043B" w:rsidR="00400FAB" w:rsidRPr="00EE4D0D" w:rsidRDefault="00400FAB" w:rsidP="00EA66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610" w:right="-115" w:hanging="18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Joint space narrowing (&lt;2 mm anywhere along the lateral and/or middle </w:t>
            </w:r>
            <w:proofErr w:type="spellStart"/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sourcil</w:t>
            </w:r>
            <w:proofErr w:type="spellEnd"/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) or OA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*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452F" w14:textId="5C8C769E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E2E595" w14:textId="17A08F4E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73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E8E3FE0" w14:textId="5826C933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7</w:t>
            </w:r>
          </w:p>
        </w:tc>
      </w:tr>
      <w:tr w:rsidR="00935FD5" w:rsidRPr="00EE4D0D" w14:paraId="435EB841" w14:textId="77777777" w:rsidTr="00C404C4">
        <w:trPr>
          <w:trHeight w:val="70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8CF7" w14:textId="327BE12A" w:rsidR="00400FAB" w:rsidRPr="00EE4D0D" w:rsidRDefault="00400FAB" w:rsidP="00EA66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610" w:right="-115" w:hanging="18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proofErr w:type="spellStart"/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Tonnis</w:t>
            </w:r>
            <w:proofErr w:type="spellEnd"/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grade ≥2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*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D24D" w14:textId="0F964D36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87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087D1C" w14:textId="4CE971E0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27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B46A4C" w14:textId="6C05EB12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60</w:t>
            </w:r>
          </w:p>
        </w:tc>
      </w:tr>
      <w:tr w:rsidR="00935FD5" w:rsidRPr="00EE4D0D" w14:paraId="7D7C8F73" w14:textId="77777777" w:rsidTr="00C404C4">
        <w:trPr>
          <w:trHeight w:val="70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7CDE" w14:textId="552D9760" w:rsidR="00400FAB" w:rsidRPr="00EE4D0D" w:rsidRDefault="00400FAB" w:rsidP="00EA66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610" w:right="-115" w:hanging="18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Severe femoral retro or anteversion with gait abnormality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*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0FA9" w14:textId="3105EEB1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87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C3BD62" w14:textId="52B640E4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47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451D29" w14:textId="4B46F9A9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40</w:t>
            </w:r>
          </w:p>
        </w:tc>
      </w:tr>
      <w:tr w:rsidR="00935FD5" w:rsidRPr="00EE4D0D" w14:paraId="2EECBB21" w14:textId="77777777" w:rsidTr="00C404C4">
        <w:trPr>
          <w:trHeight w:val="70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53A2" w14:textId="11D7E840" w:rsidR="00400FAB" w:rsidRPr="00EE4D0D" w:rsidRDefault="00400FAB" w:rsidP="00EA66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610" w:right="-115" w:hanging="18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Pain not localizing to the hip</w:t>
            </w:r>
            <w:r w:rsidR="00DB74A8" w:rsidRPr="00EE4D0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†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, or out of proportion due to psychosocial issue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59D2" w14:textId="4BA2D1A5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0FC3AE" w14:textId="775198A3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4D29D63" w14:textId="59FDCDB0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60</w:t>
            </w:r>
          </w:p>
        </w:tc>
      </w:tr>
      <w:tr w:rsidR="00935FD5" w:rsidRPr="00EE4D0D" w14:paraId="1F8CE99F" w14:textId="77777777" w:rsidTr="00C404C4">
        <w:trPr>
          <w:trHeight w:val="70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1BA6" w14:textId="6A4B74B9" w:rsidR="00400FAB" w:rsidRPr="00EE4D0D" w:rsidRDefault="00400FAB" w:rsidP="00EA66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610" w:right="-115" w:hanging="18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Obesity to where access cannot be obtained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*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864D" w14:textId="40517C83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87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51E708" w14:textId="36F4203C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C18D414" w14:textId="4E858160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47</w:t>
            </w:r>
          </w:p>
        </w:tc>
      </w:tr>
      <w:tr w:rsidR="00935FD5" w:rsidRPr="00EE4D0D" w14:paraId="19F1EA00" w14:textId="77777777" w:rsidTr="00C404C4">
        <w:trPr>
          <w:trHeight w:val="70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F28A" w14:textId="2DA21079" w:rsidR="00400FAB" w:rsidRPr="00EE4D0D" w:rsidRDefault="00400FAB" w:rsidP="00EA66C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610" w:right="-115" w:hanging="18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Broken Shenton’s line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*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6AC8" w14:textId="112271B4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D03B8B" w14:textId="6FCE35CC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8928E0" w14:textId="54F2CA05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60</w:t>
            </w:r>
          </w:p>
        </w:tc>
      </w:tr>
      <w:tr w:rsidR="00935FD5" w:rsidRPr="00EE4D0D" w14:paraId="7F4866E3" w14:textId="77777777" w:rsidTr="00C404C4">
        <w:trPr>
          <w:trHeight w:val="70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186D" w14:textId="4EFF22FA" w:rsidR="00400FAB" w:rsidRPr="00EE4D0D" w:rsidRDefault="00400FAB" w:rsidP="00E627B0">
            <w:pPr>
              <w:ind w:left="430" w:right="-115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* Hypermobility (</w:t>
            </w:r>
            <w:proofErr w:type="spellStart"/>
            <w:r w:rsidRPr="00EE4D0D">
              <w:rPr>
                <w:color w:val="000000" w:themeColor="text1"/>
                <w:sz w:val="18"/>
              </w:rPr>
              <w:t>Beighton</w:t>
            </w:r>
            <w:proofErr w:type="spellEnd"/>
            <w:r w:rsidRPr="00EE4D0D">
              <w:rPr>
                <w:color w:val="000000" w:themeColor="text1"/>
                <w:sz w:val="18"/>
              </w:rPr>
              <w:t xml:space="preserve"> hypermobility score ≥5)</w:t>
            </w:r>
            <w:r w:rsidR="00E627B0" w:rsidRPr="00EE4D0D">
              <w:rPr>
                <w:color w:val="000000" w:themeColor="text1"/>
                <w:sz w:val="18"/>
              </w:rPr>
              <w:t xml:space="preserve"> and </w:t>
            </w:r>
            <w:r w:rsidR="001124E5" w:rsidRPr="00EE4D0D">
              <w:rPr>
                <w:color w:val="000000" w:themeColor="text1"/>
                <w:sz w:val="18"/>
              </w:rPr>
              <w:t>[</w:t>
            </w:r>
            <w:r w:rsidR="00E627B0" w:rsidRPr="00EE4D0D">
              <w:rPr>
                <w:color w:val="000000" w:themeColor="text1"/>
                <w:sz w:val="18"/>
              </w:rPr>
              <w:t>skeletal immaturity</w:t>
            </w:r>
            <w:r w:rsidR="001124E5" w:rsidRPr="00EE4D0D">
              <w:rPr>
                <w:color w:val="000000" w:themeColor="text1"/>
                <w:sz w:val="18"/>
              </w:rPr>
              <w:t>]</w:t>
            </w:r>
            <w:r w:rsidR="00E627B0" w:rsidRPr="00EE4D0D">
              <w:rPr>
                <w:color w:val="000000" w:themeColor="text1"/>
                <w:sz w:val="18"/>
              </w:rPr>
              <w:t xml:space="preserve"> are</w:t>
            </w:r>
            <w:r w:rsidRPr="00EE4D0D">
              <w:rPr>
                <w:color w:val="000000" w:themeColor="text1"/>
                <w:sz w:val="18"/>
              </w:rPr>
              <w:t xml:space="preserve"> </w:t>
            </w:r>
            <w:r w:rsidRPr="00EE4D0D">
              <w:rPr>
                <w:b/>
                <w:color w:val="000000" w:themeColor="text1"/>
                <w:sz w:val="18"/>
              </w:rPr>
              <w:t>not</w:t>
            </w:r>
            <w:r w:rsidR="00E627B0" w:rsidRPr="00EE4D0D">
              <w:rPr>
                <w:color w:val="000000" w:themeColor="text1"/>
                <w:sz w:val="18"/>
              </w:rPr>
              <w:t xml:space="preserve"> </w:t>
            </w:r>
            <w:r w:rsidRPr="00EE4D0D">
              <w:rPr>
                <w:color w:val="000000" w:themeColor="text1"/>
                <w:sz w:val="18"/>
              </w:rPr>
              <w:t>contraindication</w:t>
            </w:r>
            <w:r w:rsidR="00E627B0" w:rsidRPr="00EE4D0D">
              <w:rPr>
                <w:color w:val="000000" w:themeColor="text1"/>
                <w:sz w:val="18"/>
              </w:rPr>
              <w:t>s</w:t>
            </w:r>
            <w:r w:rsidR="00901FAE" w:rsidRPr="00EE4D0D">
              <w:rPr>
                <w:color w:val="000000" w:themeColor="text1"/>
                <w:sz w:val="18"/>
              </w:rPr>
              <w:t>†</w:t>
            </w:r>
            <w:r w:rsidRPr="00EE4D0D"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C041" w14:textId="49798428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4328FF" w14:textId="1FC6357B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53</w:t>
            </w:r>
            <w:r w:rsidR="001124E5" w:rsidRPr="00EE4D0D">
              <w:rPr>
                <w:color w:val="000000" w:themeColor="text1"/>
                <w:sz w:val="18"/>
              </w:rPr>
              <w:t>[87]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7889EFE" w14:textId="11FE6C01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47</w:t>
            </w:r>
            <w:r w:rsidR="001124E5" w:rsidRPr="00EE4D0D">
              <w:rPr>
                <w:color w:val="000000" w:themeColor="text1"/>
                <w:sz w:val="18"/>
              </w:rPr>
              <w:t>[13]</w:t>
            </w:r>
          </w:p>
        </w:tc>
      </w:tr>
      <w:tr w:rsidR="00935FD5" w:rsidRPr="00EE4D0D" w14:paraId="6AC33136" w14:textId="77777777" w:rsidTr="00C404C4">
        <w:trPr>
          <w:trHeight w:val="70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C68F" w14:textId="1B25F4A0" w:rsidR="00400FAB" w:rsidRPr="00EE4D0D" w:rsidRDefault="00400FAB" w:rsidP="00EA66C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50" w:right="-115" w:hanging="277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Guide bone resection by: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Cross" w:color="A6A6A6" w:themeColor="background1" w:themeShade="A6" w:fill="auto"/>
            <w:vAlign w:val="center"/>
          </w:tcPr>
          <w:p w14:paraId="62903D81" w14:textId="77777777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thinDiagCross" w:color="A6A6A6" w:themeColor="background1" w:themeShade="A6" w:fill="auto"/>
            <w:vAlign w:val="center"/>
          </w:tcPr>
          <w:p w14:paraId="52946AE2" w14:textId="77777777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thinDiagCross" w:color="A6A6A6" w:themeColor="background1" w:themeShade="A6" w:fill="auto"/>
            <w:vAlign w:val="center"/>
          </w:tcPr>
          <w:p w14:paraId="22D544F5" w14:textId="77777777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</w:p>
        </w:tc>
      </w:tr>
      <w:tr w:rsidR="00935FD5" w:rsidRPr="00EE4D0D" w14:paraId="24D8D790" w14:textId="77777777" w:rsidTr="00C404C4">
        <w:trPr>
          <w:trHeight w:val="70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C606" w14:textId="34E4AEFE" w:rsidR="00400FAB" w:rsidRPr="00EE4D0D" w:rsidRDefault="00400FAB" w:rsidP="00EA66C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10" w:right="-115" w:hanging="18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Plain preoperative radiographs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*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B31E" w14:textId="0D3B23F4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94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B43EB1" w14:textId="11B73189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47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D6005D" w14:textId="3BF40360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47</w:t>
            </w:r>
          </w:p>
        </w:tc>
      </w:tr>
      <w:tr w:rsidR="00935FD5" w:rsidRPr="00EE4D0D" w14:paraId="73327A78" w14:textId="77777777" w:rsidTr="00C404C4">
        <w:trPr>
          <w:trHeight w:val="70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78BE" w14:textId="538F9235" w:rsidR="00400FAB" w:rsidRPr="00EE4D0D" w:rsidRDefault="00400FAB" w:rsidP="00EA66C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10" w:right="-115" w:hanging="18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Visualization of the femoral head-neck contour &amp; re-establishing the slope/junction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*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EB29" w14:textId="30DEF606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407172" w14:textId="1B3252F8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87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4CC51B" w14:textId="74A5A671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13</w:t>
            </w:r>
          </w:p>
        </w:tc>
      </w:tr>
      <w:tr w:rsidR="00935FD5" w:rsidRPr="00EE4D0D" w14:paraId="339D49DB" w14:textId="77777777" w:rsidTr="007E5A00">
        <w:trPr>
          <w:trHeight w:val="251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137C4" w14:textId="441A1EEA" w:rsidR="00400FAB" w:rsidRPr="00EE4D0D" w:rsidRDefault="00400FAB" w:rsidP="00EA66C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10" w:right="-115" w:hanging="18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Conducting a dynamic exam assessing areas of impingement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*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42E1" w14:textId="7491085D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93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B38222" w14:textId="42B59C2B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60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B944EBB" w14:textId="4C3501E0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33</w:t>
            </w:r>
          </w:p>
        </w:tc>
      </w:tr>
      <w:tr w:rsidR="00935FD5" w:rsidRPr="00EE4D0D" w14:paraId="3DA7079B" w14:textId="77777777" w:rsidTr="00C404C4">
        <w:trPr>
          <w:trHeight w:val="70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1C05" w14:textId="40410D00" w:rsidR="00400FAB" w:rsidRPr="00EE4D0D" w:rsidRDefault="00400FAB" w:rsidP="00EA66C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10" w:right="-115" w:hanging="18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Intraoperative fluoroscopy†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ADE7" w14:textId="7AFABCDC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86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9E58B4" w14:textId="7D3BCD16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73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BDA671" w14:textId="7A37C052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13</w:t>
            </w:r>
          </w:p>
        </w:tc>
      </w:tr>
      <w:tr w:rsidR="00935FD5" w:rsidRPr="00EE4D0D" w14:paraId="60A712D9" w14:textId="77777777" w:rsidTr="00C404C4">
        <w:trPr>
          <w:trHeight w:val="101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4C53" w14:textId="19A9AA3E" w:rsidR="00400FAB" w:rsidRPr="00EE4D0D" w:rsidRDefault="00400FAB" w:rsidP="00EA66C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610" w:right="-115" w:hanging="18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Including any hard, sclerotic bone</w:t>
            </w:r>
            <w:r w:rsidR="00E806E8"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DD9A" w14:textId="62E32FCF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92216E" w14:textId="01B9CCC1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19538D" w14:textId="4FF0C5DB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87</w:t>
            </w:r>
          </w:p>
        </w:tc>
      </w:tr>
      <w:tr w:rsidR="00935FD5" w:rsidRPr="00EE4D0D" w14:paraId="29E36B35" w14:textId="77777777" w:rsidTr="00C404C4">
        <w:trPr>
          <w:trHeight w:val="70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478F" w14:textId="7D9859A1" w:rsidR="00400FAB" w:rsidRPr="00EE4D0D" w:rsidRDefault="00400FAB" w:rsidP="00EA66C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50" w:right="-115" w:hanging="277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In patients with labral tears, perform a labral repair, rather than debridement only*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078C" w14:textId="58B36E6C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E77473" w14:textId="76A005AA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73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6B63E0" w14:textId="74064231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27</w:t>
            </w:r>
          </w:p>
        </w:tc>
      </w:tr>
      <w:tr w:rsidR="00935FD5" w:rsidRPr="00EE4D0D" w14:paraId="6756452B" w14:textId="77777777" w:rsidTr="00C404C4">
        <w:trPr>
          <w:trHeight w:val="70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94E2" w14:textId="5AE1D613" w:rsidR="00400FAB" w:rsidRPr="00EE4D0D" w:rsidRDefault="00400FAB" w:rsidP="0005587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50" w:right="-115" w:hanging="277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Labral reconstruction (vs. repair) should be done in a revision surgery with a labral deficiency</w:t>
            </w:r>
            <w:r w:rsidR="00D15AEF"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7832" w14:textId="304DEE56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85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6EE4B1" w14:textId="38BD17A9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481B91" w14:textId="49416DA2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85</w:t>
            </w:r>
          </w:p>
        </w:tc>
      </w:tr>
      <w:tr w:rsidR="00935FD5" w:rsidRPr="00EE4D0D" w14:paraId="47EA8816" w14:textId="77777777" w:rsidTr="00C404C4">
        <w:trPr>
          <w:trHeight w:val="70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914B" w14:textId="08D3A9F1" w:rsidR="00400FAB" w:rsidRPr="00EE4D0D" w:rsidRDefault="00400FAB" w:rsidP="00EA66C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50" w:right="-115" w:hanging="277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Surgery for bilateral FAI should generally be </w:t>
            </w:r>
            <w:r w:rsidR="00D15AEF"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completed via a staged approach</w:t>
            </w:r>
            <w:r w:rsidR="00C06F8C"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B554" w14:textId="3EC85497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590B25" w14:textId="2661E85E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00D43AF" w14:textId="151C2AE1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87</w:t>
            </w:r>
          </w:p>
        </w:tc>
      </w:tr>
      <w:tr w:rsidR="00935FD5" w:rsidRPr="00EE4D0D" w14:paraId="78B8591D" w14:textId="77777777" w:rsidTr="00C404C4">
        <w:trPr>
          <w:trHeight w:val="70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61C6" w14:textId="33EE0F73" w:rsidR="00400FAB" w:rsidRPr="00EE4D0D" w:rsidRDefault="00400FAB" w:rsidP="008008F2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610" w:right="-115" w:hanging="18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A nonprofessional athlete or young patient is </w:t>
            </w:r>
            <w:r w:rsidRPr="00EE4D0D"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  <w:t>not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an indication for a concomitant procedure</w:t>
            </w:r>
            <w:r w:rsidR="00DB74A8"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B9C8" w14:textId="5C04C69F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87E0C3" w14:textId="3E44A14C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33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C647AB" w14:textId="69ECAAC9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47</w:t>
            </w:r>
          </w:p>
        </w:tc>
      </w:tr>
      <w:tr w:rsidR="00935FD5" w:rsidRPr="00EE4D0D" w14:paraId="5272787E" w14:textId="77777777" w:rsidTr="00C404C4">
        <w:trPr>
          <w:trHeight w:val="70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7080" w14:textId="40255855" w:rsidR="00400FAB" w:rsidRPr="00EE4D0D" w:rsidRDefault="00400FAB" w:rsidP="00390F13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50" w:right="-115" w:hanging="367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Perform capsular plication in ligamentous laxity (</w:t>
            </w:r>
            <w:proofErr w:type="spellStart"/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Beighton</w:t>
            </w:r>
            <w:proofErr w:type="spellEnd"/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Score ≥5, Ehlers–</w:t>
            </w:r>
            <w:proofErr w:type="gramStart"/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Danlos)*</w:t>
            </w:r>
            <w:proofErr w:type="gramEnd"/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D9FC" w14:textId="3D720F0B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E75935" w14:textId="4A55DFA6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47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563D17" w14:textId="5B71BE31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33</w:t>
            </w:r>
          </w:p>
        </w:tc>
      </w:tr>
      <w:tr w:rsidR="00935FD5" w:rsidRPr="00EE4D0D" w14:paraId="57F00F9C" w14:textId="77777777" w:rsidTr="00C404C4">
        <w:trPr>
          <w:trHeight w:val="70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C8A4" w14:textId="68BAE48A" w:rsidR="00400FAB" w:rsidRPr="00EE4D0D" w:rsidRDefault="00400FAB" w:rsidP="00EA66C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50" w:right="-115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Perform capsular plication</w:t>
            </w:r>
            <w:r w:rsidR="00853E74"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during hip arthroscopy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in the setting of a patient with borderline dysplasia*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F832" w14:textId="5BB7FBE7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396DFB" w14:textId="7A3B2A64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3D0B88" w14:textId="4AD63829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40</w:t>
            </w:r>
          </w:p>
        </w:tc>
      </w:tr>
      <w:tr w:rsidR="00935FD5" w:rsidRPr="00EE4D0D" w14:paraId="0AF2AC2E" w14:textId="77777777" w:rsidTr="00C404C4">
        <w:trPr>
          <w:trHeight w:val="70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4B26" w14:textId="464638CA" w:rsidR="00400FAB" w:rsidRPr="00EE4D0D" w:rsidRDefault="00400FAB" w:rsidP="00EA66C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50" w:right="-115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Address both femoral and acetabular pathology in combined lesions†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AE51" w14:textId="3C47AC27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94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4C5E7F" w14:textId="17356439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67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FD21EC2" w14:textId="7652A4B0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27</w:t>
            </w:r>
          </w:p>
        </w:tc>
      </w:tr>
      <w:tr w:rsidR="00935FD5" w:rsidRPr="00EE4D0D" w14:paraId="37B29D44" w14:textId="77777777" w:rsidTr="00C404C4">
        <w:trPr>
          <w:trHeight w:val="101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A89AF0C" w14:textId="5097C6AF" w:rsidR="00400FAB" w:rsidRPr="00EE4D0D" w:rsidRDefault="00400FAB" w:rsidP="00EA66CF">
            <w:pPr>
              <w:ind w:left="-23"/>
              <w:rPr>
                <w:b/>
                <w:i/>
                <w:color w:val="000000" w:themeColor="text1"/>
                <w:sz w:val="20"/>
              </w:rPr>
            </w:pPr>
            <w:r w:rsidRPr="00EE4D0D">
              <w:rPr>
                <w:b/>
                <w:i/>
                <w:color w:val="000000" w:themeColor="text1"/>
                <w:sz w:val="20"/>
              </w:rPr>
              <w:t>Postoperative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F0D1FF2" w14:textId="77777777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58F76C9" w14:textId="77777777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CCB7C4" w14:textId="77777777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20"/>
              </w:rPr>
            </w:pPr>
          </w:p>
        </w:tc>
      </w:tr>
      <w:tr w:rsidR="00935FD5" w:rsidRPr="00EE4D0D" w14:paraId="6359FE7C" w14:textId="77777777" w:rsidTr="00C404C4">
        <w:trPr>
          <w:trHeight w:val="101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20ED" w14:textId="7D9D9867" w:rsidR="00400FAB" w:rsidRPr="00EE4D0D" w:rsidRDefault="00400FAB" w:rsidP="00EA66C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50" w:right="-115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Do not recommend non-weight bearing at any time post-op†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F11F" w14:textId="24A428D7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87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4227F9" w14:textId="72F8B798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0046316" w14:textId="3231A71F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47</w:t>
            </w:r>
          </w:p>
        </w:tc>
      </w:tr>
      <w:tr w:rsidR="00935FD5" w:rsidRPr="00EE4D0D" w14:paraId="28F33917" w14:textId="77777777" w:rsidTr="00C404C4">
        <w:trPr>
          <w:trHeight w:val="70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BD6E" w14:textId="4031D7F1" w:rsidR="00400FAB" w:rsidRPr="00EE4D0D" w:rsidRDefault="00400FAB" w:rsidP="00EA66C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50" w:right="-115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Foot-flat weight bearing should be recommended immediately postop to week 1†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EB65" w14:textId="3BDCB71E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94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BD8C3E" w14:textId="01352B33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47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F2AD325" w14:textId="6FC6E218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47</w:t>
            </w:r>
          </w:p>
        </w:tc>
      </w:tr>
      <w:tr w:rsidR="00935FD5" w:rsidRPr="00EE4D0D" w14:paraId="2C24A1DA" w14:textId="77777777" w:rsidTr="00C404C4">
        <w:trPr>
          <w:trHeight w:val="70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A75A" w14:textId="2DAD2723" w:rsidR="00400FAB" w:rsidRPr="00EE4D0D" w:rsidRDefault="00400FAB" w:rsidP="003C01D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50" w:right="-115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Acetaminophen/Hydrocodone can be prescribed for 1-2 tables q4-6 hours for the first 2-3 days†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29B3" w14:textId="290F91D5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86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3F7134" w14:textId="555A6A6D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3E67BB5" w14:textId="08B1B8F8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73</w:t>
            </w:r>
          </w:p>
        </w:tc>
      </w:tr>
      <w:tr w:rsidR="00935FD5" w:rsidRPr="00EE4D0D" w14:paraId="49A8E051" w14:textId="77777777" w:rsidTr="00C404C4">
        <w:trPr>
          <w:trHeight w:val="70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6238" w14:textId="1839313F" w:rsidR="00400FAB" w:rsidRPr="00EE4D0D" w:rsidRDefault="00400FAB" w:rsidP="00EA66C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50" w:right="-115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Recommend postoperative rehabilitation to ALL patients following arthroscopy*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C7DA" w14:textId="48BF7D52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41B0F1" w14:textId="47F39C6C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87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52DD09E" w14:textId="67C4C448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13</w:t>
            </w:r>
          </w:p>
        </w:tc>
      </w:tr>
      <w:tr w:rsidR="00935FD5" w:rsidRPr="00EE4D0D" w14:paraId="2CF65FBC" w14:textId="77777777" w:rsidTr="00C404C4">
        <w:trPr>
          <w:trHeight w:val="70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792E" w14:textId="45CC01E7" w:rsidR="00400FAB" w:rsidRPr="00EE4D0D" w:rsidRDefault="00400FAB" w:rsidP="00EA66C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50" w:right="-115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Postoperative rehabilitation should include a standard minimum duration of 3 months†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C336" w14:textId="75379BFC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87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F0BEDE" w14:textId="17F8ABA3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27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D712BB" w14:textId="39DD4CF4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60</w:t>
            </w:r>
          </w:p>
        </w:tc>
      </w:tr>
      <w:tr w:rsidR="00935FD5" w:rsidRPr="00EE4D0D" w14:paraId="3BA8BC25" w14:textId="77777777" w:rsidTr="00C404C4">
        <w:trPr>
          <w:trHeight w:val="70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73EF" w14:textId="2AF4819F" w:rsidR="00400FAB" w:rsidRPr="00EE4D0D" w:rsidRDefault="00400FAB" w:rsidP="00EA66C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50" w:right="-115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Include the following rehab phases, or a variation thereof: (1) maximum protection and mobility, (2) controlled stability, (3) strengthening, and (4) return to sports†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59FD" w14:textId="716813A5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E0014C" w14:textId="21A909C3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9EAEE8" w14:textId="6CE84924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60</w:t>
            </w:r>
          </w:p>
        </w:tc>
      </w:tr>
      <w:tr w:rsidR="00935FD5" w:rsidRPr="00EE4D0D" w14:paraId="20AD77A5" w14:textId="77777777" w:rsidTr="00C404C4">
        <w:trPr>
          <w:trHeight w:val="70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A451" w14:textId="21359494" w:rsidR="00400FAB" w:rsidRPr="00EE4D0D" w:rsidRDefault="00400FAB" w:rsidP="00597E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50" w:right="-115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Recommend hip bracing to patients with Ehlers-Danlos syndrome for a minimum of 3 weeks†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9F33" w14:textId="19D7EB18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5A5753" w14:textId="0B62B025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D4BEED" w14:textId="640C264C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67</w:t>
            </w:r>
          </w:p>
        </w:tc>
      </w:tr>
      <w:tr w:rsidR="00935FD5" w:rsidRPr="00EE4D0D" w14:paraId="679B61E1" w14:textId="77777777" w:rsidTr="00C404C4">
        <w:trPr>
          <w:trHeight w:val="70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9FC5" w14:textId="346D5544" w:rsidR="00400FAB" w:rsidRPr="00EE4D0D" w:rsidRDefault="00400FAB" w:rsidP="00EA66C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610" w:right="-115" w:hanging="18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Bracing should be removed during rehab activities</w:t>
            </w:r>
            <w:r w:rsidR="00B055BB"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08A2" w14:textId="1D79AB4A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  <w:szCs w:val="20"/>
              </w:rPr>
            </w:pPr>
            <w:r w:rsidRPr="00EE4D0D">
              <w:rPr>
                <w:color w:val="000000" w:themeColor="text1"/>
                <w:sz w:val="18"/>
                <w:szCs w:val="20"/>
              </w:rPr>
              <w:t>87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B7EDF1" w14:textId="11D334B2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  <w:szCs w:val="20"/>
              </w:rPr>
            </w:pPr>
            <w:r w:rsidRPr="00EE4D0D">
              <w:rPr>
                <w:color w:val="000000" w:themeColor="text1"/>
                <w:sz w:val="18"/>
                <w:szCs w:val="20"/>
              </w:rPr>
              <w:t>27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300E24" w14:textId="4C55C77F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  <w:szCs w:val="20"/>
              </w:rPr>
            </w:pPr>
            <w:r w:rsidRPr="00EE4D0D">
              <w:rPr>
                <w:color w:val="000000" w:themeColor="text1"/>
                <w:sz w:val="18"/>
                <w:szCs w:val="20"/>
              </w:rPr>
              <w:t>60</w:t>
            </w:r>
          </w:p>
        </w:tc>
      </w:tr>
      <w:tr w:rsidR="00935FD5" w:rsidRPr="00EE4D0D" w14:paraId="2A5B5D61" w14:textId="77777777" w:rsidTr="00C404C4">
        <w:trPr>
          <w:trHeight w:val="70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D6AB" w14:textId="616CF295" w:rsidR="00400FAB" w:rsidRPr="00EE4D0D" w:rsidRDefault="00400FAB" w:rsidP="00EA66C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610" w:right="-115" w:hanging="18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Bracing should be removed during showering</w:t>
            </w:r>
            <w:r w:rsidR="00B055BB"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64778" w14:textId="1B5CE299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  <w:szCs w:val="20"/>
              </w:rPr>
            </w:pPr>
            <w:r w:rsidRPr="00EE4D0D">
              <w:rPr>
                <w:color w:val="000000" w:themeColor="text1"/>
                <w:sz w:val="18"/>
                <w:szCs w:val="20"/>
              </w:rPr>
              <w:t>87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D0AF44" w14:textId="463FDF0D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  <w:szCs w:val="20"/>
              </w:rPr>
            </w:pPr>
            <w:r w:rsidRPr="00EE4D0D">
              <w:rPr>
                <w:color w:val="000000" w:themeColor="text1"/>
                <w:sz w:val="18"/>
                <w:szCs w:val="20"/>
              </w:rPr>
              <w:t>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E0BA64" w14:textId="5FACE9CE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  <w:szCs w:val="20"/>
              </w:rPr>
            </w:pPr>
            <w:r w:rsidRPr="00EE4D0D">
              <w:rPr>
                <w:color w:val="000000" w:themeColor="text1"/>
                <w:sz w:val="18"/>
                <w:szCs w:val="20"/>
              </w:rPr>
              <w:t>47</w:t>
            </w:r>
          </w:p>
        </w:tc>
      </w:tr>
      <w:tr w:rsidR="00935FD5" w:rsidRPr="00EE4D0D" w14:paraId="6635978B" w14:textId="77777777" w:rsidTr="00C404C4">
        <w:trPr>
          <w:trHeight w:val="70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CA31" w14:textId="151E1DC6" w:rsidR="00400FAB" w:rsidRPr="00EE4D0D" w:rsidRDefault="00400FAB" w:rsidP="0005587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50" w:right="-115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In postop bracing, recommend abduction brace at 10° abduction with flexion-extension 0-90†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A553" w14:textId="6B636F8B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93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2C2DCE" w14:textId="60BB0767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AE60AB4" w14:textId="0217E771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80</w:t>
            </w:r>
          </w:p>
        </w:tc>
      </w:tr>
      <w:tr w:rsidR="00935FD5" w:rsidRPr="00EE4D0D" w14:paraId="4FEB29EB" w14:textId="77777777" w:rsidTr="00C404C4">
        <w:trPr>
          <w:trHeight w:val="70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8092" w14:textId="797C28F9" w:rsidR="00400FAB" w:rsidRPr="00EE4D0D" w:rsidRDefault="00400FAB" w:rsidP="00390F13">
            <w:pPr>
              <w:pStyle w:val="ListParagraph"/>
              <w:numPr>
                <w:ilvl w:val="1"/>
                <w:numId w:val="15"/>
              </w:numPr>
              <w:spacing w:after="0" w:line="240" w:lineRule="auto"/>
              <w:ind w:left="610" w:right="-115" w:hanging="180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In postop bracing, an abduction pillow during sleep is not recommended</w:t>
            </w:r>
            <w:r w:rsidR="00DB74A8"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2333" w14:textId="06D2569A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80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684448" w14:textId="5126BC47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102F15" w14:textId="5611E02F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73</w:t>
            </w:r>
          </w:p>
        </w:tc>
      </w:tr>
      <w:tr w:rsidR="00935FD5" w:rsidRPr="00EE4D0D" w14:paraId="60DEF047" w14:textId="77777777" w:rsidTr="00C404C4">
        <w:trPr>
          <w:trHeight w:val="70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E53D" w14:textId="1C4543B6" w:rsidR="00400FAB" w:rsidRPr="00EE4D0D" w:rsidRDefault="00400FAB" w:rsidP="00EA66C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50" w:right="-115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Recommend crutches to patients undergoing labral repairs and/or capsular plication*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20D7" w14:textId="1EF2DC42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100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C89D1D" w14:textId="2364D4BA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67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404689" w14:textId="6E41B012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33</w:t>
            </w:r>
          </w:p>
        </w:tc>
      </w:tr>
      <w:tr w:rsidR="00935FD5" w:rsidRPr="00EE4D0D" w14:paraId="4706E8F9" w14:textId="77777777" w:rsidTr="00C404C4">
        <w:trPr>
          <w:trHeight w:val="188"/>
        </w:trPr>
        <w:tc>
          <w:tcPr>
            <w:tcW w:w="8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94BB" w14:textId="387C07BD" w:rsidR="00400FAB" w:rsidRPr="00EE4D0D" w:rsidRDefault="00400FAB" w:rsidP="00EA66C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50" w:right="-115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Permit return to full activity or competitive sports at </w:t>
            </w:r>
            <w:r w:rsidR="00752967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a minimum of 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18"/>
              </w:rPr>
              <w:t>4 months postop</w:t>
            </w:r>
            <w:r w:rsidRPr="00EE4D0D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*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9BD5" w14:textId="65F8A58B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94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DA0250" w14:textId="34FF70BE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47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9778ED" w14:textId="21AA28C8" w:rsidR="00400FAB" w:rsidRPr="00EE4D0D" w:rsidRDefault="00400FAB" w:rsidP="00EA66CF">
            <w:pPr>
              <w:ind w:left="-23"/>
              <w:jc w:val="center"/>
              <w:rPr>
                <w:color w:val="000000" w:themeColor="text1"/>
                <w:sz w:val="18"/>
              </w:rPr>
            </w:pPr>
            <w:r w:rsidRPr="00EE4D0D">
              <w:rPr>
                <w:color w:val="000000" w:themeColor="text1"/>
                <w:sz w:val="18"/>
              </w:rPr>
              <w:t>47</w:t>
            </w:r>
          </w:p>
        </w:tc>
      </w:tr>
    </w:tbl>
    <w:p w14:paraId="1C0388C9" w14:textId="77777777" w:rsidR="00C404C4" w:rsidRPr="00B2474B" w:rsidRDefault="00C404C4" w:rsidP="00C404C4">
      <w:pPr>
        <w:spacing w:line="180" w:lineRule="exact"/>
        <w:ind w:left="-270"/>
        <w:rPr>
          <w:color w:val="000000" w:themeColor="text1"/>
          <w:sz w:val="16"/>
          <w:szCs w:val="16"/>
        </w:rPr>
      </w:pPr>
      <w:r w:rsidRPr="00B2474B">
        <w:rPr>
          <w:b/>
          <w:color w:val="000000" w:themeColor="text1"/>
          <w:sz w:val="16"/>
          <w:szCs w:val="16"/>
        </w:rPr>
        <w:t xml:space="preserve">* </w:t>
      </w:r>
      <w:r w:rsidRPr="00B2474B">
        <w:rPr>
          <w:color w:val="000000" w:themeColor="text1"/>
          <w:sz w:val="16"/>
          <w:szCs w:val="16"/>
        </w:rPr>
        <w:t>These interventions reached consensus after the first round of voting</w:t>
      </w:r>
    </w:p>
    <w:p w14:paraId="2A4B26CB" w14:textId="5F1B5720" w:rsidR="00290888" w:rsidRPr="00E721BA" w:rsidRDefault="00C404C4" w:rsidP="00C92C09">
      <w:pPr>
        <w:spacing w:line="180" w:lineRule="exact"/>
        <w:ind w:left="-270"/>
        <w:rPr>
          <w:color w:val="000000" w:themeColor="text1"/>
        </w:rPr>
      </w:pPr>
      <w:r w:rsidRPr="00B2474B">
        <w:rPr>
          <w:color w:val="000000" w:themeColor="text1"/>
          <w:sz w:val="16"/>
          <w:szCs w:val="16"/>
        </w:rPr>
        <w:t xml:space="preserve">† These interventions reached consensus during subsequent Delphi </w:t>
      </w:r>
      <w:r w:rsidR="00C92C09">
        <w:rPr>
          <w:color w:val="000000" w:themeColor="text1"/>
          <w:sz w:val="16"/>
          <w:szCs w:val="16"/>
        </w:rPr>
        <w:t>rounds</w:t>
      </w:r>
    </w:p>
    <w:sectPr w:rsidR="00290888" w:rsidRPr="00E721BA" w:rsidSect="00C92C09">
      <w:pgSz w:w="12240" w:h="15840"/>
      <w:pgMar w:top="720" w:right="72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AF77E" w14:textId="77777777" w:rsidR="00B8005C" w:rsidRDefault="00B8005C" w:rsidP="00880B8E">
      <w:r>
        <w:separator/>
      </w:r>
    </w:p>
  </w:endnote>
  <w:endnote w:type="continuationSeparator" w:id="0">
    <w:p w14:paraId="34FD96FF" w14:textId="77777777" w:rsidR="00B8005C" w:rsidRDefault="00B8005C" w:rsidP="0088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FBE3D" w14:textId="77777777" w:rsidR="00B8005C" w:rsidRDefault="00B8005C" w:rsidP="00880B8E">
      <w:r>
        <w:separator/>
      </w:r>
    </w:p>
  </w:footnote>
  <w:footnote w:type="continuationSeparator" w:id="0">
    <w:p w14:paraId="1B17EE9D" w14:textId="77777777" w:rsidR="00B8005C" w:rsidRDefault="00B8005C" w:rsidP="00880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A0175" w14:textId="5F525357" w:rsidR="001031C0" w:rsidRPr="001D785C" w:rsidRDefault="001031C0" w:rsidP="00AA33D1">
    <w:pPr>
      <w:pStyle w:val="Header"/>
      <w:jc w:val="center"/>
      <w:rPr>
        <w:rFonts w:ascii="Times New Roman" w:hAnsi="Times New Roman" w:cs="Times New Roman"/>
        <w:sz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E23C7" w14:textId="0C914B4F" w:rsidR="001031C0" w:rsidRPr="007B5998" w:rsidRDefault="001031C0" w:rsidP="001D2E47">
    <w:pPr>
      <w:pStyle w:val="Header"/>
      <w:jc w:val="center"/>
      <w:rPr>
        <w:rFonts w:ascii="Times New Roman" w:hAnsi="Times New Roman" w:cs="Times New Roman"/>
        <w:i/>
      </w:rPr>
    </w:pPr>
    <w:r w:rsidRPr="007B5998">
      <w:rPr>
        <w:rFonts w:ascii="Times New Roman" w:hAnsi="Times New Roman" w:cs="Times New Roman"/>
        <w:i/>
      </w:rPr>
      <w:t>Best Practice Guidelines for Hip Arthroscopy in FAI: Results of a Delphi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7548"/>
    <w:multiLevelType w:val="hybridMultilevel"/>
    <w:tmpl w:val="EB245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310C"/>
    <w:multiLevelType w:val="hybridMultilevel"/>
    <w:tmpl w:val="71461D4A"/>
    <w:lvl w:ilvl="0" w:tplc="04090019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07E042DF"/>
    <w:multiLevelType w:val="hybridMultilevel"/>
    <w:tmpl w:val="0638EC0A"/>
    <w:lvl w:ilvl="0" w:tplc="A344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507F90"/>
    <w:multiLevelType w:val="hybridMultilevel"/>
    <w:tmpl w:val="3DAE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75C43"/>
    <w:multiLevelType w:val="hybridMultilevel"/>
    <w:tmpl w:val="96AEF512"/>
    <w:lvl w:ilvl="0" w:tplc="2B525944">
      <w:start w:val="9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F4903"/>
    <w:multiLevelType w:val="hybridMultilevel"/>
    <w:tmpl w:val="8BEA3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E0EC5"/>
    <w:multiLevelType w:val="hybridMultilevel"/>
    <w:tmpl w:val="71461D4A"/>
    <w:lvl w:ilvl="0" w:tplc="04090019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7" w15:restartNumberingAfterBreak="0">
    <w:nsid w:val="25BE3319"/>
    <w:multiLevelType w:val="hybridMultilevel"/>
    <w:tmpl w:val="439042DC"/>
    <w:lvl w:ilvl="0" w:tplc="726890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34BD6"/>
    <w:multiLevelType w:val="hybridMultilevel"/>
    <w:tmpl w:val="7BFCD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B525944">
      <w:start w:val="91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F724C"/>
    <w:multiLevelType w:val="hybridMultilevel"/>
    <w:tmpl w:val="28547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666A5"/>
    <w:multiLevelType w:val="hybridMultilevel"/>
    <w:tmpl w:val="0638EC0A"/>
    <w:lvl w:ilvl="0" w:tplc="A344D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DB1674"/>
    <w:multiLevelType w:val="hybridMultilevel"/>
    <w:tmpl w:val="71461D4A"/>
    <w:lvl w:ilvl="0" w:tplc="04090019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 w15:restartNumberingAfterBreak="0">
    <w:nsid w:val="363F4CE5"/>
    <w:multiLevelType w:val="hybridMultilevel"/>
    <w:tmpl w:val="9F5892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7F58AD"/>
    <w:multiLevelType w:val="hybridMultilevel"/>
    <w:tmpl w:val="0EEA6542"/>
    <w:lvl w:ilvl="0" w:tplc="2B525944">
      <w:start w:val="9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040432"/>
    <w:multiLevelType w:val="hybridMultilevel"/>
    <w:tmpl w:val="2556B2A8"/>
    <w:lvl w:ilvl="0" w:tplc="04090017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5" w15:restartNumberingAfterBreak="0">
    <w:nsid w:val="4453782E"/>
    <w:multiLevelType w:val="hybridMultilevel"/>
    <w:tmpl w:val="8DA8DF74"/>
    <w:lvl w:ilvl="0" w:tplc="67049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53F04"/>
    <w:multiLevelType w:val="hybridMultilevel"/>
    <w:tmpl w:val="71461D4A"/>
    <w:lvl w:ilvl="0" w:tplc="04090019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4AC0694C"/>
    <w:multiLevelType w:val="hybridMultilevel"/>
    <w:tmpl w:val="CB18E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34A5C"/>
    <w:multiLevelType w:val="hybridMultilevel"/>
    <w:tmpl w:val="65503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7571D"/>
    <w:multiLevelType w:val="hybridMultilevel"/>
    <w:tmpl w:val="850E1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9B11B9"/>
    <w:multiLevelType w:val="hybridMultilevel"/>
    <w:tmpl w:val="71461D4A"/>
    <w:lvl w:ilvl="0" w:tplc="04090019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1" w15:restartNumberingAfterBreak="0">
    <w:nsid w:val="510D2F7E"/>
    <w:multiLevelType w:val="hybridMultilevel"/>
    <w:tmpl w:val="7DF812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82618"/>
    <w:multiLevelType w:val="hybridMultilevel"/>
    <w:tmpl w:val="71461D4A"/>
    <w:lvl w:ilvl="0" w:tplc="04090019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3" w15:restartNumberingAfterBreak="0">
    <w:nsid w:val="57CD24A8"/>
    <w:multiLevelType w:val="hybridMultilevel"/>
    <w:tmpl w:val="CFBCF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ED0B3C"/>
    <w:multiLevelType w:val="hybridMultilevel"/>
    <w:tmpl w:val="7C1A8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C1DFD"/>
    <w:multiLevelType w:val="hybridMultilevel"/>
    <w:tmpl w:val="602AA46C"/>
    <w:lvl w:ilvl="0" w:tplc="2B525944">
      <w:start w:val="91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264C7"/>
    <w:multiLevelType w:val="hybridMultilevel"/>
    <w:tmpl w:val="C874B31C"/>
    <w:lvl w:ilvl="0" w:tplc="860C166E">
      <w:start w:val="395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66308"/>
    <w:multiLevelType w:val="hybridMultilevel"/>
    <w:tmpl w:val="EB245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A47FF"/>
    <w:multiLevelType w:val="hybridMultilevel"/>
    <w:tmpl w:val="71461D4A"/>
    <w:lvl w:ilvl="0" w:tplc="04090019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9" w15:restartNumberingAfterBreak="0">
    <w:nsid w:val="72F14C6A"/>
    <w:multiLevelType w:val="hybridMultilevel"/>
    <w:tmpl w:val="957C2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F5FAE"/>
    <w:multiLevelType w:val="hybridMultilevel"/>
    <w:tmpl w:val="2556B2A8"/>
    <w:lvl w:ilvl="0" w:tplc="04090017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1" w15:restartNumberingAfterBreak="0">
    <w:nsid w:val="77111604"/>
    <w:multiLevelType w:val="hybridMultilevel"/>
    <w:tmpl w:val="71461D4A"/>
    <w:lvl w:ilvl="0" w:tplc="04090019">
      <w:start w:val="1"/>
      <w:numFmt w:val="lowerLetter"/>
      <w:lvlText w:val="%1."/>
      <w:lvlJc w:val="left"/>
      <w:pPr>
        <w:ind w:left="7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2" w15:restartNumberingAfterBreak="0">
    <w:nsid w:val="776E191C"/>
    <w:multiLevelType w:val="hybridMultilevel"/>
    <w:tmpl w:val="EB245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C2392"/>
    <w:multiLevelType w:val="hybridMultilevel"/>
    <w:tmpl w:val="89305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C71FFF"/>
    <w:multiLevelType w:val="hybridMultilevel"/>
    <w:tmpl w:val="7C1A8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0427A9"/>
    <w:multiLevelType w:val="hybridMultilevel"/>
    <w:tmpl w:val="557E3F4C"/>
    <w:lvl w:ilvl="0" w:tplc="2FDC5C7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9A187A">
      <w:start w:val="57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3F7E222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85D2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703A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2286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343E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94D4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9780D"/>
    <w:multiLevelType w:val="hybridMultilevel"/>
    <w:tmpl w:val="9F58929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35"/>
  </w:num>
  <w:num w:numId="7">
    <w:abstractNumId w:val="13"/>
  </w:num>
  <w:num w:numId="8">
    <w:abstractNumId w:val="26"/>
  </w:num>
  <w:num w:numId="9">
    <w:abstractNumId w:val="4"/>
  </w:num>
  <w:num w:numId="10">
    <w:abstractNumId w:val="25"/>
  </w:num>
  <w:num w:numId="11">
    <w:abstractNumId w:val="3"/>
  </w:num>
  <w:num w:numId="12">
    <w:abstractNumId w:val="15"/>
  </w:num>
  <w:num w:numId="13">
    <w:abstractNumId w:val="27"/>
  </w:num>
  <w:num w:numId="14">
    <w:abstractNumId w:val="14"/>
  </w:num>
  <w:num w:numId="15">
    <w:abstractNumId w:val="34"/>
  </w:num>
  <w:num w:numId="16">
    <w:abstractNumId w:val="30"/>
  </w:num>
  <w:num w:numId="17">
    <w:abstractNumId w:val="16"/>
  </w:num>
  <w:num w:numId="18">
    <w:abstractNumId w:val="31"/>
  </w:num>
  <w:num w:numId="19">
    <w:abstractNumId w:val="28"/>
  </w:num>
  <w:num w:numId="20">
    <w:abstractNumId w:val="11"/>
  </w:num>
  <w:num w:numId="21">
    <w:abstractNumId w:val="20"/>
  </w:num>
  <w:num w:numId="22">
    <w:abstractNumId w:val="22"/>
  </w:num>
  <w:num w:numId="23">
    <w:abstractNumId w:val="1"/>
  </w:num>
  <w:num w:numId="24">
    <w:abstractNumId w:val="6"/>
  </w:num>
  <w:num w:numId="25">
    <w:abstractNumId w:val="21"/>
  </w:num>
  <w:num w:numId="26">
    <w:abstractNumId w:val="29"/>
  </w:num>
  <w:num w:numId="27">
    <w:abstractNumId w:val="18"/>
  </w:num>
  <w:num w:numId="28">
    <w:abstractNumId w:val="32"/>
  </w:num>
  <w:num w:numId="29">
    <w:abstractNumId w:val="5"/>
  </w:num>
  <w:num w:numId="30">
    <w:abstractNumId w:val="17"/>
  </w:num>
  <w:num w:numId="31">
    <w:abstractNumId w:val="36"/>
  </w:num>
  <w:num w:numId="32">
    <w:abstractNumId w:val="12"/>
  </w:num>
  <w:num w:numId="33">
    <w:abstractNumId w:val="33"/>
  </w:num>
  <w:num w:numId="34">
    <w:abstractNumId w:val="23"/>
  </w:num>
  <w:num w:numId="35">
    <w:abstractNumId w:val="7"/>
  </w:num>
  <w:num w:numId="36">
    <w:abstractNumId w:val="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93"/>
    <w:rsid w:val="000000AC"/>
    <w:rsid w:val="0000248A"/>
    <w:rsid w:val="00002500"/>
    <w:rsid w:val="00002B55"/>
    <w:rsid w:val="0000332E"/>
    <w:rsid w:val="00005113"/>
    <w:rsid w:val="000058A5"/>
    <w:rsid w:val="00007705"/>
    <w:rsid w:val="00012F2F"/>
    <w:rsid w:val="000136E6"/>
    <w:rsid w:val="00015784"/>
    <w:rsid w:val="0002031A"/>
    <w:rsid w:val="0002397F"/>
    <w:rsid w:val="00023DBB"/>
    <w:rsid w:val="0002489F"/>
    <w:rsid w:val="00024E5E"/>
    <w:rsid w:val="00024F24"/>
    <w:rsid w:val="000304EF"/>
    <w:rsid w:val="00032484"/>
    <w:rsid w:val="000338BE"/>
    <w:rsid w:val="00036954"/>
    <w:rsid w:val="00036E57"/>
    <w:rsid w:val="00040F13"/>
    <w:rsid w:val="00041612"/>
    <w:rsid w:val="000417A6"/>
    <w:rsid w:val="00043E35"/>
    <w:rsid w:val="000441CC"/>
    <w:rsid w:val="00044C22"/>
    <w:rsid w:val="00046A8C"/>
    <w:rsid w:val="00050DE9"/>
    <w:rsid w:val="0005149D"/>
    <w:rsid w:val="00052627"/>
    <w:rsid w:val="00052EE3"/>
    <w:rsid w:val="0005528C"/>
    <w:rsid w:val="0005587B"/>
    <w:rsid w:val="00060C74"/>
    <w:rsid w:val="00064EE0"/>
    <w:rsid w:val="000673F7"/>
    <w:rsid w:val="0006789C"/>
    <w:rsid w:val="00067934"/>
    <w:rsid w:val="000702AA"/>
    <w:rsid w:val="00070B41"/>
    <w:rsid w:val="00070E67"/>
    <w:rsid w:val="0007121A"/>
    <w:rsid w:val="00080B53"/>
    <w:rsid w:val="00081C34"/>
    <w:rsid w:val="00085074"/>
    <w:rsid w:val="00085EAB"/>
    <w:rsid w:val="000877D9"/>
    <w:rsid w:val="00091525"/>
    <w:rsid w:val="00094CD1"/>
    <w:rsid w:val="000958DA"/>
    <w:rsid w:val="0009677F"/>
    <w:rsid w:val="0009738C"/>
    <w:rsid w:val="000A1A92"/>
    <w:rsid w:val="000A64F3"/>
    <w:rsid w:val="000A68D5"/>
    <w:rsid w:val="000A789E"/>
    <w:rsid w:val="000B0F05"/>
    <w:rsid w:val="000B3C4B"/>
    <w:rsid w:val="000B4E1C"/>
    <w:rsid w:val="000B5AA2"/>
    <w:rsid w:val="000B6EFC"/>
    <w:rsid w:val="000B739A"/>
    <w:rsid w:val="000C23FF"/>
    <w:rsid w:val="000C2433"/>
    <w:rsid w:val="000C46B8"/>
    <w:rsid w:val="000C52C4"/>
    <w:rsid w:val="000D105B"/>
    <w:rsid w:val="000D1463"/>
    <w:rsid w:val="000D1F6D"/>
    <w:rsid w:val="000D3791"/>
    <w:rsid w:val="000D51F0"/>
    <w:rsid w:val="000D56F7"/>
    <w:rsid w:val="000D7088"/>
    <w:rsid w:val="000E0410"/>
    <w:rsid w:val="000E0926"/>
    <w:rsid w:val="000E1799"/>
    <w:rsid w:val="000E1EE3"/>
    <w:rsid w:val="000E2A2D"/>
    <w:rsid w:val="000E4163"/>
    <w:rsid w:val="000E767A"/>
    <w:rsid w:val="000F138C"/>
    <w:rsid w:val="000F3AD6"/>
    <w:rsid w:val="000F440E"/>
    <w:rsid w:val="00100AD2"/>
    <w:rsid w:val="001010FB"/>
    <w:rsid w:val="00102BA5"/>
    <w:rsid w:val="001031C0"/>
    <w:rsid w:val="00104F7E"/>
    <w:rsid w:val="00104F89"/>
    <w:rsid w:val="00105B21"/>
    <w:rsid w:val="00105F2B"/>
    <w:rsid w:val="00106C28"/>
    <w:rsid w:val="00107F92"/>
    <w:rsid w:val="00110B7F"/>
    <w:rsid w:val="0011102B"/>
    <w:rsid w:val="001124E5"/>
    <w:rsid w:val="00114972"/>
    <w:rsid w:val="001151A2"/>
    <w:rsid w:val="0011710A"/>
    <w:rsid w:val="00121036"/>
    <w:rsid w:val="00124E70"/>
    <w:rsid w:val="0012581B"/>
    <w:rsid w:val="00125A3A"/>
    <w:rsid w:val="00126861"/>
    <w:rsid w:val="001279D1"/>
    <w:rsid w:val="00130546"/>
    <w:rsid w:val="0013122B"/>
    <w:rsid w:val="0013237C"/>
    <w:rsid w:val="00132CA1"/>
    <w:rsid w:val="001415EB"/>
    <w:rsid w:val="00142BCF"/>
    <w:rsid w:val="00144BF7"/>
    <w:rsid w:val="00145621"/>
    <w:rsid w:val="00150696"/>
    <w:rsid w:val="00154BEB"/>
    <w:rsid w:val="00154CA1"/>
    <w:rsid w:val="00155AA1"/>
    <w:rsid w:val="00156541"/>
    <w:rsid w:val="00165F62"/>
    <w:rsid w:val="00165FB1"/>
    <w:rsid w:val="00167D86"/>
    <w:rsid w:val="00170B7B"/>
    <w:rsid w:val="001711D0"/>
    <w:rsid w:val="001739CE"/>
    <w:rsid w:val="00177792"/>
    <w:rsid w:val="00180204"/>
    <w:rsid w:val="00180CA3"/>
    <w:rsid w:val="0018121D"/>
    <w:rsid w:val="0018162D"/>
    <w:rsid w:val="0018598B"/>
    <w:rsid w:val="0019046C"/>
    <w:rsid w:val="001922DE"/>
    <w:rsid w:val="00192FDE"/>
    <w:rsid w:val="00193449"/>
    <w:rsid w:val="00195641"/>
    <w:rsid w:val="001963B3"/>
    <w:rsid w:val="001A139D"/>
    <w:rsid w:val="001A1A2D"/>
    <w:rsid w:val="001A5B21"/>
    <w:rsid w:val="001A6258"/>
    <w:rsid w:val="001A7525"/>
    <w:rsid w:val="001A7989"/>
    <w:rsid w:val="001B256D"/>
    <w:rsid w:val="001B2A37"/>
    <w:rsid w:val="001B4315"/>
    <w:rsid w:val="001B4E38"/>
    <w:rsid w:val="001B5965"/>
    <w:rsid w:val="001B7346"/>
    <w:rsid w:val="001C120B"/>
    <w:rsid w:val="001C49A5"/>
    <w:rsid w:val="001C4F71"/>
    <w:rsid w:val="001C5360"/>
    <w:rsid w:val="001D2E47"/>
    <w:rsid w:val="001D365A"/>
    <w:rsid w:val="001D430F"/>
    <w:rsid w:val="001D5F80"/>
    <w:rsid w:val="001D785C"/>
    <w:rsid w:val="001E2EAC"/>
    <w:rsid w:val="001E419A"/>
    <w:rsid w:val="001E609E"/>
    <w:rsid w:val="001E6875"/>
    <w:rsid w:val="001F0093"/>
    <w:rsid w:val="001F02B4"/>
    <w:rsid w:val="00200440"/>
    <w:rsid w:val="00201D7E"/>
    <w:rsid w:val="0020609F"/>
    <w:rsid w:val="002110FD"/>
    <w:rsid w:val="00213E9A"/>
    <w:rsid w:val="00220C7B"/>
    <w:rsid w:val="00224F4B"/>
    <w:rsid w:val="00226756"/>
    <w:rsid w:val="002317BC"/>
    <w:rsid w:val="00232E6E"/>
    <w:rsid w:val="00232EFB"/>
    <w:rsid w:val="00233814"/>
    <w:rsid w:val="002342D1"/>
    <w:rsid w:val="002358A5"/>
    <w:rsid w:val="00236448"/>
    <w:rsid w:val="002371F5"/>
    <w:rsid w:val="00240D13"/>
    <w:rsid w:val="00240E1D"/>
    <w:rsid w:val="00242024"/>
    <w:rsid w:val="00242471"/>
    <w:rsid w:val="00250B33"/>
    <w:rsid w:val="00252DCA"/>
    <w:rsid w:val="00252FAC"/>
    <w:rsid w:val="0025381C"/>
    <w:rsid w:val="00253F71"/>
    <w:rsid w:val="00255192"/>
    <w:rsid w:val="002560D2"/>
    <w:rsid w:val="00261004"/>
    <w:rsid w:val="00262E84"/>
    <w:rsid w:val="002657CA"/>
    <w:rsid w:val="00271691"/>
    <w:rsid w:val="00275735"/>
    <w:rsid w:val="00277D42"/>
    <w:rsid w:val="002803C1"/>
    <w:rsid w:val="00283E54"/>
    <w:rsid w:val="00284E53"/>
    <w:rsid w:val="0028586A"/>
    <w:rsid w:val="002877D9"/>
    <w:rsid w:val="00290399"/>
    <w:rsid w:val="00290888"/>
    <w:rsid w:val="00292646"/>
    <w:rsid w:val="002939DC"/>
    <w:rsid w:val="00295491"/>
    <w:rsid w:val="00296264"/>
    <w:rsid w:val="00296841"/>
    <w:rsid w:val="00297395"/>
    <w:rsid w:val="002A13A5"/>
    <w:rsid w:val="002A16B1"/>
    <w:rsid w:val="002A4766"/>
    <w:rsid w:val="002A47EB"/>
    <w:rsid w:val="002B29BA"/>
    <w:rsid w:val="002B2B6A"/>
    <w:rsid w:val="002B43B0"/>
    <w:rsid w:val="002C3CC6"/>
    <w:rsid w:val="002C4E0C"/>
    <w:rsid w:val="002D674B"/>
    <w:rsid w:val="002D7CD1"/>
    <w:rsid w:val="002E01FD"/>
    <w:rsid w:val="002E02D2"/>
    <w:rsid w:val="002E3CBA"/>
    <w:rsid w:val="002E60B9"/>
    <w:rsid w:val="002E75C0"/>
    <w:rsid w:val="002F016A"/>
    <w:rsid w:val="002F0AD0"/>
    <w:rsid w:val="002F1134"/>
    <w:rsid w:val="002F27F6"/>
    <w:rsid w:val="002F2DD9"/>
    <w:rsid w:val="002F4D32"/>
    <w:rsid w:val="002F55AC"/>
    <w:rsid w:val="002F7607"/>
    <w:rsid w:val="00301274"/>
    <w:rsid w:val="00307E7D"/>
    <w:rsid w:val="00312FD3"/>
    <w:rsid w:val="00322930"/>
    <w:rsid w:val="00323BEE"/>
    <w:rsid w:val="00324AD9"/>
    <w:rsid w:val="00325B1F"/>
    <w:rsid w:val="003262C7"/>
    <w:rsid w:val="00333060"/>
    <w:rsid w:val="0033340E"/>
    <w:rsid w:val="0033599E"/>
    <w:rsid w:val="00342922"/>
    <w:rsid w:val="00343379"/>
    <w:rsid w:val="00343710"/>
    <w:rsid w:val="00347959"/>
    <w:rsid w:val="003509F3"/>
    <w:rsid w:val="00354D10"/>
    <w:rsid w:val="00357610"/>
    <w:rsid w:val="00362ADB"/>
    <w:rsid w:val="003644BD"/>
    <w:rsid w:val="003668FE"/>
    <w:rsid w:val="00367FB9"/>
    <w:rsid w:val="00371790"/>
    <w:rsid w:val="00373BF5"/>
    <w:rsid w:val="00374A23"/>
    <w:rsid w:val="00375914"/>
    <w:rsid w:val="00380B94"/>
    <w:rsid w:val="00381C89"/>
    <w:rsid w:val="00381C91"/>
    <w:rsid w:val="00382A83"/>
    <w:rsid w:val="00383F62"/>
    <w:rsid w:val="00385385"/>
    <w:rsid w:val="00385661"/>
    <w:rsid w:val="003856C3"/>
    <w:rsid w:val="00387D8E"/>
    <w:rsid w:val="00390D62"/>
    <w:rsid w:val="00390F13"/>
    <w:rsid w:val="00391129"/>
    <w:rsid w:val="00391A1C"/>
    <w:rsid w:val="003920BD"/>
    <w:rsid w:val="00393E1D"/>
    <w:rsid w:val="00396404"/>
    <w:rsid w:val="003A1ADE"/>
    <w:rsid w:val="003A5ED2"/>
    <w:rsid w:val="003A7134"/>
    <w:rsid w:val="003B2D40"/>
    <w:rsid w:val="003B5404"/>
    <w:rsid w:val="003B604D"/>
    <w:rsid w:val="003C01D2"/>
    <w:rsid w:val="003C0F57"/>
    <w:rsid w:val="003C2CCE"/>
    <w:rsid w:val="003D11A6"/>
    <w:rsid w:val="003D1841"/>
    <w:rsid w:val="003D1D85"/>
    <w:rsid w:val="003D3E11"/>
    <w:rsid w:val="003D6FAC"/>
    <w:rsid w:val="003E2CA4"/>
    <w:rsid w:val="003E35E3"/>
    <w:rsid w:val="003E4CA0"/>
    <w:rsid w:val="003E63E4"/>
    <w:rsid w:val="003E65E6"/>
    <w:rsid w:val="003F02E9"/>
    <w:rsid w:val="003F10EF"/>
    <w:rsid w:val="003F2B0E"/>
    <w:rsid w:val="003F6E79"/>
    <w:rsid w:val="003F6E8C"/>
    <w:rsid w:val="00400FAB"/>
    <w:rsid w:val="00401F6A"/>
    <w:rsid w:val="00403C65"/>
    <w:rsid w:val="00405EB5"/>
    <w:rsid w:val="004077CE"/>
    <w:rsid w:val="00410EEB"/>
    <w:rsid w:val="0041488E"/>
    <w:rsid w:val="0041499C"/>
    <w:rsid w:val="00415F8C"/>
    <w:rsid w:val="00417545"/>
    <w:rsid w:val="004202FC"/>
    <w:rsid w:val="00421494"/>
    <w:rsid w:val="0042231D"/>
    <w:rsid w:val="004230F1"/>
    <w:rsid w:val="004277E8"/>
    <w:rsid w:val="00435959"/>
    <w:rsid w:val="00436020"/>
    <w:rsid w:val="00436D9E"/>
    <w:rsid w:val="00436E66"/>
    <w:rsid w:val="004406CC"/>
    <w:rsid w:val="0044180A"/>
    <w:rsid w:val="004424BB"/>
    <w:rsid w:val="00443A66"/>
    <w:rsid w:val="0045289A"/>
    <w:rsid w:val="004545E6"/>
    <w:rsid w:val="004547DB"/>
    <w:rsid w:val="00454F1C"/>
    <w:rsid w:val="0045506F"/>
    <w:rsid w:val="00455F74"/>
    <w:rsid w:val="00456811"/>
    <w:rsid w:val="0045735C"/>
    <w:rsid w:val="00464BB8"/>
    <w:rsid w:val="0046779A"/>
    <w:rsid w:val="004724DA"/>
    <w:rsid w:val="00472A0D"/>
    <w:rsid w:val="004730D1"/>
    <w:rsid w:val="004742D3"/>
    <w:rsid w:val="0047485D"/>
    <w:rsid w:val="00475E04"/>
    <w:rsid w:val="00476379"/>
    <w:rsid w:val="004813CA"/>
    <w:rsid w:val="00481B2C"/>
    <w:rsid w:val="00482EEE"/>
    <w:rsid w:val="004834AA"/>
    <w:rsid w:val="004834ED"/>
    <w:rsid w:val="00484D92"/>
    <w:rsid w:val="00487213"/>
    <w:rsid w:val="004942FA"/>
    <w:rsid w:val="004950B5"/>
    <w:rsid w:val="00495582"/>
    <w:rsid w:val="0049707D"/>
    <w:rsid w:val="004978B5"/>
    <w:rsid w:val="004A04F4"/>
    <w:rsid w:val="004A104C"/>
    <w:rsid w:val="004A4337"/>
    <w:rsid w:val="004A505A"/>
    <w:rsid w:val="004A58FB"/>
    <w:rsid w:val="004A60D7"/>
    <w:rsid w:val="004A71F3"/>
    <w:rsid w:val="004B1CB7"/>
    <w:rsid w:val="004B77E9"/>
    <w:rsid w:val="004C169D"/>
    <w:rsid w:val="004C21A0"/>
    <w:rsid w:val="004C52A4"/>
    <w:rsid w:val="004C5FB6"/>
    <w:rsid w:val="004C7194"/>
    <w:rsid w:val="004D0422"/>
    <w:rsid w:val="004D0571"/>
    <w:rsid w:val="004D23FC"/>
    <w:rsid w:val="004D2E4C"/>
    <w:rsid w:val="004D3813"/>
    <w:rsid w:val="004D4BFB"/>
    <w:rsid w:val="004D50CF"/>
    <w:rsid w:val="004D65F1"/>
    <w:rsid w:val="004D6F3E"/>
    <w:rsid w:val="004E0CCB"/>
    <w:rsid w:val="004E2618"/>
    <w:rsid w:val="004E26E1"/>
    <w:rsid w:val="004E3D85"/>
    <w:rsid w:val="004E6D28"/>
    <w:rsid w:val="004E7DB0"/>
    <w:rsid w:val="004F034A"/>
    <w:rsid w:val="004F25E5"/>
    <w:rsid w:val="004F3539"/>
    <w:rsid w:val="00505232"/>
    <w:rsid w:val="00506647"/>
    <w:rsid w:val="00507946"/>
    <w:rsid w:val="00513AE1"/>
    <w:rsid w:val="00514BAF"/>
    <w:rsid w:val="00515211"/>
    <w:rsid w:val="005157C2"/>
    <w:rsid w:val="00515EC0"/>
    <w:rsid w:val="00516750"/>
    <w:rsid w:val="005173D4"/>
    <w:rsid w:val="00524B9E"/>
    <w:rsid w:val="005304EB"/>
    <w:rsid w:val="0053469C"/>
    <w:rsid w:val="00535DE5"/>
    <w:rsid w:val="00536BB8"/>
    <w:rsid w:val="0054039B"/>
    <w:rsid w:val="0054262F"/>
    <w:rsid w:val="00545183"/>
    <w:rsid w:val="0054540C"/>
    <w:rsid w:val="005467CF"/>
    <w:rsid w:val="00546B13"/>
    <w:rsid w:val="00551059"/>
    <w:rsid w:val="00551A8F"/>
    <w:rsid w:val="005576DC"/>
    <w:rsid w:val="00560D0E"/>
    <w:rsid w:val="0056141A"/>
    <w:rsid w:val="00561793"/>
    <w:rsid w:val="005624C2"/>
    <w:rsid w:val="00563046"/>
    <w:rsid w:val="005650AF"/>
    <w:rsid w:val="005661BD"/>
    <w:rsid w:val="00571076"/>
    <w:rsid w:val="00571533"/>
    <w:rsid w:val="0057379B"/>
    <w:rsid w:val="0057624F"/>
    <w:rsid w:val="005764AE"/>
    <w:rsid w:val="0058147B"/>
    <w:rsid w:val="00582365"/>
    <w:rsid w:val="00582BE8"/>
    <w:rsid w:val="00583968"/>
    <w:rsid w:val="0058420C"/>
    <w:rsid w:val="00585230"/>
    <w:rsid w:val="00590B66"/>
    <w:rsid w:val="005919FC"/>
    <w:rsid w:val="005955DF"/>
    <w:rsid w:val="00596CBA"/>
    <w:rsid w:val="00597E37"/>
    <w:rsid w:val="005A229D"/>
    <w:rsid w:val="005A4470"/>
    <w:rsid w:val="005A5070"/>
    <w:rsid w:val="005A70B9"/>
    <w:rsid w:val="005A76A7"/>
    <w:rsid w:val="005A7E40"/>
    <w:rsid w:val="005A7F71"/>
    <w:rsid w:val="005B0A81"/>
    <w:rsid w:val="005B422D"/>
    <w:rsid w:val="005B46B4"/>
    <w:rsid w:val="005B5F56"/>
    <w:rsid w:val="005B72AD"/>
    <w:rsid w:val="005C2986"/>
    <w:rsid w:val="005C3131"/>
    <w:rsid w:val="005C54EA"/>
    <w:rsid w:val="005C67FD"/>
    <w:rsid w:val="005C6AD1"/>
    <w:rsid w:val="005C7816"/>
    <w:rsid w:val="005D09C2"/>
    <w:rsid w:val="005D39B3"/>
    <w:rsid w:val="005D3CF2"/>
    <w:rsid w:val="005E027F"/>
    <w:rsid w:val="005E1F83"/>
    <w:rsid w:val="005E2BDC"/>
    <w:rsid w:val="005E38FE"/>
    <w:rsid w:val="005E4C46"/>
    <w:rsid w:val="005E4CA1"/>
    <w:rsid w:val="005E5D44"/>
    <w:rsid w:val="005E643D"/>
    <w:rsid w:val="005E6A67"/>
    <w:rsid w:val="005E758F"/>
    <w:rsid w:val="005E796E"/>
    <w:rsid w:val="005E7D94"/>
    <w:rsid w:val="005F265A"/>
    <w:rsid w:val="005F2B63"/>
    <w:rsid w:val="005F631F"/>
    <w:rsid w:val="006002A1"/>
    <w:rsid w:val="00604711"/>
    <w:rsid w:val="00604C68"/>
    <w:rsid w:val="0061151B"/>
    <w:rsid w:val="00611F47"/>
    <w:rsid w:val="00612B7D"/>
    <w:rsid w:val="00615508"/>
    <w:rsid w:val="00616861"/>
    <w:rsid w:val="0061774C"/>
    <w:rsid w:val="00620382"/>
    <w:rsid w:val="006244F6"/>
    <w:rsid w:val="0062486D"/>
    <w:rsid w:val="00624DEA"/>
    <w:rsid w:val="006250B0"/>
    <w:rsid w:val="0062568A"/>
    <w:rsid w:val="00626483"/>
    <w:rsid w:val="00626646"/>
    <w:rsid w:val="0063038F"/>
    <w:rsid w:val="00631710"/>
    <w:rsid w:val="00634822"/>
    <w:rsid w:val="00636C71"/>
    <w:rsid w:val="00636D34"/>
    <w:rsid w:val="00637151"/>
    <w:rsid w:val="00637B73"/>
    <w:rsid w:val="00637BED"/>
    <w:rsid w:val="00637E12"/>
    <w:rsid w:val="006421B9"/>
    <w:rsid w:val="0064222D"/>
    <w:rsid w:val="006427B8"/>
    <w:rsid w:val="00645373"/>
    <w:rsid w:val="00645AA1"/>
    <w:rsid w:val="0064615D"/>
    <w:rsid w:val="00646DEE"/>
    <w:rsid w:val="00647897"/>
    <w:rsid w:val="00652376"/>
    <w:rsid w:val="0065378A"/>
    <w:rsid w:val="00653B7E"/>
    <w:rsid w:val="00653C02"/>
    <w:rsid w:val="0065635C"/>
    <w:rsid w:val="00656831"/>
    <w:rsid w:val="00664265"/>
    <w:rsid w:val="00664ACD"/>
    <w:rsid w:val="00664FF0"/>
    <w:rsid w:val="0066555B"/>
    <w:rsid w:val="00666577"/>
    <w:rsid w:val="00670E88"/>
    <w:rsid w:val="00671E98"/>
    <w:rsid w:val="00673478"/>
    <w:rsid w:val="006736A0"/>
    <w:rsid w:val="006737CD"/>
    <w:rsid w:val="00673EB8"/>
    <w:rsid w:val="00677338"/>
    <w:rsid w:val="00677A11"/>
    <w:rsid w:val="00680EB0"/>
    <w:rsid w:val="0068247D"/>
    <w:rsid w:val="00682960"/>
    <w:rsid w:val="006868B0"/>
    <w:rsid w:val="00690BF4"/>
    <w:rsid w:val="00693503"/>
    <w:rsid w:val="00693E8D"/>
    <w:rsid w:val="00696B75"/>
    <w:rsid w:val="006A07BB"/>
    <w:rsid w:val="006A40D8"/>
    <w:rsid w:val="006A43E2"/>
    <w:rsid w:val="006A5EB0"/>
    <w:rsid w:val="006A6B35"/>
    <w:rsid w:val="006B0084"/>
    <w:rsid w:val="006B0323"/>
    <w:rsid w:val="006B16D0"/>
    <w:rsid w:val="006B1BCD"/>
    <w:rsid w:val="006B3CB9"/>
    <w:rsid w:val="006B4661"/>
    <w:rsid w:val="006B49C6"/>
    <w:rsid w:val="006C2920"/>
    <w:rsid w:val="006C7A40"/>
    <w:rsid w:val="006D0CD1"/>
    <w:rsid w:val="006D616D"/>
    <w:rsid w:val="006E5490"/>
    <w:rsid w:val="006E5B2B"/>
    <w:rsid w:val="006F1413"/>
    <w:rsid w:val="006F35B4"/>
    <w:rsid w:val="006F4020"/>
    <w:rsid w:val="006F5A46"/>
    <w:rsid w:val="006F5A74"/>
    <w:rsid w:val="007014D8"/>
    <w:rsid w:val="00702307"/>
    <w:rsid w:val="007041A6"/>
    <w:rsid w:val="00714E0D"/>
    <w:rsid w:val="00717300"/>
    <w:rsid w:val="00717E6E"/>
    <w:rsid w:val="00717F05"/>
    <w:rsid w:val="0072348A"/>
    <w:rsid w:val="007239CA"/>
    <w:rsid w:val="00724DEF"/>
    <w:rsid w:val="00724F2F"/>
    <w:rsid w:val="00724F67"/>
    <w:rsid w:val="00725453"/>
    <w:rsid w:val="00727520"/>
    <w:rsid w:val="00731FDC"/>
    <w:rsid w:val="00734088"/>
    <w:rsid w:val="00735DE4"/>
    <w:rsid w:val="0073681F"/>
    <w:rsid w:val="00737782"/>
    <w:rsid w:val="00740A3C"/>
    <w:rsid w:val="00743C26"/>
    <w:rsid w:val="0074425F"/>
    <w:rsid w:val="00744D1C"/>
    <w:rsid w:val="00745DFB"/>
    <w:rsid w:val="00745FFE"/>
    <w:rsid w:val="00746438"/>
    <w:rsid w:val="007468B3"/>
    <w:rsid w:val="00751746"/>
    <w:rsid w:val="0075174D"/>
    <w:rsid w:val="0075188A"/>
    <w:rsid w:val="00752293"/>
    <w:rsid w:val="00752967"/>
    <w:rsid w:val="00753F3D"/>
    <w:rsid w:val="007546C6"/>
    <w:rsid w:val="007560AE"/>
    <w:rsid w:val="0076001B"/>
    <w:rsid w:val="00760D07"/>
    <w:rsid w:val="00761C7B"/>
    <w:rsid w:val="0076235E"/>
    <w:rsid w:val="00764A9B"/>
    <w:rsid w:val="00770174"/>
    <w:rsid w:val="00770F54"/>
    <w:rsid w:val="00772B36"/>
    <w:rsid w:val="0077404F"/>
    <w:rsid w:val="00776B6F"/>
    <w:rsid w:val="00781C69"/>
    <w:rsid w:val="007844F4"/>
    <w:rsid w:val="00785706"/>
    <w:rsid w:val="00785AEB"/>
    <w:rsid w:val="0078654D"/>
    <w:rsid w:val="00786D62"/>
    <w:rsid w:val="00790F10"/>
    <w:rsid w:val="00794C15"/>
    <w:rsid w:val="007959E6"/>
    <w:rsid w:val="00796127"/>
    <w:rsid w:val="007961B6"/>
    <w:rsid w:val="00796625"/>
    <w:rsid w:val="007976F0"/>
    <w:rsid w:val="007977C1"/>
    <w:rsid w:val="007A1302"/>
    <w:rsid w:val="007A144D"/>
    <w:rsid w:val="007A433F"/>
    <w:rsid w:val="007A7947"/>
    <w:rsid w:val="007B2C08"/>
    <w:rsid w:val="007B39BC"/>
    <w:rsid w:val="007B3E65"/>
    <w:rsid w:val="007B51D2"/>
    <w:rsid w:val="007B5513"/>
    <w:rsid w:val="007B5998"/>
    <w:rsid w:val="007C3EE1"/>
    <w:rsid w:val="007C7C3E"/>
    <w:rsid w:val="007D04E3"/>
    <w:rsid w:val="007D49CF"/>
    <w:rsid w:val="007D78EE"/>
    <w:rsid w:val="007E10D9"/>
    <w:rsid w:val="007E263B"/>
    <w:rsid w:val="007E5030"/>
    <w:rsid w:val="007E5A00"/>
    <w:rsid w:val="007E7ACC"/>
    <w:rsid w:val="007F163F"/>
    <w:rsid w:val="007F1ED7"/>
    <w:rsid w:val="007F5FDC"/>
    <w:rsid w:val="008008F2"/>
    <w:rsid w:val="0080188D"/>
    <w:rsid w:val="008035F9"/>
    <w:rsid w:val="008076F8"/>
    <w:rsid w:val="008106B9"/>
    <w:rsid w:val="00812E4A"/>
    <w:rsid w:val="0081407E"/>
    <w:rsid w:val="00815223"/>
    <w:rsid w:val="00815E06"/>
    <w:rsid w:val="00816BDF"/>
    <w:rsid w:val="00817AB7"/>
    <w:rsid w:val="008219B5"/>
    <w:rsid w:val="00822524"/>
    <w:rsid w:val="0082338D"/>
    <w:rsid w:val="008256F4"/>
    <w:rsid w:val="0082735F"/>
    <w:rsid w:val="00832CB4"/>
    <w:rsid w:val="00833C97"/>
    <w:rsid w:val="008356A6"/>
    <w:rsid w:val="00836098"/>
    <w:rsid w:val="008360A8"/>
    <w:rsid w:val="0083638B"/>
    <w:rsid w:val="00836C82"/>
    <w:rsid w:val="00837D9E"/>
    <w:rsid w:val="008454ED"/>
    <w:rsid w:val="00845AE6"/>
    <w:rsid w:val="00846480"/>
    <w:rsid w:val="008466DB"/>
    <w:rsid w:val="00850BEB"/>
    <w:rsid w:val="008527A7"/>
    <w:rsid w:val="008531CB"/>
    <w:rsid w:val="008532AF"/>
    <w:rsid w:val="008535DC"/>
    <w:rsid w:val="00853E74"/>
    <w:rsid w:val="00855C05"/>
    <w:rsid w:val="00860795"/>
    <w:rsid w:val="008616A5"/>
    <w:rsid w:val="0086240D"/>
    <w:rsid w:val="00862FEC"/>
    <w:rsid w:val="008641BA"/>
    <w:rsid w:val="0086588B"/>
    <w:rsid w:val="00865BA5"/>
    <w:rsid w:val="00871078"/>
    <w:rsid w:val="008718F3"/>
    <w:rsid w:val="00871B62"/>
    <w:rsid w:val="0087342B"/>
    <w:rsid w:val="00875866"/>
    <w:rsid w:val="00875D41"/>
    <w:rsid w:val="00880B8E"/>
    <w:rsid w:val="00880E45"/>
    <w:rsid w:val="00881202"/>
    <w:rsid w:val="0088168D"/>
    <w:rsid w:val="00884CFA"/>
    <w:rsid w:val="00893656"/>
    <w:rsid w:val="00894648"/>
    <w:rsid w:val="00895864"/>
    <w:rsid w:val="008966A4"/>
    <w:rsid w:val="008A1F61"/>
    <w:rsid w:val="008A371D"/>
    <w:rsid w:val="008A4443"/>
    <w:rsid w:val="008A5CC7"/>
    <w:rsid w:val="008A6801"/>
    <w:rsid w:val="008B0531"/>
    <w:rsid w:val="008B30B7"/>
    <w:rsid w:val="008B3359"/>
    <w:rsid w:val="008B34EF"/>
    <w:rsid w:val="008B600B"/>
    <w:rsid w:val="008B739B"/>
    <w:rsid w:val="008B7DE1"/>
    <w:rsid w:val="008C15F4"/>
    <w:rsid w:val="008C373B"/>
    <w:rsid w:val="008C41BA"/>
    <w:rsid w:val="008C5081"/>
    <w:rsid w:val="008C616C"/>
    <w:rsid w:val="008C6980"/>
    <w:rsid w:val="008D0BEB"/>
    <w:rsid w:val="008D3B93"/>
    <w:rsid w:val="008D3E58"/>
    <w:rsid w:val="008D7948"/>
    <w:rsid w:val="008E0B2F"/>
    <w:rsid w:val="008E0BE1"/>
    <w:rsid w:val="008E21CF"/>
    <w:rsid w:val="008E5E18"/>
    <w:rsid w:val="008E68E1"/>
    <w:rsid w:val="008F0AEE"/>
    <w:rsid w:val="008F0C90"/>
    <w:rsid w:val="008F1203"/>
    <w:rsid w:val="008F3C24"/>
    <w:rsid w:val="008F77CD"/>
    <w:rsid w:val="009011F0"/>
    <w:rsid w:val="00901FAE"/>
    <w:rsid w:val="009021D3"/>
    <w:rsid w:val="009025ED"/>
    <w:rsid w:val="00910E28"/>
    <w:rsid w:val="009120D4"/>
    <w:rsid w:val="00914E95"/>
    <w:rsid w:val="009238AE"/>
    <w:rsid w:val="00927031"/>
    <w:rsid w:val="009272CB"/>
    <w:rsid w:val="009277FE"/>
    <w:rsid w:val="0093013C"/>
    <w:rsid w:val="009347EB"/>
    <w:rsid w:val="00935328"/>
    <w:rsid w:val="00935FD5"/>
    <w:rsid w:val="009366CA"/>
    <w:rsid w:val="00937D73"/>
    <w:rsid w:val="0094112F"/>
    <w:rsid w:val="00942394"/>
    <w:rsid w:val="0094255B"/>
    <w:rsid w:val="00942823"/>
    <w:rsid w:val="00944576"/>
    <w:rsid w:val="00944C73"/>
    <w:rsid w:val="0094558A"/>
    <w:rsid w:val="00947B6D"/>
    <w:rsid w:val="00950185"/>
    <w:rsid w:val="00950416"/>
    <w:rsid w:val="009516D1"/>
    <w:rsid w:val="00952DC4"/>
    <w:rsid w:val="009541C1"/>
    <w:rsid w:val="00954252"/>
    <w:rsid w:val="00955397"/>
    <w:rsid w:val="00956B28"/>
    <w:rsid w:val="009644E0"/>
    <w:rsid w:val="009673CF"/>
    <w:rsid w:val="009730F5"/>
    <w:rsid w:val="00973CB8"/>
    <w:rsid w:val="00975774"/>
    <w:rsid w:val="0097639B"/>
    <w:rsid w:val="0097693A"/>
    <w:rsid w:val="009772C3"/>
    <w:rsid w:val="00981016"/>
    <w:rsid w:val="00992222"/>
    <w:rsid w:val="009924CE"/>
    <w:rsid w:val="00995E34"/>
    <w:rsid w:val="00996C54"/>
    <w:rsid w:val="009A014B"/>
    <w:rsid w:val="009A04AD"/>
    <w:rsid w:val="009A0E32"/>
    <w:rsid w:val="009A10AA"/>
    <w:rsid w:val="009A25D1"/>
    <w:rsid w:val="009A3191"/>
    <w:rsid w:val="009A51BE"/>
    <w:rsid w:val="009A5440"/>
    <w:rsid w:val="009A6E6A"/>
    <w:rsid w:val="009A705C"/>
    <w:rsid w:val="009B1A15"/>
    <w:rsid w:val="009B1C26"/>
    <w:rsid w:val="009B2BD5"/>
    <w:rsid w:val="009B52CE"/>
    <w:rsid w:val="009B5846"/>
    <w:rsid w:val="009C20E8"/>
    <w:rsid w:val="009C3E10"/>
    <w:rsid w:val="009C4AED"/>
    <w:rsid w:val="009C6791"/>
    <w:rsid w:val="009D154E"/>
    <w:rsid w:val="009D4406"/>
    <w:rsid w:val="009D5CC4"/>
    <w:rsid w:val="009D6BA6"/>
    <w:rsid w:val="009D7665"/>
    <w:rsid w:val="009E012C"/>
    <w:rsid w:val="009E2896"/>
    <w:rsid w:val="009E3FC1"/>
    <w:rsid w:val="009E5ECA"/>
    <w:rsid w:val="009E7CE3"/>
    <w:rsid w:val="009F142F"/>
    <w:rsid w:val="009F14A8"/>
    <w:rsid w:val="009F1B55"/>
    <w:rsid w:val="009F25B7"/>
    <w:rsid w:val="009F2EA0"/>
    <w:rsid w:val="009F557F"/>
    <w:rsid w:val="00A06905"/>
    <w:rsid w:val="00A06B2E"/>
    <w:rsid w:val="00A106BE"/>
    <w:rsid w:val="00A15F7E"/>
    <w:rsid w:val="00A16DCF"/>
    <w:rsid w:val="00A22F0B"/>
    <w:rsid w:val="00A26AAB"/>
    <w:rsid w:val="00A317C1"/>
    <w:rsid w:val="00A317D3"/>
    <w:rsid w:val="00A34787"/>
    <w:rsid w:val="00A353E2"/>
    <w:rsid w:val="00A36E51"/>
    <w:rsid w:val="00A37AE2"/>
    <w:rsid w:val="00A4092A"/>
    <w:rsid w:val="00A40D2B"/>
    <w:rsid w:val="00A41F5B"/>
    <w:rsid w:val="00A4249D"/>
    <w:rsid w:val="00A4331E"/>
    <w:rsid w:val="00A4554D"/>
    <w:rsid w:val="00A46854"/>
    <w:rsid w:val="00A52DF1"/>
    <w:rsid w:val="00A53613"/>
    <w:rsid w:val="00A53F24"/>
    <w:rsid w:val="00A5588E"/>
    <w:rsid w:val="00A56788"/>
    <w:rsid w:val="00A579DD"/>
    <w:rsid w:val="00A626B1"/>
    <w:rsid w:val="00A63F2C"/>
    <w:rsid w:val="00A64800"/>
    <w:rsid w:val="00A6631B"/>
    <w:rsid w:val="00A66E03"/>
    <w:rsid w:val="00A709B4"/>
    <w:rsid w:val="00A76A54"/>
    <w:rsid w:val="00A779C1"/>
    <w:rsid w:val="00A77FCB"/>
    <w:rsid w:val="00A80509"/>
    <w:rsid w:val="00A83384"/>
    <w:rsid w:val="00A8396E"/>
    <w:rsid w:val="00A86992"/>
    <w:rsid w:val="00A87F7D"/>
    <w:rsid w:val="00A904A0"/>
    <w:rsid w:val="00A905DB"/>
    <w:rsid w:val="00A908AB"/>
    <w:rsid w:val="00A92878"/>
    <w:rsid w:val="00A93E06"/>
    <w:rsid w:val="00A948E9"/>
    <w:rsid w:val="00A96FAE"/>
    <w:rsid w:val="00AA0EE0"/>
    <w:rsid w:val="00AA16AD"/>
    <w:rsid w:val="00AA1D51"/>
    <w:rsid w:val="00AA33D1"/>
    <w:rsid w:val="00AA5701"/>
    <w:rsid w:val="00AA6CBE"/>
    <w:rsid w:val="00AB571B"/>
    <w:rsid w:val="00AB77F7"/>
    <w:rsid w:val="00AC0E8A"/>
    <w:rsid w:val="00AC2373"/>
    <w:rsid w:val="00AC4685"/>
    <w:rsid w:val="00AC4E09"/>
    <w:rsid w:val="00AC58C4"/>
    <w:rsid w:val="00AC5BCF"/>
    <w:rsid w:val="00AC6D5A"/>
    <w:rsid w:val="00AD0BAD"/>
    <w:rsid w:val="00AD21A5"/>
    <w:rsid w:val="00AD54E8"/>
    <w:rsid w:val="00AE02AA"/>
    <w:rsid w:val="00AE0726"/>
    <w:rsid w:val="00AE478B"/>
    <w:rsid w:val="00AE566B"/>
    <w:rsid w:val="00AF07B3"/>
    <w:rsid w:val="00AF1258"/>
    <w:rsid w:val="00AF195D"/>
    <w:rsid w:val="00AF22AA"/>
    <w:rsid w:val="00AF40DC"/>
    <w:rsid w:val="00AF4692"/>
    <w:rsid w:val="00AF4A16"/>
    <w:rsid w:val="00AF56B9"/>
    <w:rsid w:val="00AF6F6B"/>
    <w:rsid w:val="00B01A94"/>
    <w:rsid w:val="00B04613"/>
    <w:rsid w:val="00B0499D"/>
    <w:rsid w:val="00B055BB"/>
    <w:rsid w:val="00B06336"/>
    <w:rsid w:val="00B07770"/>
    <w:rsid w:val="00B10CD5"/>
    <w:rsid w:val="00B1581D"/>
    <w:rsid w:val="00B160DA"/>
    <w:rsid w:val="00B16A83"/>
    <w:rsid w:val="00B170DD"/>
    <w:rsid w:val="00B1788B"/>
    <w:rsid w:val="00B179DE"/>
    <w:rsid w:val="00B20413"/>
    <w:rsid w:val="00B235E1"/>
    <w:rsid w:val="00B23F27"/>
    <w:rsid w:val="00B24010"/>
    <w:rsid w:val="00B2474B"/>
    <w:rsid w:val="00B26BCE"/>
    <w:rsid w:val="00B3084B"/>
    <w:rsid w:val="00B30E9E"/>
    <w:rsid w:val="00B31FFE"/>
    <w:rsid w:val="00B334F6"/>
    <w:rsid w:val="00B33530"/>
    <w:rsid w:val="00B36FD4"/>
    <w:rsid w:val="00B430F6"/>
    <w:rsid w:val="00B43C4A"/>
    <w:rsid w:val="00B44E36"/>
    <w:rsid w:val="00B45D1D"/>
    <w:rsid w:val="00B47382"/>
    <w:rsid w:val="00B47D79"/>
    <w:rsid w:val="00B507FA"/>
    <w:rsid w:val="00B50EBF"/>
    <w:rsid w:val="00B50F21"/>
    <w:rsid w:val="00B51A37"/>
    <w:rsid w:val="00B51CC2"/>
    <w:rsid w:val="00B53BC4"/>
    <w:rsid w:val="00B549DB"/>
    <w:rsid w:val="00B55F94"/>
    <w:rsid w:val="00B5683C"/>
    <w:rsid w:val="00B56F73"/>
    <w:rsid w:val="00B57CCE"/>
    <w:rsid w:val="00B600C3"/>
    <w:rsid w:val="00B623B9"/>
    <w:rsid w:val="00B70515"/>
    <w:rsid w:val="00B71BDA"/>
    <w:rsid w:val="00B72671"/>
    <w:rsid w:val="00B731E0"/>
    <w:rsid w:val="00B73281"/>
    <w:rsid w:val="00B735E5"/>
    <w:rsid w:val="00B73BB3"/>
    <w:rsid w:val="00B7467D"/>
    <w:rsid w:val="00B7485D"/>
    <w:rsid w:val="00B74FA1"/>
    <w:rsid w:val="00B7583C"/>
    <w:rsid w:val="00B7688D"/>
    <w:rsid w:val="00B76AFD"/>
    <w:rsid w:val="00B8005C"/>
    <w:rsid w:val="00B81371"/>
    <w:rsid w:val="00B8446E"/>
    <w:rsid w:val="00B8469A"/>
    <w:rsid w:val="00B84BAE"/>
    <w:rsid w:val="00B84F2F"/>
    <w:rsid w:val="00B87AE9"/>
    <w:rsid w:val="00B90D86"/>
    <w:rsid w:val="00B90EFF"/>
    <w:rsid w:val="00B930D5"/>
    <w:rsid w:val="00B93439"/>
    <w:rsid w:val="00B9344C"/>
    <w:rsid w:val="00B93D99"/>
    <w:rsid w:val="00B93FB1"/>
    <w:rsid w:val="00B947E7"/>
    <w:rsid w:val="00B9556B"/>
    <w:rsid w:val="00B96712"/>
    <w:rsid w:val="00B96CE9"/>
    <w:rsid w:val="00B9734A"/>
    <w:rsid w:val="00B975B7"/>
    <w:rsid w:val="00BA0BEB"/>
    <w:rsid w:val="00BA1468"/>
    <w:rsid w:val="00BA69CB"/>
    <w:rsid w:val="00BB1286"/>
    <w:rsid w:val="00BB18A1"/>
    <w:rsid w:val="00BB336A"/>
    <w:rsid w:val="00BB41F4"/>
    <w:rsid w:val="00BC3A07"/>
    <w:rsid w:val="00BC400E"/>
    <w:rsid w:val="00BC47A2"/>
    <w:rsid w:val="00BC5CC3"/>
    <w:rsid w:val="00BD3E76"/>
    <w:rsid w:val="00BD5009"/>
    <w:rsid w:val="00BD5731"/>
    <w:rsid w:val="00BD57DF"/>
    <w:rsid w:val="00BD6E7D"/>
    <w:rsid w:val="00BD7150"/>
    <w:rsid w:val="00BE3892"/>
    <w:rsid w:val="00BE59FB"/>
    <w:rsid w:val="00BE71AF"/>
    <w:rsid w:val="00BF02A3"/>
    <w:rsid w:val="00BF302F"/>
    <w:rsid w:val="00BF61B1"/>
    <w:rsid w:val="00BF679A"/>
    <w:rsid w:val="00C00941"/>
    <w:rsid w:val="00C01F28"/>
    <w:rsid w:val="00C0211C"/>
    <w:rsid w:val="00C02415"/>
    <w:rsid w:val="00C0606F"/>
    <w:rsid w:val="00C06F8C"/>
    <w:rsid w:val="00C11DFB"/>
    <w:rsid w:val="00C14919"/>
    <w:rsid w:val="00C14C26"/>
    <w:rsid w:val="00C1665F"/>
    <w:rsid w:val="00C16AC2"/>
    <w:rsid w:val="00C22BDB"/>
    <w:rsid w:val="00C26090"/>
    <w:rsid w:val="00C27B3D"/>
    <w:rsid w:val="00C31DCB"/>
    <w:rsid w:val="00C322C7"/>
    <w:rsid w:val="00C346D8"/>
    <w:rsid w:val="00C36621"/>
    <w:rsid w:val="00C36CFF"/>
    <w:rsid w:val="00C37D68"/>
    <w:rsid w:val="00C404C4"/>
    <w:rsid w:val="00C408FB"/>
    <w:rsid w:val="00C43CD3"/>
    <w:rsid w:val="00C449CA"/>
    <w:rsid w:val="00C5147A"/>
    <w:rsid w:val="00C51FD5"/>
    <w:rsid w:val="00C5403A"/>
    <w:rsid w:val="00C5407B"/>
    <w:rsid w:val="00C5670D"/>
    <w:rsid w:val="00C62A11"/>
    <w:rsid w:val="00C62BC4"/>
    <w:rsid w:val="00C636E2"/>
    <w:rsid w:val="00C64AA0"/>
    <w:rsid w:val="00C64BDC"/>
    <w:rsid w:val="00C67371"/>
    <w:rsid w:val="00C74458"/>
    <w:rsid w:val="00C803B1"/>
    <w:rsid w:val="00C811DB"/>
    <w:rsid w:val="00C83496"/>
    <w:rsid w:val="00C835F4"/>
    <w:rsid w:val="00C842C8"/>
    <w:rsid w:val="00C86E9F"/>
    <w:rsid w:val="00C90E83"/>
    <w:rsid w:val="00C914A5"/>
    <w:rsid w:val="00C92C09"/>
    <w:rsid w:val="00C9380C"/>
    <w:rsid w:val="00C94E71"/>
    <w:rsid w:val="00C95A57"/>
    <w:rsid w:val="00C972A1"/>
    <w:rsid w:val="00CA1FBF"/>
    <w:rsid w:val="00CA334A"/>
    <w:rsid w:val="00CA3EA7"/>
    <w:rsid w:val="00CA66B9"/>
    <w:rsid w:val="00CA7A15"/>
    <w:rsid w:val="00CB1004"/>
    <w:rsid w:val="00CB1505"/>
    <w:rsid w:val="00CB5991"/>
    <w:rsid w:val="00CB6EBD"/>
    <w:rsid w:val="00CB753A"/>
    <w:rsid w:val="00CC0A43"/>
    <w:rsid w:val="00CC198E"/>
    <w:rsid w:val="00CC56A4"/>
    <w:rsid w:val="00CC794B"/>
    <w:rsid w:val="00CD0E9E"/>
    <w:rsid w:val="00CD2040"/>
    <w:rsid w:val="00CD2443"/>
    <w:rsid w:val="00CD3BF9"/>
    <w:rsid w:val="00CD5BBF"/>
    <w:rsid w:val="00CE117D"/>
    <w:rsid w:val="00CE4F10"/>
    <w:rsid w:val="00CE69A3"/>
    <w:rsid w:val="00CE7849"/>
    <w:rsid w:val="00CE7957"/>
    <w:rsid w:val="00CF0BD3"/>
    <w:rsid w:val="00CF1278"/>
    <w:rsid w:val="00CF1A7F"/>
    <w:rsid w:val="00CF3805"/>
    <w:rsid w:val="00CF3C8C"/>
    <w:rsid w:val="00CF596F"/>
    <w:rsid w:val="00D02D2B"/>
    <w:rsid w:val="00D04484"/>
    <w:rsid w:val="00D06104"/>
    <w:rsid w:val="00D06E07"/>
    <w:rsid w:val="00D070B8"/>
    <w:rsid w:val="00D12DD2"/>
    <w:rsid w:val="00D14EB2"/>
    <w:rsid w:val="00D159BC"/>
    <w:rsid w:val="00D15AEF"/>
    <w:rsid w:val="00D205B9"/>
    <w:rsid w:val="00D25610"/>
    <w:rsid w:val="00D257FE"/>
    <w:rsid w:val="00D25A21"/>
    <w:rsid w:val="00D26984"/>
    <w:rsid w:val="00D30303"/>
    <w:rsid w:val="00D42202"/>
    <w:rsid w:val="00D42CA3"/>
    <w:rsid w:val="00D44182"/>
    <w:rsid w:val="00D464C5"/>
    <w:rsid w:val="00D46AAC"/>
    <w:rsid w:val="00D46EAF"/>
    <w:rsid w:val="00D50867"/>
    <w:rsid w:val="00D51339"/>
    <w:rsid w:val="00D523C6"/>
    <w:rsid w:val="00D5382D"/>
    <w:rsid w:val="00D53D2E"/>
    <w:rsid w:val="00D54FE3"/>
    <w:rsid w:val="00D577C9"/>
    <w:rsid w:val="00D64036"/>
    <w:rsid w:val="00D71FCB"/>
    <w:rsid w:val="00D825F1"/>
    <w:rsid w:val="00D855EC"/>
    <w:rsid w:val="00D85CD8"/>
    <w:rsid w:val="00D876D7"/>
    <w:rsid w:val="00D910DB"/>
    <w:rsid w:val="00D9330C"/>
    <w:rsid w:val="00D93C59"/>
    <w:rsid w:val="00D9507D"/>
    <w:rsid w:val="00D9542D"/>
    <w:rsid w:val="00D95950"/>
    <w:rsid w:val="00D9638A"/>
    <w:rsid w:val="00D97552"/>
    <w:rsid w:val="00DA080A"/>
    <w:rsid w:val="00DA1E49"/>
    <w:rsid w:val="00DA1EF4"/>
    <w:rsid w:val="00DA5EEB"/>
    <w:rsid w:val="00DB232B"/>
    <w:rsid w:val="00DB25E1"/>
    <w:rsid w:val="00DB74A8"/>
    <w:rsid w:val="00DC31C3"/>
    <w:rsid w:val="00DC3F42"/>
    <w:rsid w:val="00DC52A5"/>
    <w:rsid w:val="00DC67DA"/>
    <w:rsid w:val="00DD06E7"/>
    <w:rsid w:val="00DD192D"/>
    <w:rsid w:val="00DD22A8"/>
    <w:rsid w:val="00DD3012"/>
    <w:rsid w:val="00DD3C1E"/>
    <w:rsid w:val="00DD47CE"/>
    <w:rsid w:val="00DD4FEE"/>
    <w:rsid w:val="00DD5CF3"/>
    <w:rsid w:val="00DD6A13"/>
    <w:rsid w:val="00DE2FCB"/>
    <w:rsid w:val="00DE342A"/>
    <w:rsid w:val="00DE59D1"/>
    <w:rsid w:val="00DF0866"/>
    <w:rsid w:val="00DF1CCA"/>
    <w:rsid w:val="00DF4007"/>
    <w:rsid w:val="00DF50F3"/>
    <w:rsid w:val="00DF629F"/>
    <w:rsid w:val="00DF7173"/>
    <w:rsid w:val="00E00F10"/>
    <w:rsid w:val="00E0106E"/>
    <w:rsid w:val="00E02440"/>
    <w:rsid w:val="00E02AE9"/>
    <w:rsid w:val="00E06014"/>
    <w:rsid w:val="00E06495"/>
    <w:rsid w:val="00E0688C"/>
    <w:rsid w:val="00E074D8"/>
    <w:rsid w:val="00E113AF"/>
    <w:rsid w:val="00E16729"/>
    <w:rsid w:val="00E21094"/>
    <w:rsid w:val="00E242D6"/>
    <w:rsid w:val="00E24424"/>
    <w:rsid w:val="00E24C86"/>
    <w:rsid w:val="00E258DD"/>
    <w:rsid w:val="00E2769D"/>
    <w:rsid w:val="00E30FAC"/>
    <w:rsid w:val="00E31B93"/>
    <w:rsid w:val="00E31F0A"/>
    <w:rsid w:val="00E330FB"/>
    <w:rsid w:val="00E335A4"/>
    <w:rsid w:val="00E36FAD"/>
    <w:rsid w:val="00E36FCB"/>
    <w:rsid w:val="00E4145B"/>
    <w:rsid w:val="00E5225C"/>
    <w:rsid w:val="00E52AE1"/>
    <w:rsid w:val="00E546A0"/>
    <w:rsid w:val="00E54DF3"/>
    <w:rsid w:val="00E6038F"/>
    <w:rsid w:val="00E627B0"/>
    <w:rsid w:val="00E62C9A"/>
    <w:rsid w:val="00E62FE3"/>
    <w:rsid w:val="00E641B2"/>
    <w:rsid w:val="00E64715"/>
    <w:rsid w:val="00E65E87"/>
    <w:rsid w:val="00E70ABE"/>
    <w:rsid w:val="00E721BA"/>
    <w:rsid w:val="00E74AE9"/>
    <w:rsid w:val="00E75CB9"/>
    <w:rsid w:val="00E767A3"/>
    <w:rsid w:val="00E80117"/>
    <w:rsid w:val="00E806E8"/>
    <w:rsid w:val="00E82ADC"/>
    <w:rsid w:val="00E82B93"/>
    <w:rsid w:val="00E83A2C"/>
    <w:rsid w:val="00E8492B"/>
    <w:rsid w:val="00E855AF"/>
    <w:rsid w:val="00E86408"/>
    <w:rsid w:val="00E876F9"/>
    <w:rsid w:val="00E91D77"/>
    <w:rsid w:val="00E95599"/>
    <w:rsid w:val="00E967FD"/>
    <w:rsid w:val="00EA66CF"/>
    <w:rsid w:val="00EB0067"/>
    <w:rsid w:val="00EB2967"/>
    <w:rsid w:val="00EB2BBB"/>
    <w:rsid w:val="00EB3F26"/>
    <w:rsid w:val="00EB5A77"/>
    <w:rsid w:val="00EC22D4"/>
    <w:rsid w:val="00EC4EAE"/>
    <w:rsid w:val="00EC5ABF"/>
    <w:rsid w:val="00EC7495"/>
    <w:rsid w:val="00ED18E9"/>
    <w:rsid w:val="00ED2FF3"/>
    <w:rsid w:val="00EE0DDE"/>
    <w:rsid w:val="00EE27F9"/>
    <w:rsid w:val="00EE4D0D"/>
    <w:rsid w:val="00EE5596"/>
    <w:rsid w:val="00EE5B7D"/>
    <w:rsid w:val="00EE758D"/>
    <w:rsid w:val="00EF0EFC"/>
    <w:rsid w:val="00EF3F8C"/>
    <w:rsid w:val="00EF4026"/>
    <w:rsid w:val="00F0051F"/>
    <w:rsid w:val="00F00A24"/>
    <w:rsid w:val="00F03E5A"/>
    <w:rsid w:val="00F05AA5"/>
    <w:rsid w:val="00F0794A"/>
    <w:rsid w:val="00F11939"/>
    <w:rsid w:val="00F12DF1"/>
    <w:rsid w:val="00F15E31"/>
    <w:rsid w:val="00F16E69"/>
    <w:rsid w:val="00F16EF6"/>
    <w:rsid w:val="00F21D69"/>
    <w:rsid w:val="00F23E86"/>
    <w:rsid w:val="00F27E07"/>
    <w:rsid w:val="00F3370C"/>
    <w:rsid w:val="00F33E56"/>
    <w:rsid w:val="00F35120"/>
    <w:rsid w:val="00F378EA"/>
    <w:rsid w:val="00F44DD4"/>
    <w:rsid w:val="00F47454"/>
    <w:rsid w:val="00F52DA9"/>
    <w:rsid w:val="00F52DCB"/>
    <w:rsid w:val="00F556F2"/>
    <w:rsid w:val="00F55F64"/>
    <w:rsid w:val="00F56FAC"/>
    <w:rsid w:val="00F57FEF"/>
    <w:rsid w:val="00F60806"/>
    <w:rsid w:val="00F62888"/>
    <w:rsid w:val="00F64C5D"/>
    <w:rsid w:val="00F65372"/>
    <w:rsid w:val="00F664D5"/>
    <w:rsid w:val="00F70584"/>
    <w:rsid w:val="00F73B39"/>
    <w:rsid w:val="00F740C3"/>
    <w:rsid w:val="00F7447C"/>
    <w:rsid w:val="00F803A4"/>
    <w:rsid w:val="00F813A9"/>
    <w:rsid w:val="00F83329"/>
    <w:rsid w:val="00F85753"/>
    <w:rsid w:val="00F86142"/>
    <w:rsid w:val="00F8652D"/>
    <w:rsid w:val="00F873E2"/>
    <w:rsid w:val="00F900D9"/>
    <w:rsid w:val="00F90638"/>
    <w:rsid w:val="00F92681"/>
    <w:rsid w:val="00F954AF"/>
    <w:rsid w:val="00F967A6"/>
    <w:rsid w:val="00FA295A"/>
    <w:rsid w:val="00FA3C46"/>
    <w:rsid w:val="00FA3E01"/>
    <w:rsid w:val="00FA6184"/>
    <w:rsid w:val="00FA66F9"/>
    <w:rsid w:val="00FA72AA"/>
    <w:rsid w:val="00FA7C7E"/>
    <w:rsid w:val="00FB1926"/>
    <w:rsid w:val="00FB1CE8"/>
    <w:rsid w:val="00FB6DB6"/>
    <w:rsid w:val="00FC06EF"/>
    <w:rsid w:val="00FC1F5E"/>
    <w:rsid w:val="00FC7B53"/>
    <w:rsid w:val="00FC7E61"/>
    <w:rsid w:val="00FD2286"/>
    <w:rsid w:val="00FD33BE"/>
    <w:rsid w:val="00FD3816"/>
    <w:rsid w:val="00FD3B8C"/>
    <w:rsid w:val="00FD4796"/>
    <w:rsid w:val="00FD685E"/>
    <w:rsid w:val="00FE110B"/>
    <w:rsid w:val="00FE13ED"/>
    <w:rsid w:val="00FF38CF"/>
    <w:rsid w:val="00FF4015"/>
    <w:rsid w:val="00FF5FD1"/>
    <w:rsid w:val="00FF6D4F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2019D"/>
  <w15:chartTrackingRefBased/>
  <w15:docId w15:val="{26B43E75-87EE-4F48-BC78-4A55321D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92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B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E31B9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B8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80B8E"/>
  </w:style>
  <w:style w:type="paragraph" w:styleId="Footer">
    <w:name w:val="footer"/>
    <w:basedOn w:val="Normal"/>
    <w:link w:val="FooterChar"/>
    <w:uiPriority w:val="99"/>
    <w:unhideWhenUsed/>
    <w:rsid w:val="00880B8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80B8E"/>
  </w:style>
  <w:style w:type="paragraph" w:styleId="BalloonText">
    <w:name w:val="Balloon Text"/>
    <w:basedOn w:val="Normal"/>
    <w:link w:val="BalloonTextChar"/>
    <w:uiPriority w:val="99"/>
    <w:semiHidden/>
    <w:unhideWhenUsed/>
    <w:rsid w:val="00DD06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E7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9F557F"/>
    <w:rPr>
      <w:rFonts w:ascii="Helvetica" w:hAnsi="Helvetica"/>
      <w:sz w:val="39"/>
      <w:szCs w:val="39"/>
    </w:rPr>
  </w:style>
  <w:style w:type="paragraph" w:customStyle="1" w:styleId="p2">
    <w:name w:val="p2"/>
    <w:basedOn w:val="Normal"/>
    <w:rsid w:val="009F557F"/>
    <w:rPr>
      <w:rFonts w:ascii="Helvetica" w:hAnsi="Helvetica"/>
      <w:sz w:val="27"/>
      <w:szCs w:val="27"/>
    </w:rPr>
  </w:style>
  <w:style w:type="paragraph" w:customStyle="1" w:styleId="p3">
    <w:name w:val="p3"/>
    <w:basedOn w:val="Normal"/>
    <w:rsid w:val="009F557F"/>
    <w:rPr>
      <w:rFonts w:ascii="Helvetica" w:hAnsi="Helvetica"/>
      <w:sz w:val="33"/>
      <w:szCs w:val="33"/>
    </w:rPr>
  </w:style>
  <w:style w:type="character" w:styleId="CommentReference">
    <w:name w:val="annotation reference"/>
    <w:basedOn w:val="DefaultParagraphFont"/>
    <w:uiPriority w:val="99"/>
    <w:semiHidden/>
    <w:unhideWhenUsed/>
    <w:rsid w:val="00973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C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CB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CB8"/>
    <w:rPr>
      <w:rFonts w:ascii="Times New Roman" w:hAnsi="Times New Roman" w:cs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024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00C50-BDC7-4395-9F6C-CAD1902A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Michaela J.</dc:creator>
  <cp:keywords/>
  <dc:description/>
  <cp:lastModifiedBy>Ullman, Naomi</cp:lastModifiedBy>
  <cp:revision>3</cp:revision>
  <cp:lastPrinted>2017-11-19T18:24:00Z</cp:lastPrinted>
  <dcterms:created xsi:type="dcterms:W3CDTF">2019-03-21T12:12:00Z</dcterms:created>
  <dcterms:modified xsi:type="dcterms:W3CDTF">2019-05-10T18:40:00Z</dcterms:modified>
</cp:coreProperties>
</file>