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3" w:rsidRDefault="00E763F3" w:rsidP="00864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9C33A5" w:rsidRDefault="009C33A5" w:rsidP="008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763F3">
        <w:rPr>
          <w:rFonts w:ascii="Times New Roman" w:hAnsi="Times New Roman" w:cs="Times New Roman"/>
          <w:b/>
          <w:sz w:val="24"/>
          <w:szCs w:val="24"/>
        </w:rPr>
        <w:t>A1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9D">
        <w:rPr>
          <w:rFonts w:ascii="Times New Roman" w:hAnsi="Times New Roman" w:cs="Times New Roman"/>
          <w:sz w:val="24"/>
          <w:szCs w:val="24"/>
        </w:rPr>
        <w:t>Summary of current evidence regarding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treatment of stress fractures and bone defects with direct injectable bony treatment modalities. (BMA = Bone marrow aspirate, DBM = Demineralized bone matrix, PRP = Platelet-rich plasma, VAS = Visual analog scale, IKDC = International knee documentation committee, FAOS = Foot and ankle outcome score, KOOS = Knee injury and osteoarthritis outcome score)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1620"/>
        <w:gridCol w:w="3325"/>
      </w:tblGrid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B6">
              <w:rPr>
                <w:rFonts w:ascii="Times New Roman" w:hAnsi="Times New Roman" w:cs="Times New Roman"/>
                <w:b/>
              </w:rPr>
              <w:t>Treatment Option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B6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B6">
              <w:rPr>
                <w:rFonts w:ascii="Times New Roman" w:hAnsi="Times New Roman" w:cs="Times New Roman"/>
                <w:b/>
              </w:rPr>
              <w:t>Level of Evidence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B6">
              <w:rPr>
                <w:rFonts w:ascii="Times New Roman" w:hAnsi="Times New Roman" w:cs="Times New Roman"/>
                <w:b/>
              </w:rPr>
              <w:t>Outcomes/ Conclusions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t>Concentrated bone marrow aspirate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Jäger M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8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case series. (</w:t>
            </w:r>
            <w:r w:rsidRPr="00695B89">
              <w:rPr>
                <w:rFonts w:ascii="Times New Roman" w:hAnsi="Times New Roman" w:cs="Times New Roman"/>
                <w:i/>
              </w:rPr>
              <w:t>n = 10</w:t>
            </w:r>
            <w:r>
              <w:rPr>
                <w:rFonts w:ascii="Times New Roman" w:hAnsi="Times New Roman" w:cs="Times New Roman"/>
                <w:i/>
              </w:rPr>
              <w:t xml:space="preserve"> human patients)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Mesenchymal stem </w:t>
            </w:r>
            <w:r w:rsidRPr="00695B89">
              <w:rPr>
                <w:rFonts w:ascii="Times New Roman" w:hAnsi="Times New Roman" w:cs="Times New Roman"/>
              </w:rPr>
              <w:t xml:space="preserve">cells </w:t>
            </w:r>
            <w:r>
              <w:rPr>
                <w:rFonts w:ascii="Times New Roman" w:hAnsi="Times New Roman" w:cs="Times New Roman"/>
              </w:rPr>
              <w:t xml:space="preserve">isolated from BMA produced </w:t>
            </w:r>
            <w:r w:rsidRPr="00695B89">
              <w:rPr>
                <w:rFonts w:ascii="Times New Roman" w:hAnsi="Times New Roman" w:cs="Times New Roman"/>
              </w:rPr>
              <w:t>osteogenic differentiation in vitro without osteogenic stimuli.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Gianakos A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Systematic Review of 35 articles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 w:rsidRPr="00822585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of articles</w:t>
            </w:r>
            <w:r w:rsidRPr="00822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demonstrated significantly increased bone formation </w:t>
            </w:r>
            <w:r w:rsidRPr="00822585">
              <w:rPr>
                <w:rFonts w:ascii="Times New Roman" w:hAnsi="Times New Roman" w:cs="Times New Roman"/>
              </w:rPr>
              <w:t>on radiograph</w:t>
            </w:r>
            <w:r>
              <w:rPr>
                <w:rFonts w:ascii="Times New Roman" w:hAnsi="Times New Roman" w:cs="Times New Roman"/>
              </w:rPr>
              <w:t>s when BMAC was applied.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</w:rPr>
            </w:pPr>
            <w:r w:rsidRPr="00F800B6">
              <w:rPr>
                <w:rFonts w:ascii="Times New Roman" w:hAnsi="Times New Roman" w:cs="Times New Roman"/>
              </w:rPr>
              <w:t>Lee DH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11</w:t>
            </w:r>
            <w:r w:rsidRPr="00F80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 RCT of 44 tibias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Tibial osteotomy sites treated with BMA and PRP showed </w:t>
            </w:r>
            <w:r w:rsidRPr="00822585">
              <w:rPr>
                <w:rFonts w:ascii="Times New Roman" w:hAnsi="Times New Roman" w:cs="Times New Roman"/>
              </w:rPr>
              <w:t xml:space="preserve">faster healing </w:t>
            </w:r>
            <w:r>
              <w:rPr>
                <w:rFonts w:ascii="Times New Roman" w:hAnsi="Times New Roman" w:cs="Times New Roman"/>
              </w:rPr>
              <w:t>at all cortices than controls.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Imam MA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12</w:t>
            </w:r>
          </w:p>
        </w:tc>
        <w:tc>
          <w:tcPr>
            <w:tcW w:w="1620" w:type="dxa"/>
          </w:tcPr>
          <w:p w:rsidR="009C33A5" w:rsidRPr="00965B28" w:rsidRDefault="009C33A5" w:rsidP="004D0D00">
            <w:pPr>
              <w:rPr>
                <w:rFonts w:ascii="Times New Roman" w:hAnsi="Times New Roman" w:cs="Times New Roman"/>
              </w:rPr>
            </w:pPr>
            <w:r w:rsidRPr="00965B28">
              <w:rPr>
                <w:rFonts w:ascii="Times New Roman" w:hAnsi="Times New Roman" w:cs="Times New Roman"/>
              </w:rPr>
              <w:t>Systematic Review of 31 articles (minimum Level IV)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uses of BMA for bone include non-union and fracture healing, bone defects, spine fusion, and </w:t>
            </w:r>
            <w:r w:rsidRPr="00965B28">
              <w:rPr>
                <w:rFonts w:ascii="Times New Roman" w:hAnsi="Times New Roman" w:cs="Times New Roman"/>
              </w:rPr>
              <w:t>distraction osteogen</w:t>
            </w:r>
            <w:r>
              <w:rPr>
                <w:rFonts w:ascii="Times New Roman" w:hAnsi="Times New Roman" w:cs="Times New Roman"/>
              </w:rPr>
              <w:t>e</w:t>
            </w:r>
            <w:r w:rsidRPr="00965B28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Murawski CD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13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case series. (</w:t>
            </w:r>
            <w:r w:rsidRPr="00965B28">
              <w:rPr>
                <w:rFonts w:ascii="Times New Roman" w:hAnsi="Times New Roman" w:cs="Times New Roman"/>
                <w:i/>
              </w:rPr>
              <w:t>n=26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of 26 athletes with proximal 5</w:t>
            </w:r>
            <w:r w:rsidRPr="00965B2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metatarsal Jones fractures returned to previous level of sport at mean 5 weeks post internal fixation with BMA applied.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Lovy AJ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14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III retrospective case control (</w:t>
            </w:r>
            <w:r w:rsidRPr="00B352F4">
              <w:rPr>
                <w:rFonts w:ascii="Times New Roman" w:hAnsi="Times New Roman" w:cs="Times New Roman"/>
                <w:i/>
              </w:rPr>
              <w:t>n=33 humans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atypical femur fractures treated with IM rod fixation and BMA united significantly faster than 22 controls that did not receive BMA.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t>Autologous Platelet-Rich Technologies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6524A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Guzel Y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26524A">
              <w:rPr>
                <w:rFonts w:ascii="Times New Roman" w:hAnsi="Times New Roman" w:cs="Times New Roman"/>
                <w:noProof/>
                <w:vertAlign w:val="superscript"/>
              </w:rPr>
              <w:t>8</w:t>
            </w:r>
          </w:p>
        </w:tc>
        <w:tc>
          <w:tcPr>
            <w:tcW w:w="1620" w:type="dxa"/>
          </w:tcPr>
          <w:p w:rsidR="009C33A5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</w:t>
            </w:r>
            <w:r w:rsidR="00194099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prospective </w:t>
            </w:r>
            <w:r>
              <w:rPr>
                <w:rFonts w:ascii="Times New Roman" w:hAnsi="Times New Roman" w:cs="Times New Roman"/>
              </w:rPr>
              <w:lastRenderedPageBreak/>
              <w:t xml:space="preserve">randomized controlled trial. </w:t>
            </w:r>
          </w:p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D6398">
              <w:rPr>
                <w:rFonts w:ascii="Times New Roman" w:hAnsi="Times New Roman" w:cs="Times New Roman"/>
                <w:i/>
              </w:rPr>
              <w:t>n=60 rats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Femur fractures in PRP-treat</w:t>
            </w:r>
            <w:r w:rsidRPr="009D6398">
              <w:rPr>
                <w:rFonts w:ascii="Times New Roman" w:hAnsi="Times New Roman" w:cs="Times New Roman"/>
              </w:rPr>
              <w:t>ed group demonstrated earlier weight-</w:t>
            </w:r>
            <w:r w:rsidRPr="009D6398">
              <w:rPr>
                <w:rFonts w:ascii="Times New Roman" w:hAnsi="Times New Roman" w:cs="Times New Roman"/>
              </w:rPr>
              <w:lastRenderedPageBreak/>
              <w:t xml:space="preserve">bearing, accelerated fracture healing </w:t>
            </w:r>
            <w:r>
              <w:rPr>
                <w:rFonts w:ascii="Times New Roman" w:hAnsi="Times New Roman" w:cs="Times New Roman"/>
              </w:rPr>
              <w:t xml:space="preserve">and greater </w:t>
            </w:r>
            <w:r w:rsidRPr="009D6398">
              <w:rPr>
                <w:rFonts w:ascii="Times New Roman" w:hAnsi="Times New Roman" w:cs="Times New Roman"/>
              </w:rPr>
              <w:t xml:space="preserve">maximum loading </w:t>
            </w:r>
            <w:r>
              <w:rPr>
                <w:rFonts w:ascii="Times New Roman" w:hAnsi="Times New Roman" w:cs="Times New Roman"/>
              </w:rPr>
              <w:t xml:space="preserve">force than controls.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6524A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Gianakos A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26524A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Systematic review of 29 articles.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 of articles</w:t>
            </w:r>
            <w:r w:rsidRPr="002B1A99">
              <w:rPr>
                <w:rFonts w:ascii="Times New Roman" w:hAnsi="Times New Roman" w:cs="Times New Roman"/>
              </w:rPr>
              <w:t xml:space="preserve"> reported significant improvement in ear</w:t>
            </w:r>
            <w:r>
              <w:rPr>
                <w:rFonts w:ascii="Times New Roman" w:hAnsi="Times New Roman" w:cs="Times New Roman"/>
              </w:rPr>
              <w:t xml:space="preserve">lier bone healing on histologic evaluation when PRP was applied. 100% of articles reported increased radiographic bone formation when PRP was applied.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Simman R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20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III case-control series.  (</w:t>
            </w:r>
            <w:r w:rsidRPr="002B1A99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B1A99">
              <w:rPr>
                <w:rFonts w:ascii="Times New Roman" w:hAnsi="Times New Roman" w:cs="Times New Roman"/>
                <w:i/>
              </w:rPr>
              <w:t>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B1A99">
              <w:rPr>
                <w:rFonts w:ascii="Times New Roman" w:hAnsi="Times New Roman" w:cs="Times New Roman"/>
                <w:i/>
              </w:rPr>
              <w:t>48</w:t>
            </w:r>
            <w:r>
              <w:rPr>
                <w:rFonts w:ascii="Times New Roman" w:hAnsi="Times New Roman" w:cs="Times New Roman"/>
                <w:i/>
              </w:rPr>
              <w:t xml:space="preserve"> male rodents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 femur fractures showed increased cortical width and callus at 4 weeks post fracture compared with saline controls.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B39E0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Griffin XL et al.</w:t>
            </w:r>
            <w:r w:rsidR="002B39E0">
              <w:rPr>
                <w:rFonts w:ascii="Times New Roman" w:hAnsi="Times New Roman" w:cs="Times New Roman"/>
                <w:noProof/>
                <w:vertAlign w:val="superscript"/>
              </w:rPr>
              <w:t>21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Systematic Review of 1 article.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patients undergoing corrective osteotomy showed a </w:t>
            </w:r>
            <w:r w:rsidRPr="00CC56BF">
              <w:rPr>
                <w:rFonts w:ascii="Times New Roman" w:hAnsi="Times New Roman" w:cs="Times New Roman"/>
              </w:rPr>
              <w:t>statistically</w:t>
            </w:r>
            <w:r>
              <w:rPr>
                <w:rFonts w:ascii="Times New Roman" w:hAnsi="Times New Roman" w:cs="Times New Roman"/>
              </w:rPr>
              <w:t xml:space="preserve"> significant</w:t>
            </w:r>
            <w:r w:rsidRPr="00CC56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increase in union rate at one year when PRP was applied.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Gandhi A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 prospective randomized trial.  (n=92 rodents)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diabetic rats with femur fracture treated with PRP showed normalization of early fracture callus compared to non-PRP treated rats.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Malhotra A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article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PRP appears to benefit bone healing only when used</w:t>
            </w:r>
            <w:r w:rsidRPr="00D33FAC">
              <w:rPr>
                <w:rFonts w:ascii="Times New Roman" w:hAnsi="Times New Roman" w:cs="Times New Roman"/>
              </w:rPr>
              <w:t xml:space="preserve"> in combination with osteoconductive scaffolds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t>Injectable bone graft substitutes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Tiedeman JJ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III prospective case series. (</w:t>
            </w:r>
            <w:r w:rsidRPr="00B352F4">
              <w:rPr>
                <w:rFonts w:ascii="Times New Roman" w:hAnsi="Times New Roman" w:cs="Times New Roman"/>
                <w:i/>
              </w:rPr>
              <w:t>n=24 canines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352F4">
              <w:rPr>
                <w:rFonts w:ascii="Times New Roman" w:hAnsi="Times New Roman" w:cs="Times New Roman"/>
              </w:rPr>
              <w:t>ombin</w:t>
            </w:r>
            <w:r>
              <w:rPr>
                <w:rFonts w:ascii="Times New Roman" w:hAnsi="Times New Roman" w:cs="Times New Roman"/>
              </w:rPr>
              <w:t>ed</w:t>
            </w:r>
            <w:r w:rsidRPr="00B352F4">
              <w:rPr>
                <w:rFonts w:ascii="Times New Roman" w:hAnsi="Times New Roman" w:cs="Times New Roman"/>
              </w:rPr>
              <w:t xml:space="preserve"> bone marrow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B352F4">
              <w:rPr>
                <w:rFonts w:ascii="Times New Roman" w:hAnsi="Times New Roman" w:cs="Times New Roman"/>
              </w:rPr>
              <w:t xml:space="preserve">DBM produced a synergistic response </w:t>
            </w:r>
            <w:r>
              <w:rPr>
                <w:rFonts w:ascii="Times New Roman" w:hAnsi="Times New Roman" w:cs="Times New Roman"/>
              </w:rPr>
              <w:t xml:space="preserve">at bony </w:t>
            </w:r>
            <w:r w:rsidRPr="00B352F4">
              <w:rPr>
                <w:rFonts w:ascii="Times New Roman" w:hAnsi="Times New Roman" w:cs="Times New Roman"/>
              </w:rPr>
              <w:t>defect</w:t>
            </w:r>
            <w:r>
              <w:rPr>
                <w:rFonts w:ascii="Times New Roman" w:hAnsi="Times New Roman" w:cs="Times New Roman"/>
              </w:rPr>
              <w:t xml:space="preserve">s which was equal to autogenous bone grafting.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Elena N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25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report and technique description.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PRP and DBM were</w:t>
            </w:r>
            <w:r w:rsidRPr="00B352F4">
              <w:rPr>
                <w:rFonts w:ascii="Times New Roman" w:hAnsi="Times New Roman" w:cs="Times New Roman"/>
              </w:rPr>
              <w:t xml:space="preserve"> injected</w:t>
            </w:r>
            <w:r>
              <w:rPr>
                <w:rFonts w:ascii="Times New Roman" w:hAnsi="Times New Roman" w:cs="Times New Roman"/>
              </w:rPr>
              <w:t xml:space="preserve"> after core decompression of a proximal tibial subchondral</w:t>
            </w:r>
            <w:r w:rsidRPr="00B352F4">
              <w:rPr>
                <w:rFonts w:ascii="Times New Roman" w:hAnsi="Times New Roman" w:cs="Times New Roman"/>
              </w:rPr>
              <w:t xml:space="preserve"> lesion.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t>Calcium phosphate bone substitute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Cohen SB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26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Consecutive Case Series (</w:t>
            </w:r>
            <w:r w:rsidRPr="0056123B">
              <w:rPr>
                <w:rFonts w:ascii="Times New Roman" w:hAnsi="Times New Roman" w:cs="Times New Roman"/>
                <w:i/>
              </w:rPr>
              <w:t>n = 66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Improved mean VAS, IKDC, and subjective knee evaluation scores at 2 years postop in patients who underwent subchondral injection of calcium phosphate bone substitute.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Pelucacci LM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27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and technique description.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Intraosseous injection of calcium phosphate has been successfully performed in the bones of the hindfoot and midfoot including the talus and metatarsals.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Chan JJ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28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prospective case series. (</w:t>
            </w:r>
            <w:r w:rsidRPr="00DB49A1">
              <w:rPr>
                <w:rFonts w:ascii="Times New Roman" w:hAnsi="Times New Roman" w:cs="Times New Roman"/>
                <w:i/>
              </w:rPr>
              <w:t>n=11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Significant improvements in mean VAS and FAOS scores at one year post subchondroplasty of the talus. 10 of 11 patients reported that they would undergo the procedure again.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Bernhard K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29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Report and technique description.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Calcaneal bone marrow lesion in a runner was treated with injection of calcium phosphate bone substitute. The athlete remained pain free 10 months post-procedure.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Bonadio MB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30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Prospective case series. (</w:t>
            </w:r>
            <w:r w:rsidRPr="00A82440">
              <w:rPr>
                <w:rFonts w:ascii="Times New Roman" w:hAnsi="Times New Roman" w:cs="Times New Roman"/>
                <w:i/>
              </w:rPr>
              <w:t>n = 5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Bone marrow lesions of the distal femur and proximal tibia showed significant improvement in mean VAS and KOOS scores at 1,3,6,12, and 24 weeks post-procedure. </w:t>
            </w:r>
          </w:p>
        </w:tc>
      </w:tr>
      <w:tr w:rsidR="009C33A5" w:rsidRPr="00F800B6" w:rsidTr="004D0D00">
        <w:tc>
          <w:tcPr>
            <w:tcW w:w="2155" w:type="dxa"/>
            <w:tcBorders>
              <w:bottom w:val="single" w:sz="4" w:space="0" w:color="auto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Astur DC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Systematic review of 8 articles.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patients with bone marrow lesions of the distal femur or proximal tibia.  A</w:t>
            </w:r>
            <w:r w:rsidRPr="00A82440">
              <w:rPr>
                <w:rFonts w:ascii="Times New Roman" w:hAnsi="Times New Roman" w:cs="Times New Roman"/>
              </w:rPr>
              <w:t xml:space="preserve">ll </w:t>
            </w:r>
            <w:r>
              <w:rPr>
                <w:rFonts w:ascii="Times New Roman" w:hAnsi="Times New Roman" w:cs="Times New Roman"/>
              </w:rPr>
              <w:t>studies showed improvement in</w:t>
            </w:r>
            <w:r w:rsidRPr="00A82440">
              <w:rPr>
                <w:rFonts w:ascii="Times New Roman" w:hAnsi="Times New Roman" w:cs="Times New Roman"/>
              </w:rPr>
              <w:t xml:space="preserve"> pain and knee function</w:t>
            </w:r>
            <w:r>
              <w:rPr>
                <w:rFonts w:ascii="Times New Roman" w:hAnsi="Times New Roman" w:cs="Times New Roman"/>
              </w:rPr>
              <w:t>al scores.</w:t>
            </w:r>
          </w:p>
        </w:tc>
      </w:tr>
      <w:tr w:rsidR="009C33A5" w:rsidRPr="00F800B6" w:rsidTr="004D0D00"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</w:tbl>
    <w:p w:rsidR="009C33A5" w:rsidRDefault="009C33A5" w:rsidP="00864E12">
      <w:pPr>
        <w:rPr>
          <w:rFonts w:ascii="Times New Roman" w:hAnsi="Times New Roman" w:cs="Times New Roman"/>
          <w:sz w:val="24"/>
          <w:szCs w:val="24"/>
        </w:rPr>
      </w:pPr>
    </w:p>
    <w:p w:rsidR="003D7C85" w:rsidRDefault="003D7C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3A5" w:rsidRDefault="009C33A5" w:rsidP="00660F37">
      <w:pPr>
        <w:rPr>
          <w:rFonts w:ascii="Times New Roman" w:hAnsi="Times New Roman" w:cs="Times New Roman"/>
          <w:sz w:val="24"/>
          <w:szCs w:val="24"/>
        </w:rPr>
      </w:pPr>
      <w:r w:rsidRPr="0066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763F3">
        <w:rPr>
          <w:rFonts w:ascii="Times New Roman" w:hAnsi="Times New Roman" w:cs="Times New Roman"/>
          <w:b/>
          <w:sz w:val="24"/>
          <w:szCs w:val="24"/>
        </w:rPr>
        <w:t>A2</w:t>
      </w:r>
      <w:r w:rsidRPr="00660F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0F37">
        <w:rPr>
          <w:rFonts w:ascii="Times New Roman" w:hAnsi="Times New Roman" w:cs="Times New Roman"/>
          <w:sz w:val="24"/>
          <w:szCs w:val="24"/>
        </w:rPr>
        <w:t>Summary of current evidence regarding treatment of stress fractures and bone defects with</w:t>
      </w:r>
      <w:r>
        <w:rPr>
          <w:rFonts w:ascii="Times New Roman" w:hAnsi="Times New Roman" w:cs="Times New Roman"/>
          <w:sz w:val="24"/>
          <w:szCs w:val="24"/>
        </w:rPr>
        <w:t xml:space="preserve"> indirect systemic treatment options. (PTH = Parathyroid hormone, PEMF = Pulsed electromagnetic field, LIPUS = Low intensity pulsed ultrasound, 25(OH)D = 25-Hydroxyvitamin 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1620"/>
        <w:gridCol w:w="3325"/>
      </w:tblGrid>
      <w:tr w:rsidR="009C33A5" w:rsidRPr="00D95B95" w:rsidTr="004D0D00"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A5" w:rsidRPr="00D95B95" w:rsidRDefault="009C33A5" w:rsidP="004D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b/>
                <w:sz w:val="24"/>
                <w:szCs w:val="24"/>
              </w:rPr>
              <w:t>Treatment Option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A5" w:rsidRPr="00D95B95" w:rsidRDefault="009C33A5" w:rsidP="004D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A5" w:rsidRPr="00D95B95" w:rsidRDefault="009C33A5" w:rsidP="004D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b/>
                <w:sz w:val="24"/>
                <w:szCs w:val="24"/>
              </w:rPr>
              <w:t>Level of Evidence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A5" w:rsidRPr="00D95B95" w:rsidRDefault="009C33A5" w:rsidP="004D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b/>
                <w:sz w:val="24"/>
                <w:szCs w:val="24"/>
              </w:rPr>
              <w:t>Outcomes/ Conclusions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t>Pulsed Parathyroid Hormone (PTH)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Wang Y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33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article.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Recombinant PTH </w:t>
            </w:r>
            <w:r w:rsidRPr="00292BD8">
              <w:rPr>
                <w:rFonts w:ascii="Times New Roman" w:hAnsi="Times New Roman" w:cs="Times New Roman"/>
              </w:rPr>
              <w:t>induces an anabolic response in bone</w:t>
            </w:r>
            <w:r>
              <w:rPr>
                <w:rFonts w:ascii="Times New Roman" w:hAnsi="Times New Roman" w:cs="Times New Roman"/>
              </w:rPr>
              <w:t xml:space="preserve"> that improves</w:t>
            </w:r>
            <w:r w:rsidRPr="00292BD8">
              <w:rPr>
                <w:rFonts w:ascii="Times New Roman" w:hAnsi="Times New Roman" w:cs="Times New Roman"/>
              </w:rPr>
              <w:t xml:space="preserve"> rates of callus formation, callus mineralization, and bone remodeling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O'Loughlin PF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32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 Randomized controlled trial. (</w:t>
            </w:r>
            <w:r w:rsidRPr="008028BA">
              <w:rPr>
                <w:rFonts w:ascii="Times New Roman" w:hAnsi="Times New Roman" w:cs="Times New Roman"/>
                <w:i/>
              </w:rPr>
              <w:t>n = 44 rabbits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rabbits treated with subcutaneous PTH showed significant increases in fusion callus mass and osteoblast percentage on histology of posterolateral spine fusions compared to controls.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Manabe T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34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Randomized controlled trial. (</w:t>
            </w:r>
            <w:r w:rsidRPr="003D1C73">
              <w:rPr>
                <w:rFonts w:ascii="Times New Roman" w:hAnsi="Times New Roman" w:cs="Times New Roman"/>
                <w:i/>
              </w:rPr>
              <w:t>n = 17 monkeys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dose subcutaneous PTH accelerated </w:t>
            </w:r>
            <w:r w:rsidRPr="008028BA">
              <w:rPr>
                <w:rFonts w:ascii="Times New Roman" w:hAnsi="Times New Roman" w:cs="Times New Roman"/>
              </w:rPr>
              <w:t xml:space="preserve">callus maturation </w:t>
            </w:r>
            <w:r>
              <w:rPr>
                <w:rFonts w:ascii="Times New Roman" w:hAnsi="Times New Roman" w:cs="Times New Roman"/>
              </w:rPr>
              <w:t xml:space="preserve"> mineralization in femur fractures</w:t>
            </w:r>
            <w:r w:rsidRPr="00802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 monkeys.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Andreassen TT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35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Prospective controlled trial. (</w:t>
            </w:r>
            <w:r w:rsidRPr="00E36197">
              <w:rPr>
                <w:rFonts w:ascii="Times New Roman" w:hAnsi="Times New Roman" w:cs="Times New Roman"/>
                <w:i/>
              </w:rPr>
              <w:t>n = 107 rodents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 of subcutaneous PTH to rats with tibia fractures increased </w:t>
            </w:r>
            <w:r w:rsidRPr="00E36197">
              <w:rPr>
                <w:rFonts w:ascii="Times New Roman" w:hAnsi="Times New Roman" w:cs="Times New Roman"/>
              </w:rPr>
              <w:t xml:space="preserve">ultimate load </w:t>
            </w:r>
            <w:r>
              <w:rPr>
                <w:rFonts w:ascii="Times New Roman" w:hAnsi="Times New Roman" w:cs="Times New Roman"/>
              </w:rPr>
              <w:t xml:space="preserve">to failure </w:t>
            </w:r>
            <w:r w:rsidRPr="00E36197">
              <w:rPr>
                <w:rFonts w:ascii="Times New Roman" w:hAnsi="Times New Roman" w:cs="Times New Roman"/>
              </w:rPr>
              <w:t>and the external callus volume</w:t>
            </w:r>
            <w:r>
              <w:rPr>
                <w:rFonts w:ascii="Times New Roman" w:hAnsi="Times New Roman" w:cs="Times New Roman"/>
              </w:rPr>
              <w:t xml:space="preserve"> at 20 and 40 days of healing.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Aspenberg P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36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 Multicenter randomized trial. (</w:t>
            </w:r>
            <w:r w:rsidRPr="0032106F">
              <w:rPr>
                <w:rFonts w:ascii="Times New Roman" w:hAnsi="Times New Roman" w:cs="Times New Roman"/>
                <w:i/>
              </w:rPr>
              <w:t>n = 102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Nonoperative distal radius</w:t>
            </w:r>
            <w:r w:rsidRPr="0032106F">
              <w:rPr>
                <w:rFonts w:ascii="Times New Roman" w:hAnsi="Times New Roman" w:cs="Times New Roman"/>
              </w:rPr>
              <w:t xml:space="preserve"> fractures </w:t>
            </w:r>
            <w:r>
              <w:rPr>
                <w:rFonts w:ascii="Times New Roman" w:hAnsi="Times New Roman" w:cs="Times New Roman"/>
              </w:rPr>
              <w:t>treated with 20 micrograms of PTH had</w:t>
            </w:r>
            <w:r w:rsidRPr="0032106F">
              <w:rPr>
                <w:rFonts w:ascii="Times New Roman" w:hAnsi="Times New Roman" w:cs="Times New Roman"/>
              </w:rPr>
              <w:t xml:space="preserve"> shorte</w:t>
            </w:r>
            <w:r>
              <w:rPr>
                <w:rFonts w:ascii="Times New Roman" w:hAnsi="Times New Roman" w:cs="Times New Roman"/>
              </w:rPr>
              <w:t>r time to cortical continuity compared to placebo.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Zhang D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37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Systematic review of 19 articles.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Anecdotal evidence indicates increased rate of fracture healing with PTH though definitive results and treatment protocols in humans are yet to be determined.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lastRenderedPageBreak/>
              <w:t>Elect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AF0819">
              <w:rPr>
                <w:rFonts w:ascii="Times New Roman" w:hAnsi="Times New Roman" w:cs="Times New Roman"/>
                <w:b/>
              </w:rPr>
              <w:t xml:space="preserve">ical Osseous Stimulation 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Longhino V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38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article.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PEMF </w:t>
            </w:r>
            <w:r w:rsidRPr="00345213">
              <w:rPr>
                <w:rFonts w:ascii="Times New Roman" w:hAnsi="Times New Roman" w:cs="Times New Roman"/>
              </w:rPr>
              <w:t>stimulate</w:t>
            </w:r>
            <w:r>
              <w:rPr>
                <w:rFonts w:ascii="Times New Roman" w:hAnsi="Times New Roman" w:cs="Times New Roman"/>
              </w:rPr>
              <w:t xml:space="preserve">s gene transcription of BMPs, TGF-β, </w:t>
            </w:r>
            <w:r w:rsidRPr="00345213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calmodulin contributing</w:t>
            </w:r>
            <w:r w:rsidRPr="00044E6C">
              <w:rPr>
                <w:rFonts w:ascii="Times New Roman" w:hAnsi="Times New Roman" w:cs="Times New Roman"/>
              </w:rPr>
              <w:t xml:space="preserve"> to bone cell proliferation and fracture healing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6524A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Daish C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="0026524A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article.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PEMF activates osteogenic markers</w:t>
            </w:r>
            <w:r w:rsidRPr="00044E6C">
              <w:rPr>
                <w:rFonts w:ascii="Times New Roman" w:hAnsi="Times New Roman" w:cs="Times New Roman"/>
              </w:rPr>
              <w:t xml:space="preserve"> increasing proliferation and differentiation</w:t>
            </w:r>
            <w:r>
              <w:rPr>
                <w:rFonts w:ascii="Times New Roman" w:hAnsi="Times New Roman" w:cs="Times New Roman"/>
              </w:rPr>
              <w:t xml:space="preserve">. The parameter window for its application is undetermined.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26524A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Benazzo F et al.</w:t>
            </w:r>
            <w:r w:rsidR="0026524A">
              <w:rPr>
                <w:rFonts w:ascii="Times New Roman" w:hAnsi="Times New Roman" w:cs="Times New Roman"/>
                <w:noProof/>
                <w:vertAlign w:val="superscript"/>
              </w:rPr>
              <w:t>40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case series. (</w:t>
            </w:r>
            <w:r>
              <w:rPr>
                <w:rFonts w:ascii="Times New Roman" w:hAnsi="Times New Roman" w:cs="Times New Roman"/>
                <w:i/>
              </w:rPr>
              <w:t>n = 21</w:t>
            </w:r>
            <w:r w:rsidRPr="000E7D03">
              <w:rPr>
                <w:rFonts w:ascii="Times New Roman" w:hAnsi="Times New Roman" w:cs="Times New Roman"/>
                <w:i/>
              </w:rPr>
              <w:t xml:space="preserve">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of 25 lower extremity stress fractures in athletes healed at a mean 52 days after application of capacitive electric fields.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0A5674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Streit A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40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 Prospective randomized trial. (</w:t>
            </w:r>
            <w:r w:rsidRPr="00793A07">
              <w:rPr>
                <w:rFonts w:ascii="Times New Roman" w:hAnsi="Times New Roman" w:cs="Times New Roman"/>
                <w:i/>
              </w:rPr>
              <w:t>n = 8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time to healing in PEMF treated 5</w:t>
            </w:r>
            <w:r w:rsidRPr="00793A0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metatarsal nonunions and delayed unions was 8.9 weeks compared 14.7 weeks in placebo controls.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Tomohiko T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Case series. (</w:t>
            </w:r>
            <w:r w:rsidRPr="002F4F72">
              <w:rPr>
                <w:rFonts w:ascii="Times New Roman" w:hAnsi="Times New Roman" w:cs="Times New Roman"/>
                <w:i/>
              </w:rPr>
              <w:t>n = 5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high school and collegiate soccer players with 5th metatarsal fractures treated with LIPUS were able to continue athletic activity without fracture progression and achieve union.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AF0819" w:rsidRDefault="009C33A5" w:rsidP="004D0D00">
            <w:pPr>
              <w:rPr>
                <w:rFonts w:ascii="Times New Roman" w:hAnsi="Times New Roman" w:cs="Times New Roman"/>
                <w:b/>
              </w:rPr>
            </w:pPr>
            <w:r w:rsidRPr="00AF0819">
              <w:rPr>
                <w:rFonts w:ascii="Times New Roman" w:hAnsi="Times New Roman" w:cs="Times New Roman"/>
                <w:b/>
              </w:rPr>
              <w:t>Vitamin D Supplementation</w:t>
            </w:r>
          </w:p>
        </w:tc>
        <w:tc>
          <w:tcPr>
            <w:tcW w:w="225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Shimasaki Y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III Case-control (</w:t>
            </w:r>
            <w:r w:rsidRPr="00923CE8">
              <w:rPr>
                <w:rFonts w:ascii="Times New Roman" w:hAnsi="Times New Roman" w:cs="Times New Roman"/>
                <w:i/>
              </w:rPr>
              <w:t>n = 37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Serum 25(</w:t>
            </w:r>
            <w:r w:rsidRPr="002F4F72">
              <w:rPr>
                <w:rFonts w:ascii="Times New Roman" w:hAnsi="Times New Roman" w:cs="Times New Roman"/>
              </w:rPr>
              <w:t>OH</w:t>
            </w:r>
            <w:r>
              <w:rPr>
                <w:rFonts w:ascii="Times New Roman" w:hAnsi="Times New Roman" w:cs="Times New Roman"/>
              </w:rPr>
              <w:t>)</w:t>
            </w:r>
            <w:r w:rsidRPr="002F4F72"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&lt;</w:t>
            </w:r>
            <w:r w:rsidRPr="002F4F72">
              <w:rPr>
                <w:rFonts w:ascii="Times New Roman" w:hAnsi="Times New Roman" w:cs="Times New Roman"/>
              </w:rPr>
              <w:t xml:space="preserve"> 30 ng/mL</w:t>
            </w:r>
            <w:r>
              <w:rPr>
                <w:rFonts w:ascii="Times New Roman" w:hAnsi="Times New Roman" w:cs="Times New Roman"/>
              </w:rPr>
              <w:t xml:space="preserve"> was an independent risk factor for 5</w:t>
            </w:r>
            <w:r w:rsidRPr="002F4F7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metatarsal stress fracture. Serum 25-OHD &lt; 2</w:t>
            </w:r>
            <w:r w:rsidRPr="002F4F72">
              <w:rPr>
                <w:rFonts w:ascii="Times New Roman" w:hAnsi="Times New Roman" w:cs="Times New Roman"/>
              </w:rPr>
              <w:t>0 ng/mL</w:t>
            </w:r>
            <w:r>
              <w:rPr>
                <w:rFonts w:ascii="Times New Roman" w:hAnsi="Times New Roman" w:cs="Times New Roman"/>
              </w:rPr>
              <w:t xml:space="preserve"> increased odds of 5</w:t>
            </w:r>
            <w:r w:rsidRPr="00923C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metatarsal fracture by 2.9 times.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Davey T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7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Prospective case series. (</w:t>
            </w:r>
            <w:r>
              <w:rPr>
                <w:rFonts w:ascii="Times New Roman" w:hAnsi="Times New Roman" w:cs="Times New Roman"/>
                <w:i/>
              </w:rPr>
              <w:t>n = 1,082</w:t>
            </w:r>
            <w:r w:rsidRPr="00923CE8">
              <w:rPr>
                <w:rFonts w:ascii="Times New Roman" w:hAnsi="Times New Roman" w:cs="Times New Roman"/>
                <w:i/>
              </w:rPr>
              <w:t xml:space="preserve">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 w:rsidRPr="00923CE8">
              <w:rPr>
                <w:rFonts w:ascii="Times New Roman" w:hAnsi="Times New Roman" w:cs="Times New Roman"/>
              </w:rPr>
              <w:t>Baseline serum 25(OH)D concentration below 50 nmol was associated with an increased risk of stress fracture</w:t>
            </w:r>
            <w:r>
              <w:rPr>
                <w:rFonts w:ascii="Times New Roman" w:hAnsi="Times New Roman" w:cs="Times New Roman"/>
              </w:rPr>
              <w:t xml:space="preserve"> in 78 marine recruits undergoing a 32-week </w:t>
            </w:r>
            <w:r>
              <w:rPr>
                <w:rFonts w:ascii="Times New Roman" w:hAnsi="Times New Roman" w:cs="Times New Roman"/>
              </w:rPr>
              <w:lastRenderedPageBreak/>
              <w:t>training program</w:t>
            </w:r>
            <w:r w:rsidRPr="00923CE8">
              <w:rPr>
                <w:rFonts w:ascii="Times New Roman" w:hAnsi="Times New Roman" w:cs="Times New Roman"/>
              </w:rPr>
              <w:t>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Dao D et al.</w:t>
            </w:r>
            <w:r w:rsidRPr="000A5674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Systematic review and Meta-analysis of 8 articles.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02126">
              <w:rPr>
                <w:rFonts w:ascii="Times New Roman" w:hAnsi="Times New Roman" w:cs="Times New Roman"/>
              </w:rPr>
              <w:t xml:space="preserve">ean serum 25(OH)D level was lower in </w:t>
            </w:r>
            <w:r>
              <w:rPr>
                <w:rFonts w:ascii="Times New Roman" w:hAnsi="Times New Roman" w:cs="Times New Roman"/>
              </w:rPr>
              <w:t>761</w:t>
            </w:r>
            <w:r w:rsidRPr="00A02126">
              <w:rPr>
                <w:rFonts w:ascii="Times New Roman" w:hAnsi="Times New Roman" w:cs="Times New Roman"/>
              </w:rPr>
              <w:t xml:space="preserve">stress fracture cases than in </w:t>
            </w:r>
            <w:r>
              <w:rPr>
                <w:rFonts w:ascii="Times New Roman" w:hAnsi="Times New Roman" w:cs="Times New Roman"/>
              </w:rPr>
              <w:t xml:space="preserve">1,873 </w:t>
            </w:r>
            <w:r w:rsidRPr="00A02126">
              <w:rPr>
                <w:rFonts w:ascii="Times New Roman" w:hAnsi="Times New Roman" w:cs="Times New Roman"/>
              </w:rPr>
              <w:t>controls at the tim</w:t>
            </w:r>
            <w:r>
              <w:rPr>
                <w:rFonts w:ascii="Times New Roman" w:hAnsi="Times New Roman" w:cs="Times New Roman"/>
              </w:rPr>
              <w:t xml:space="preserve">e of entry into basic military training </w:t>
            </w:r>
            <w:r w:rsidRPr="00A02126">
              <w:rPr>
                <w:rFonts w:ascii="Times New Roman" w:hAnsi="Times New Roman" w:cs="Times New Roman"/>
              </w:rPr>
              <w:t>and at the time of stress fracture diagnosis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Lappe J et al.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50</w:t>
            </w:r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 Prospective trial. (</w:t>
            </w:r>
            <w:r w:rsidRPr="00E8170C">
              <w:rPr>
                <w:rFonts w:ascii="Times New Roman" w:hAnsi="Times New Roman" w:cs="Times New Roman"/>
                <w:i/>
              </w:rPr>
              <w:t xml:space="preserve">n = </w:t>
            </w:r>
            <w:r>
              <w:rPr>
                <w:rFonts w:ascii="Times New Roman" w:hAnsi="Times New Roman" w:cs="Times New Roman"/>
                <w:i/>
              </w:rPr>
              <w:t>3,700</w:t>
            </w:r>
            <w:r w:rsidRPr="00E8170C">
              <w:rPr>
                <w:rFonts w:ascii="Times New Roman" w:hAnsi="Times New Roman" w:cs="Times New Roman"/>
                <w:i/>
              </w:rPr>
              <w:t xml:space="preserve"> human patients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Female military recruits treated with calcium and vitamin D supplementation (800 IU/day) had a 21% decreased incidence of stress fractures compared with controls treated with placebo.  </w:t>
            </w:r>
          </w:p>
        </w:tc>
      </w:tr>
      <w:tr w:rsidR="009C33A5" w:rsidRPr="00F800B6" w:rsidTr="004D0D00">
        <w:tc>
          <w:tcPr>
            <w:tcW w:w="215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C33A5" w:rsidRPr="00F800B6" w:rsidRDefault="009C33A5" w:rsidP="009B40A9">
            <w:pPr>
              <w:rPr>
                <w:rFonts w:ascii="Times New Roman" w:hAnsi="Times New Roman" w:cs="Times New Roman"/>
                <w:vertAlign w:val="superscript"/>
              </w:rPr>
            </w:pPr>
            <w:r w:rsidRPr="00F800B6">
              <w:rPr>
                <w:rFonts w:ascii="Times New Roman" w:hAnsi="Times New Roman" w:cs="Times New Roman"/>
              </w:rPr>
              <w:t>Miller JR et al.</w:t>
            </w:r>
            <w:r w:rsidR="009B40A9">
              <w:rPr>
                <w:rFonts w:ascii="Times New Roman" w:hAnsi="Times New Roman" w:cs="Times New Roman"/>
                <w:noProof/>
                <w:vertAlign w:val="superscript"/>
              </w:rPr>
              <w:t>51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IV Retrospective case series. (</w:t>
            </w:r>
            <w:r>
              <w:rPr>
                <w:rFonts w:ascii="Times New Roman" w:hAnsi="Times New Roman" w:cs="Times New Roman"/>
                <w:i/>
              </w:rPr>
              <w:t>n = 53</w:t>
            </w:r>
            <w:r w:rsidRPr="00E8170C">
              <w:rPr>
                <w:rFonts w:ascii="Times New Roman" w:hAnsi="Times New Roman" w:cs="Times New Roman"/>
                <w:i/>
              </w:rPr>
              <w:t xml:space="preserve"> human patients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5" w:type="dxa"/>
          </w:tcPr>
          <w:p w:rsidR="009C33A5" w:rsidRPr="00F800B6" w:rsidRDefault="009C33A5" w:rsidP="004D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of 53 patients with stress fractures had serum 25(OH)D levels of &lt; 40 ng/mL. </w:t>
            </w:r>
          </w:p>
        </w:tc>
      </w:tr>
    </w:tbl>
    <w:p w:rsidR="009C33A5" w:rsidRPr="00660F37" w:rsidRDefault="009C33A5" w:rsidP="00660F37">
      <w:pPr>
        <w:rPr>
          <w:rFonts w:ascii="Times New Roman" w:hAnsi="Times New Roman" w:cs="Times New Roman"/>
          <w:sz w:val="24"/>
          <w:szCs w:val="24"/>
        </w:rPr>
      </w:pPr>
    </w:p>
    <w:p w:rsidR="002272D7" w:rsidRDefault="009B40A9"/>
    <w:sectPr w:rsidR="002272D7" w:rsidSect="00B648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0A9">
      <w:pPr>
        <w:spacing w:after="0" w:line="240" w:lineRule="auto"/>
      </w:pPr>
      <w:r>
        <w:separator/>
      </w:r>
    </w:p>
  </w:endnote>
  <w:endnote w:type="continuationSeparator" w:id="0">
    <w:p w:rsidR="00000000" w:rsidRDefault="009B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13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D00" w:rsidRDefault="00265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0D00" w:rsidRDefault="009B4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0A9">
      <w:pPr>
        <w:spacing w:after="0" w:line="240" w:lineRule="auto"/>
      </w:pPr>
      <w:r>
        <w:separator/>
      </w:r>
    </w:p>
  </w:footnote>
  <w:footnote w:type="continuationSeparator" w:id="0">
    <w:p w:rsidR="00000000" w:rsidRDefault="009B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7A31"/>
    <w:multiLevelType w:val="hybridMultilevel"/>
    <w:tmpl w:val="58FE75F4"/>
    <w:lvl w:ilvl="0" w:tplc="7708F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33A5"/>
    <w:rsid w:val="000C5A05"/>
    <w:rsid w:val="00194099"/>
    <w:rsid w:val="0026524A"/>
    <w:rsid w:val="002B39E0"/>
    <w:rsid w:val="003D7C85"/>
    <w:rsid w:val="00874C39"/>
    <w:rsid w:val="009B40A9"/>
    <w:rsid w:val="009C33A5"/>
    <w:rsid w:val="00E763F3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A5"/>
    <w:pPr>
      <w:ind w:left="720"/>
      <w:contextualSpacing/>
    </w:pPr>
  </w:style>
  <w:style w:type="table" w:styleId="TableGrid">
    <w:name w:val="Table Grid"/>
    <w:basedOn w:val="TableNormal"/>
    <w:uiPriority w:val="39"/>
    <w:rsid w:val="009C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C33A5"/>
  </w:style>
  <w:style w:type="paragraph" w:styleId="BalloonText">
    <w:name w:val="Balloon Text"/>
    <w:basedOn w:val="Normal"/>
    <w:link w:val="BalloonTextChar"/>
    <w:uiPriority w:val="99"/>
    <w:semiHidden/>
    <w:unhideWhenUsed/>
    <w:rsid w:val="009C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3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A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33A5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3A5"/>
    <w:rPr>
      <w:rFonts w:ascii="Calibri" w:hAnsi="Calibri"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C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A5"/>
  </w:style>
  <w:style w:type="paragraph" w:styleId="Footer">
    <w:name w:val="footer"/>
    <w:basedOn w:val="Normal"/>
    <w:link w:val="FooterChar"/>
    <w:uiPriority w:val="99"/>
    <w:unhideWhenUsed/>
    <w:rsid w:val="009C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A5"/>
  </w:style>
  <w:style w:type="character" w:styleId="Hyperlink">
    <w:name w:val="Hyperlink"/>
    <w:basedOn w:val="DefaultParagraphFont"/>
    <w:uiPriority w:val="99"/>
    <w:unhideWhenUsed/>
    <w:rsid w:val="009C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A5"/>
    <w:pPr>
      <w:ind w:left="720"/>
      <w:contextualSpacing/>
    </w:pPr>
  </w:style>
  <w:style w:type="table" w:styleId="TableGrid">
    <w:name w:val="Table Grid"/>
    <w:basedOn w:val="TableNormal"/>
    <w:uiPriority w:val="39"/>
    <w:rsid w:val="009C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C33A5"/>
  </w:style>
  <w:style w:type="paragraph" w:styleId="BalloonText">
    <w:name w:val="Balloon Text"/>
    <w:basedOn w:val="Normal"/>
    <w:link w:val="BalloonTextChar"/>
    <w:uiPriority w:val="99"/>
    <w:semiHidden/>
    <w:unhideWhenUsed/>
    <w:rsid w:val="009C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3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A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33A5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3A5"/>
    <w:rPr>
      <w:rFonts w:ascii="Calibri" w:hAnsi="Calibri"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C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A5"/>
  </w:style>
  <w:style w:type="paragraph" w:styleId="Footer">
    <w:name w:val="footer"/>
    <w:basedOn w:val="Normal"/>
    <w:link w:val="FooterChar"/>
    <w:uiPriority w:val="99"/>
    <w:unhideWhenUsed/>
    <w:rsid w:val="009C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A5"/>
  </w:style>
  <w:style w:type="character" w:styleId="Hyperlink">
    <w:name w:val="Hyperlink"/>
    <w:basedOn w:val="DefaultParagraphFont"/>
    <w:uiPriority w:val="99"/>
    <w:unhideWhenUsed/>
    <w:rsid w:val="009C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Manring, Maurice</dc:creator>
  <cp:lastModifiedBy>Manring, Maurice</cp:lastModifiedBy>
  <cp:revision>2</cp:revision>
  <dcterms:created xsi:type="dcterms:W3CDTF">2019-05-06T17:48:00Z</dcterms:created>
  <dcterms:modified xsi:type="dcterms:W3CDTF">2019-05-06T17:48:00Z</dcterms:modified>
</cp:coreProperties>
</file>