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FA" w:rsidRPr="00F81F0F" w:rsidRDefault="00917BFA" w:rsidP="00917BFA">
      <w:pPr>
        <w:rPr>
          <w:rFonts w:ascii="Times New Roman" w:hAnsi="Times New Roman" w:cs="Times New Roman"/>
          <w:sz w:val="24"/>
          <w:szCs w:val="24"/>
        </w:rPr>
      </w:pPr>
      <w:r w:rsidRPr="00F81F0F">
        <w:rPr>
          <w:rFonts w:ascii="Times New Roman" w:hAnsi="Times New Roman" w:cs="Times New Roman"/>
          <w:sz w:val="24"/>
          <w:szCs w:val="24"/>
        </w:rPr>
        <w:t>Table 1. Abbreviated Listing of Survey Questions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708"/>
        <w:gridCol w:w="26"/>
        <w:gridCol w:w="1544"/>
        <w:gridCol w:w="1544"/>
        <w:gridCol w:w="1545"/>
        <w:gridCol w:w="1522"/>
        <w:gridCol w:w="1360"/>
        <w:gridCol w:w="1361"/>
      </w:tblGrid>
      <w:tr w:rsidR="00917BFA" w:rsidRPr="00F81F0F" w:rsidTr="00AC4FE6">
        <w:trPr>
          <w:trHeight w:val="315"/>
        </w:trPr>
        <w:tc>
          <w:tcPr>
            <w:tcW w:w="1734" w:type="dxa"/>
            <w:gridSpan w:val="2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Demographics</w:t>
            </w: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5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Fellowship Status, Annual Case Volume</w:t>
            </w: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6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Location, Facility Type, Number of Partners</w:t>
            </w: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3278" w:type="dxa"/>
            <w:gridSpan w:val="3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Prophylaxis Protocols</w:t>
            </w: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5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of national or institutional Protocols</w:t>
            </w: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5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Factors for VTE and Protocol Triggers</w:t>
            </w: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34" w:type="dxa"/>
            <w:gridSpan w:val="2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Practice</w:t>
            </w: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4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Prophylaxis agents Used</w:t>
            </w:r>
          </w:p>
        </w:tc>
        <w:tc>
          <w:tcPr>
            <w:tcW w:w="1521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4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Prophylaxis Agents used</w:t>
            </w:r>
          </w:p>
        </w:tc>
        <w:tc>
          <w:tcPr>
            <w:tcW w:w="1521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 of use and triggers for utilization of prophylaxis agents</w:t>
            </w: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Utilization of prophylaxis agents for specific pediatric </w:t>
            </w:r>
            <w:proofErr w:type="spellStart"/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conditions, including spinal fusion, reconstructive hip surgery, neuromuscular patients, infection patients</w:t>
            </w:r>
          </w:p>
        </w:tc>
      </w:tr>
      <w:tr w:rsidR="00917BFA" w:rsidRPr="00F81F0F" w:rsidTr="00AC4FE6">
        <w:trPr>
          <w:trHeight w:val="315"/>
        </w:trPr>
        <w:tc>
          <w:tcPr>
            <w:tcW w:w="1708" w:type="dxa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2" w:type="dxa"/>
            <w:gridSpan w:val="7"/>
            <w:noWrap/>
            <w:hideMark/>
          </w:tcPr>
          <w:p w:rsidR="00917BFA" w:rsidRPr="00F81F0F" w:rsidRDefault="00917BFA" w:rsidP="00AC4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occurrence of DVT, PE, death or complication secondary to VTE</w:t>
            </w:r>
          </w:p>
        </w:tc>
      </w:tr>
    </w:tbl>
    <w:p w:rsidR="00925129" w:rsidRDefault="00917BFA">
      <w:bookmarkStart w:id="0" w:name="_GoBack"/>
      <w:bookmarkEnd w:id="0"/>
    </w:p>
    <w:sectPr w:rsidR="0092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A"/>
    <w:rsid w:val="00060BDB"/>
    <w:rsid w:val="008321F8"/>
    <w:rsid w:val="009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0B77-9A91-4B18-80B2-028230B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Medical University of South Carolina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Robert</dc:creator>
  <cp:keywords/>
  <dc:description/>
  <cp:lastModifiedBy>Murphy, Robert</cp:lastModifiedBy>
  <cp:revision>1</cp:revision>
  <dcterms:created xsi:type="dcterms:W3CDTF">2019-03-28T17:09:00Z</dcterms:created>
  <dcterms:modified xsi:type="dcterms:W3CDTF">2019-03-28T17:09:00Z</dcterms:modified>
</cp:coreProperties>
</file>