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54D7" w14:textId="55D54B97" w:rsidR="001447B7" w:rsidRPr="001447B7" w:rsidRDefault="001447B7" w:rsidP="001447B7">
      <w:pPr>
        <w:pStyle w:val="Body"/>
        <w:spacing w:line="480" w:lineRule="auto"/>
        <w:jc w:val="center"/>
        <w:rPr>
          <w:b/>
          <w:bCs/>
        </w:rPr>
      </w:pPr>
      <w:r w:rsidRPr="001447B7">
        <w:rPr>
          <w:b/>
          <w:bCs/>
        </w:rPr>
        <w:t>APPENDIX</w:t>
      </w:r>
    </w:p>
    <w:p w14:paraId="2199A53B" w14:textId="77777777" w:rsidR="001447B7" w:rsidRDefault="001447B7" w:rsidP="001447B7">
      <w:pPr>
        <w:pStyle w:val="Body"/>
        <w:spacing w:line="480" w:lineRule="auto"/>
      </w:pPr>
    </w:p>
    <w:p w14:paraId="1E649C35" w14:textId="77777777" w:rsidR="001447B7" w:rsidRDefault="001447B7" w:rsidP="001447B7">
      <w:pPr>
        <w:pStyle w:val="Body"/>
        <w:spacing w:line="480" w:lineRule="auto"/>
      </w:pPr>
      <w:r>
        <w:t xml:space="preserve">In general, wide distributions of health confidence in clinical settings and hospital service areas indicate that higher levels of health confidence are attainable [3,14]. Clinical practices have also described methods they have used to improve health confidence [6,7,22]. </w:t>
      </w:r>
    </w:p>
    <w:p w14:paraId="14C95394" w14:textId="77777777" w:rsidR="001447B7" w:rsidRDefault="001447B7" w:rsidP="001447B7">
      <w:pPr>
        <w:pStyle w:val="Body"/>
        <w:spacing w:line="480" w:lineRule="auto"/>
      </w:pPr>
    </w:p>
    <w:p w14:paraId="0A9822B2" w14:textId="77777777" w:rsidR="001447B7" w:rsidRDefault="001447B7" w:rsidP="001447B7">
      <w:pPr>
        <w:pStyle w:val="Body"/>
        <w:spacing w:line="480" w:lineRule="auto"/>
      </w:pPr>
      <w:r>
        <w:t xml:space="preserve">Most directly, patients who are not very health-confident can be asked to describe what they want or need to become more health-confident so that a specific plan can be tailored to their suggestions. These inquiries can be easily automated, as in one approach freely available at </w:t>
      </w:r>
      <w:hyperlink r:id="rId7" w:history="1">
        <w:r>
          <w:rPr>
            <w:rStyle w:val="Hyperlink0"/>
          </w:rPr>
          <w:t>www.HowsYourHealth.org</w:t>
        </w:r>
      </w:hyperlink>
      <w:r>
        <w:t xml:space="preserve">. </w:t>
      </w:r>
    </w:p>
    <w:p w14:paraId="0977B68C" w14:textId="77777777" w:rsidR="001447B7" w:rsidRDefault="001447B7" w:rsidP="001447B7">
      <w:pPr>
        <w:pStyle w:val="Body"/>
        <w:spacing w:line="480" w:lineRule="auto"/>
      </w:pPr>
    </w:p>
    <w:p w14:paraId="50A2CEF5" w14:textId="77777777" w:rsidR="001447B7" w:rsidRDefault="001447B7" w:rsidP="001447B7">
      <w:pPr>
        <w:pStyle w:val="Body"/>
        <w:spacing w:line="480" w:lineRule="auto"/>
      </w:pPr>
      <w:r w:rsidRPr="7C23EC14">
        <w:t xml:space="preserve">Such individualized plans can conserve resources that would otherwise be deployed to address metrics not relevant to the patient and will thus not further burden clinical settings that were resource-constrained even before the Covid-19 pandemic. As additional patients are asked about what they want and need, their aggregated information can be sorted for population management. Patients’ suggestions generally fall into a few categories: changes in their own actions; improvements in professional services; specific interventions for their pain, emotional problems, or medications; and availability of non-professional help such as that provided by family or social services [14,15]. A patient’s expressed interest in becoming more health-confident can assist a practice or health system to prepare for the needs of that patient and many patients, delivering much-needed efficiency as the pandemic further strains resources. </w:t>
      </w:r>
    </w:p>
    <w:p w14:paraId="10EA6C64" w14:textId="77777777" w:rsidR="001447B7" w:rsidRDefault="001447B7" w:rsidP="001447B7">
      <w:pPr>
        <w:pStyle w:val="Body"/>
        <w:spacing w:line="480" w:lineRule="auto"/>
      </w:pPr>
    </w:p>
    <w:p w14:paraId="0C4CF493" w14:textId="77777777" w:rsidR="001447B7" w:rsidRDefault="001447B7" w:rsidP="001447B7">
      <w:pPr>
        <w:pStyle w:val="Comment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What Matters Index presented in Table 3 offers one approach to supporting health confidence through simple measures of pain, emotional problems, and medication effects. These measures are strongly associated with patients’ quality of life [16,23], and they can be easily assessed at the point of care to guide clinical responses that improve health confidence. As rigorous research increasingly demonstrates the ineffectiveness of computer-generated risk models used for targeting and “hot-spotting” a few patients who might later use costly care [24,25], remote or in-person administration of the WMI also offers an ethical and much more cost-effective alternative regardless of patients’ financial status. </w:t>
      </w:r>
    </w:p>
    <w:p w14:paraId="7F4F6060" w14:textId="77777777" w:rsidR="001447B7" w:rsidRDefault="001447B7" w:rsidP="001447B7">
      <w:pPr>
        <w:pStyle w:val="Body"/>
      </w:pPr>
    </w:p>
    <w:p w14:paraId="6B99512E" w14:textId="77777777" w:rsidR="00C57880" w:rsidRDefault="00C57880" w:rsidP="001447B7">
      <w:pPr>
        <w:pStyle w:val="Body"/>
        <w:rPr>
          <w:b/>
          <w:bCs/>
        </w:rPr>
      </w:pPr>
    </w:p>
    <w:p w14:paraId="7EB4A3AB" w14:textId="77777777" w:rsidR="00C57880" w:rsidRDefault="00C57880" w:rsidP="001447B7">
      <w:pPr>
        <w:pStyle w:val="Body"/>
        <w:rPr>
          <w:b/>
          <w:bCs/>
        </w:rPr>
      </w:pPr>
    </w:p>
    <w:p w14:paraId="2768AFC8" w14:textId="77777777" w:rsidR="00C57880" w:rsidRDefault="00C57880" w:rsidP="001447B7">
      <w:pPr>
        <w:pStyle w:val="Body"/>
        <w:rPr>
          <w:b/>
          <w:bCs/>
        </w:rPr>
      </w:pPr>
    </w:p>
    <w:p w14:paraId="1F69D462" w14:textId="77777777" w:rsidR="00C57880" w:rsidRDefault="00C57880" w:rsidP="001447B7">
      <w:pPr>
        <w:pStyle w:val="Body"/>
        <w:rPr>
          <w:b/>
          <w:bCs/>
        </w:rPr>
      </w:pPr>
    </w:p>
    <w:p w14:paraId="7BF44013" w14:textId="77777777" w:rsidR="00C57880" w:rsidRDefault="00C57880" w:rsidP="001447B7">
      <w:pPr>
        <w:pStyle w:val="Body"/>
        <w:rPr>
          <w:b/>
          <w:bCs/>
        </w:rPr>
      </w:pPr>
    </w:p>
    <w:p w14:paraId="2CC1D894" w14:textId="77777777" w:rsidR="00C57880" w:rsidRDefault="00C57880" w:rsidP="001447B7">
      <w:pPr>
        <w:pStyle w:val="Body"/>
        <w:rPr>
          <w:b/>
          <w:bCs/>
        </w:rPr>
      </w:pPr>
    </w:p>
    <w:p w14:paraId="11251F68" w14:textId="77777777" w:rsidR="00C57880" w:rsidRDefault="00C57880" w:rsidP="001447B7">
      <w:pPr>
        <w:pStyle w:val="Body"/>
        <w:rPr>
          <w:b/>
          <w:bCs/>
        </w:rPr>
      </w:pPr>
    </w:p>
    <w:p w14:paraId="29DC07E1" w14:textId="77777777" w:rsidR="00C57880" w:rsidRDefault="00C57880" w:rsidP="001447B7">
      <w:pPr>
        <w:pStyle w:val="Body"/>
        <w:rPr>
          <w:b/>
          <w:bCs/>
        </w:rPr>
      </w:pPr>
    </w:p>
    <w:p w14:paraId="686CBA61" w14:textId="77777777" w:rsidR="00C57880" w:rsidRDefault="00C57880" w:rsidP="001447B7">
      <w:pPr>
        <w:pStyle w:val="Body"/>
        <w:rPr>
          <w:b/>
          <w:bCs/>
        </w:rPr>
      </w:pPr>
    </w:p>
    <w:p w14:paraId="130D90C3" w14:textId="77777777" w:rsidR="00C57880" w:rsidRDefault="00C57880" w:rsidP="001447B7">
      <w:pPr>
        <w:pStyle w:val="Body"/>
        <w:rPr>
          <w:b/>
          <w:bCs/>
        </w:rPr>
      </w:pPr>
    </w:p>
    <w:p w14:paraId="1A718B30" w14:textId="77777777" w:rsidR="00C57880" w:rsidRDefault="00C57880" w:rsidP="001447B7">
      <w:pPr>
        <w:pStyle w:val="Body"/>
        <w:rPr>
          <w:b/>
          <w:bCs/>
        </w:rPr>
      </w:pPr>
    </w:p>
    <w:p w14:paraId="3323415E" w14:textId="77777777" w:rsidR="00C57880" w:rsidRDefault="00C57880" w:rsidP="001447B7">
      <w:pPr>
        <w:pStyle w:val="Body"/>
        <w:rPr>
          <w:b/>
          <w:bCs/>
        </w:rPr>
      </w:pPr>
    </w:p>
    <w:p w14:paraId="1EEFE54B" w14:textId="77777777" w:rsidR="00C57880" w:rsidRDefault="00C57880" w:rsidP="001447B7">
      <w:pPr>
        <w:pStyle w:val="Body"/>
        <w:rPr>
          <w:b/>
          <w:bCs/>
        </w:rPr>
      </w:pPr>
    </w:p>
    <w:p w14:paraId="440E6F0C" w14:textId="77777777" w:rsidR="00C57880" w:rsidRDefault="00C57880" w:rsidP="001447B7">
      <w:pPr>
        <w:pStyle w:val="Body"/>
        <w:rPr>
          <w:b/>
          <w:bCs/>
        </w:rPr>
      </w:pPr>
    </w:p>
    <w:p w14:paraId="066F52E4" w14:textId="77777777" w:rsidR="00C57880" w:rsidRDefault="00C57880" w:rsidP="001447B7">
      <w:pPr>
        <w:pStyle w:val="Body"/>
        <w:rPr>
          <w:b/>
          <w:bCs/>
        </w:rPr>
      </w:pPr>
    </w:p>
    <w:p w14:paraId="59D99775" w14:textId="77777777" w:rsidR="00C57880" w:rsidRDefault="00C57880" w:rsidP="001447B7">
      <w:pPr>
        <w:pStyle w:val="Body"/>
        <w:rPr>
          <w:b/>
          <w:bCs/>
        </w:rPr>
      </w:pPr>
    </w:p>
    <w:p w14:paraId="51F39FC7" w14:textId="77777777" w:rsidR="00C57880" w:rsidRDefault="00C57880" w:rsidP="001447B7">
      <w:pPr>
        <w:pStyle w:val="Body"/>
        <w:rPr>
          <w:b/>
          <w:bCs/>
        </w:rPr>
      </w:pPr>
    </w:p>
    <w:p w14:paraId="24917F5A" w14:textId="77777777" w:rsidR="00C57880" w:rsidRDefault="00C57880" w:rsidP="001447B7">
      <w:pPr>
        <w:pStyle w:val="Body"/>
        <w:rPr>
          <w:b/>
          <w:bCs/>
        </w:rPr>
      </w:pPr>
    </w:p>
    <w:p w14:paraId="3E03539D" w14:textId="77777777" w:rsidR="00C57880" w:rsidRDefault="00C57880" w:rsidP="001447B7">
      <w:pPr>
        <w:pStyle w:val="Body"/>
        <w:rPr>
          <w:b/>
          <w:bCs/>
        </w:rPr>
      </w:pPr>
    </w:p>
    <w:p w14:paraId="7131DAE7" w14:textId="77777777" w:rsidR="00C57880" w:rsidRDefault="00C57880" w:rsidP="001447B7">
      <w:pPr>
        <w:pStyle w:val="Body"/>
        <w:rPr>
          <w:b/>
          <w:bCs/>
        </w:rPr>
      </w:pPr>
    </w:p>
    <w:p w14:paraId="616C410F" w14:textId="77777777" w:rsidR="00C57880" w:rsidRDefault="00C57880" w:rsidP="001447B7">
      <w:pPr>
        <w:pStyle w:val="Body"/>
        <w:rPr>
          <w:b/>
          <w:bCs/>
        </w:rPr>
      </w:pPr>
    </w:p>
    <w:p w14:paraId="1E056010" w14:textId="77777777" w:rsidR="00680659" w:rsidRDefault="00680659" w:rsidP="001447B7">
      <w:pPr>
        <w:pStyle w:val="Body"/>
        <w:rPr>
          <w:b/>
          <w:bCs/>
        </w:rPr>
      </w:pPr>
    </w:p>
    <w:p w14:paraId="5A565B8A" w14:textId="77777777" w:rsidR="00680659" w:rsidRDefault="00680659" w:rsidP="001447B7">
      <w:pPr>
        <w:pStyle w:val="Body"/>
        <w:rPr>
          <w:b/>
          <w:bCs/>
        </w:rPr>
      </w:pPr>
    </w:p>
    <w:p w14:paraId="08A24F60" w14:textId="77777777" w:rsidR="00680659" w:rsidRDefault="00680659" w:rsidP="001447B7">
      <w:pPr>
        <w:pStyle w:val="Body"/>
        <w:rPr>
          <w:b/>
          <w:bCs/>
        </w:rPr>
      </w:pPr>
    </w:p>
    <w:p w14:paraId="08C9D2E9" w14:textId="77777777" w:rsidR="00680659" w:rsidRDefault="00680659" w:rsidP="001447B7">
      <w:pPr>
        <w:pStyle w:val="Body"/>
        <w:rPr>
          <w:b/>
          <w:bCs/>
        </w:rPr>
      </w:pPr>
    </w:p>
    <w:p w14:paraId="21771D41" w14:textId="77777777" w:rsidR="00680659" w:rsidRDefault="00680659" w:rsidP="001447B7">
      <w:pPr>
        <w:pStyle w:val="Body"/>
        <w:rPr>
          <w:b/>
          <w:bCs/>
        </w:rPr>
      </w:pPr>
    </w:p>
    <w:p w14:paraId="24530ED8" w14:textId="77777777" w:rsidR="00680659" w:rsidRDefault="00680659" w:rsidP="001447B7">
      <w:pPr>
        <w:pStyle w:val="Body"/>
        <w:rPr>
          <w:b/>
          <w:bCs/>
        </w:rPr>
      </w:pPr>
    </w:p>
    <w:p w14:paraId="23312CD3" w14:textId="71AA10CA" w:rsidR="001447B7" w:rsidRDefault="001447B7" w:rsidP="001447B7">
      <w:pPr>
        <w:pStyle w:val="Body"/>
        <w:rPr>
          <w:b/>
          <w:bCs/>
        </w:rPr>
      </w:pPr>
      <w:r>
        <w:rPr>
          <w:b/>
          <w:bCs/>
        </w:rPr>
        <w:lastRenderedPageBreak/>
        <w:t xml:space="preserve">TABLE THREE </w:t>
      </w:r>
    </w:p>
    <w:p w14:paraId="30916E80" w14:textId="77777777" w:rsidR="001447B7" w:rsidRDefault="001447B7" w:rsidP="001447B7">
      <w:pPr>
        <w:pStyle w:val="Body"/>
        <w:jc w:val="center"/>
      </w:pPr>
      <w:r>
        <w:rPr>
          <w:noProof/>
        </w:rPr>
        <w:drawing>
          <wp:inline distT="0" distB="0" distL="0" distR="0" wp14:anchorId="5007E1D7" wp14:editId="596FCE0B">
            <wp:extent cx="4956687" cy="3556000"/>
            <wp:effectExtent l="0" t="0" r="0" b="0"/>
            <wp:docPr id="1073741827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6687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48E1CA" w14:textId="77777777" w:rsidR="001447B7" w:rsidRDefault="001447B7" w:rsidP="001447B7">
      <w:pPr>
        <w:pStyle w:val="Body"/>
      </w:pPr>
    </w:p>
    <w:p w14:paraId="450AF28D" w14:textId="0AE3F755" w:rsidR="001447B7" w:rsidRDefault="001447B7" w:rsidP="001447B7">
      <w:pPr>
        <w:pStyle w:val="Body"/>
      </w:pPr>
      <w:r>
        <w:t>Legend. The odds of future hospital use increase with the sum of the responses highlighted in black relative to the base score of no such responses: 1 = 1.1–1.6; 2 = 1.6–2.4; 3+ = 2.9–4.0. For future emergency use relative to base score: 1 = 1.1–1.4; 2 = 1.6–2.1; 3+ = 2.6–3.3 [1</w:t>
      </w:r>
      <w:r w:rsidR="00EF6D8E">
        <w:t>5</w:t>
      </w:r>
      <w:r>
        <w:t xml:space="preserve">].   </w:t>
      </w:r>
    </w:p>
    <w:p w14:paraId="5BA91F49" w14:textId="77777777" w:rsidR="001447B7" w:rsidRDefault="001447B7">
      <w:pPr>
        <w:pStyle w:val="Body"/>
      </w:pPr>
    </w:p>
    <w:sectPr w:rsidR="001447B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59FA" w14:textId="77777777" w:rsidR="005A2220" w:rsidRDefault="005A2220">
      <w:r>
        <w:separator/>
      </w:r>
    </w:p>
  </w:endnote>
  <w:endnote w:type="continuationSeparator" w:id="0">
    <w:p w14:paraId="400529B9" w14:textId="77777777" w:rsidR="005A2220" w:rsidRDefault="005A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8415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AF0EA" w14:textId="548A1731" w:rsidR="001447B7" w:rsidRDefault="001447B7" w:rsidP="00811F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0150F1" w14:textId="77777777" w:rsidR="001447B7" w:rsidRDefault="001447B7" w:rsidP="001447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3952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7CAD67" w14:textId="661AE9BE" w:rsidR="001447B7" w:rsidRDefault="001447B7" w:rsidP="00811F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26</w:t>
        </w:r>
        <w:r>
          <w:rPr>
            <w:rStyle w:val="PageNumber"/>
          </w:rPr>
          <w:fldChar w:fldCharType="end"/>
        </w:r>
      </w:p>
    </w:sdtContent>
  </w:sdt>
  <w:p w14:paraId="1A965116" w14:textId="77777777" w:rsidR="00D2698F" w:rsidRDefault="00D2698F" w:rsidP="001447B7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5652" w14:textId="77777777" w:rsidR="005A2220" w:rsidRDefault="005A2220">
      <w:r>
        <w:separator/>
      </w:r>
    </w:p>
  </w:footnote>
  <w:footnote w:type="continuationSeparator" w:id="0">
    <w:p w14:paraId="2F6891AD" w14:textId="77777777" w:rsidR="005A2220" w:rsidRDefault="005A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55AD" w14:textId="77777777" w:rsidR="00D2698F" w:rsidRDefault="00D2698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47FD"/>
    <w:multiLevelType w:val="hybridMultilevel"/>
    <w:tmpl w:val="EAC4F4CA"/>
    <w:lvl w:ilvl="0" w:tplc="909C5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828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FA0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CF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0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CA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C1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B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8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526D"/>
    <w:multiLevelType w:val="hybridMultilevel"/>
    <w:tmpl w:val="A9BE789A"/>
    <w:lvl w:ilvl="0" w:tplc="2E74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878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746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48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6F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20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83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4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60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130DE"/>
    <w:multiLevelType w:val="hybridMultilevel"/>
    <w:tmpl w:val="C37CF3FC"/>
    <w:lvl w:ilvl="0" w:tplc="B598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AE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B8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4E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7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C2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27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89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82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757"/>
    <w:multiLevelType w:val="hybridMultilevel"/>
    <w:tmpl w:val="37EE23DE"/>
    <w:lvl w:ilvl="0" w:tplc="6750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A9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E41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A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4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09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F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43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A690"/>
    <w:rsid w:val="001447B7"/>
    <w:rsid w:val="004A79E4"/>
    <w:rsid w:val="0051A690"/>
    <w:rsid w:val="005A2220"/>
    <w:rsid w:val="00680659"/>
    <w:rsid w:val="00744787"/>
    <w:rsid w:val="008A4F55"/>
    <w:rsid w:val="008F1D02"/>
    <w:rsid w:val="00AB4929"/>
    <w:rsid w:val="00C469C8"/>
    <w:rsid w:val="00C57880"/>
    <w:rsid w:val="00D2698F"/>
    <w:rsid w:val="00EF6D8E"/>
    <w:rsid w:val="00EF6F6F"/>
    <w:rsid w:val="00FE21F5"/>
    <w:rsid w:val="12CB134F"/>
    <w:rsid w:val="1DDD0138"/>
    <w:rsid w:val="2298DC75"/>
    <w:rsid w:val="28693BE0"/>
    <w:rsid w:val="376D6C0F"/>
    <w:rsid w:val="4C68D8A6"/>
    <w:rsid w:val="688900F3"/>
    <w:rsid w:val="75910218"/>
    <w:rsid w:val="7975D489"/>
    <w:rsid w:val="7B0B3906"/>
    <w:rsid w:val="7C23EC14"/>
    <w:rsid w:val="7D39E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4231"/>
  <w15:docId w15:val="{4E70F853-152A-46AF-B891-65C65C3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CommentText">
    <w:name w:val="annotation text"/>
    <w:rPr>
      <w:rFonts w:ascii="Calibri" w:hAnsi="Calibri"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447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44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B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wsYourHeal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H. Wasson</cp:lastModifiedBy>
  <cp:revision>3</cp:revision>
  <dcterms:created xsi:type="dcterms:W3CDTF">2020-06-08T20:03:00Z</dcterms:created>
  <dcterms:modified xsi:type="dcterms:W3CDTF">2020-06-17T14:29:00Z</dcterms:modified>
</cp:coreProperties>
</file>